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B19" w:rsidRPr="00F050E1" w:rsidRDefault="00777B19" w:rsidP="00777B19">
      <w:pPr>
        <w:keepNext/>
        <w:keepLines/>
        <w:spacing w:before="40" w:after="0" w:line="360" w:lineRule="auto"/>
        <w:jc w:val="both"/>
        <w:outlineLvl w:val="1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Toc513077617"/>
      <w:bookmarkStart w:id="1" w:name="_Toc515703942"/>
      <w:r w:rsidRPr="00F050E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3.2. Результаты исследования компонентов психической и соматической адаптации трудовых мигрантов в сравнении с местными жителями</w:t>
      </w:r>
      <w:bookmarkEnd w:id="0"/>
      <w:bookmarkEnd w:id="1"/>
    </w:p>
    <w:p w:rsidR="00777B19" w:rsidRPr="00F050E1" w:rsidRDefault="00777B19" w:rsidP="008F2223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Проведена оценка уровня нервно-психической адаптации (УНПА) с помощью теста нервно-психической адаптации </w:t>
      </w:r>
      <w:proofErr w:type="spellStart"/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И.Н.Гурвича</w:t>
      </w:r>
      <w:proofErr w:type="spellEnd"/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77B19" w:rsidRPr="00F050E1" w:rsidRDefault="00777B19" w:rsidP="00777B19">
      <w:pPr>
        <w:spacing w:before="100" w:beforeAutospacing="1" w:after="100" w:afterAutospacing="1" w:line="360" w:lineRule="auto"/>
        <w:jc w:val="both"/>
        <w:rPr>
          <w:rFonts w:ascii="Arial" w:eastAsia="SimSun" w:hAnsi="Arial" w:cs="Lucida Sans"/>
          <w:noProof/>
          <w:kern w:val="1"/>
          <w:sz w:val="20"/>
          <w:szCs w:val="24"/>
          <w:lang w:eastAsia="ru-RU"/>
        </w:rPr>
      </w:pPr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Рисунок 1 Уровни нервно-психической адаптации исследуемых в группах местных жителей, а также трудовых мигрантов.</w:t>
      </w:r>
    </w:p>
    <w:p w:rsidR="00777B19" w:rsidRPr="00F050E1" w:rsidRDefault="00777B19" w:rsidP="00777B1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50E1">
        <w:rPr>
          <w:rFonts w:ascii="Arial" w:eastAsia="SimSun" w:hAnsi="Arial" w:cs="Lucida Sans"/>
          <w:noProof/>
          <w:kern w:val="1"/>
          <w:sz w:val="20"/>
          <w:szCs w:val="24"/>
          <w:lang w:eastAsia="ru-RU"/>
        </w:rPr>
        <w:drawing>
          <wp:inline distT="0" distB="0" distL="0" distR="0" wp14:anchorId="53A99660" wp14:editId="2BFACA4D">
            <wp:extent cx="5642919" cy="2536825"/>
            <wp:effectExtent l="0" t="0" r="15240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77B19" w:rsidRPr="00F050E1" w:rsidRDefault="00777B19" w:rsidP="00777B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Рис. </w:t>
      </w:r>
      <w:r w:rsidRPr="00F050E1">
        <w:rPr>
          <w:rFonts w:ascii="Times New Roman" w:eastAsia="Calibri" w:hAnsi="Times New Roman" w:cs="Times New Roman"/>
          <w:sz w:val="28"/>
          <w:szCs w:val="28"/>
        </w:rPr>
        <w:t>1</w:t>
      </w:r>
    </w:p>
    <w:p w:rsidR="00777B19" w:rsidRPr="00F050E1" w:rsidRDefault="00777B19" w:rsidP="008F2223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Полученные результаты теста показали, что как у жителей, так и мигрантов отмечено наличие различных уровней нервно-психического напряжения. </w:t>
      </w:r>
    </w:p>
    <w:p w:rsidR="00777B19" w:rsidRPr="00F050E1" w:rsidRDefault="00777B19" w:rsidP="008F2223">
      <w:pPr>
        <w:spacing w:before="100" w:beforeAutospacing="1" w:after="100" w:afterAutospacing="1" w:line="360" w:lineRule="auto"/>
        <w:ind w:firstLine="8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группе мигрантов 18,7% испытуемых относятся к II категории здоровья, с оптимальным уровнем адаптации, 25% к III категории лиц, с непатологической психической адаптацией, 15,6% - к IV группе лиц с патологической психической </w:t>
      </w:r>
      <w:proofErr w:type="spellStart"/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дезадаптацией</w:t>
      </w:r>
      <w:proofErr w:type="spellEnd"/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и, наконец, 40,7% относятся к V группе с вероятно болезненным состоянием (рис.1).</w:t>
      </w:r>
    </w:p>
    <w:p w:rsidR="00777B19" w:rsidRPr="00F050E1" w:rsidRDefault="00777B19" w:rsidP="008F2223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группе местных жителей 12,5% испытуемых относятся к II категории здоровья, с оптимальным уровнем адаптации, 34,5% к III категории лиц, с </w:t>
      </w:r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непатологической психической адаптацией, 25% - к IV группе лиц с патологической психической </w:t>
      </w:r>
      <w:proofErr w:type="spellStart"/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дезадаптацией</w:t>
      </w:r>
      <w:proofErr w:type="spellEnd"/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и, наконец, 28% относятся к V группе с вероятно болезненным состоянием, которое может сигнализировать о возможном состоянии предболезни. Статистически достоверных различий по уровню выраженности нервно-психического напряжения не найдено (</w:t>
      </w:r>
      <w:r w:rsidRPr="00F050E1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ru-RU"/>
        </w:rPr>
        <w:t>x</w:t>
      </w:r>
      <w:r w:rsidRPr="00F050E1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2</w:t>
      </w:r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= 2,293, </w:t>
      </w:r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val="da-DK" w:eastAsia="ru-RU"/>
        </w:rPr>
        <w:t>p</w:t>
      </w:r>
      <w:r w:rsidRPr="00F050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=0,514).</w:t>
      </w:r>
    </w:p>
    <w:p w:rsidR="00777B19" w:rsidRPr="00F050E1" w:rsidRDefault="00777B19" w:rsidP="008F22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если рассматривать уровни нервно-психического напряжения, отражающие уровень приспособленности к условиям жизни, необходимо отметить что большая часть как жителей, так и мигрантов испытывают определенные трудности, у них отмечается напряжение адаптационных механизмов.  Однако предположение о том, что трудовые мигранты испытывают более сильное нервно-психическое напряжение по сравнению с местными жителями, не подтвердилось. </w:t>
      </w:r>
    </w:p>
    <w:p w:rsidR="00777B19" w:rsidRPr="00F050E1" w:rsidRDefault="00777B19" w:rsidP="008F22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Дальнейший анализ типа ответов о наличии симптомов адаптационного реагирования позволяет выделить тип адаптационного процесса, как наличие следов памяти о протекавшем процессе (М), процессе адаптации как реакции (Ре), адаптации как состояния (Со) и как развития (Ра).</w:t>
      </w:r>
    </w:p>
    <w:p w:rsidR="00777B19" w:rsidRPr="00F050E1" w:rsidRDefault="00777B19" w:rsidP="00777B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«было в прошлом, а сейчас нет», интерпретируются в рамках теста как отражение наличий в памяти актуальных следов памяти о процессе реагирования и приспособления к трудностям.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ответов 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 преобладание небольшого числа симптомов, при этом частота значимо не различается у мигрантов и жителей (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&gt;0,05).</w:t>
      </w:r>
    </w:p>
    <w:p w:rsidR="00777B19" w:rsidRPr="00F050E1" w:rsidRDefault="00777B19" w:rsidP="008F22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«появилось в последнее время», интерпретируются в рамках теста как появление элементов психологического страдания, что может свидетельствовать о воздействии вредоносного фактора или ослабления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адаптационных ресурсов. Как и в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предыдущем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отмечается некоторое преобладание симптомов, но различия в частотах у местных жителей и мигрантов статистически не достоверны (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&gt;0,05).</w:t>
      </w:r>
    </w:p>
    <w:p w:rsidR="00777B19" w:rsidRPr="00F050E1" w:rsidRDefault="00777B19" w:rsidP="008F22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Выраженность состояния. 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ответы интерпретируются как проявление длительного реагирования на стоящие перед человеком трудности и определенном истощении адаптационных ресурсов, и может свидетельствовать о наличии психосоматической и психической дисфункции или слабости адаптационных ресурсов. Однако выявлено, что и такой тип реагирования в исследованных группах значимо не различается (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&gt;0,05).</w:t>
      </w:r>
    </w:p>
    <w:p w:rsidR="00777B19" w:rsidRPr="00F050E1" w:rsidRDefault="00777B19" w:rsidP="00777B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7B19" w:rsidRPr="00F050E1" w:rsidRDefault="00777B19" w:rsidP="00777B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2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Частота ответов «есть и всегда было» у мигрантов и жителей города Санкт-Петербурга (параметр «развитие»).</w:t>
      </w:r>
    </w:p>
    <w:p w:rsidR="00777B19" w:rsidRPr="00F050E1" w:rsidRDefault="00777B19" w:rsidP="00777B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SimSun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4F2FB540" wp14:editId="74494AD0">
            <wp:extent cx="5657850" cy="25527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77B19" w:rsidRPr="00F050E1" w:rsidRDefault="00777B19" w:rsidP="00777B1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</w:t>
      </w:r>
    </w:p>
    <w:p w:rsidR="00777B19" w:rsidRPr="00F050E1" w:rsidRDefault="00777B19" w:rsidP="008F22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графике отмечается достоверное преобладание большего числа ответов у мигрантов, соответствующих типу реагирования «развитие» по шкале нервно-психической адаптации Гурвича, что может свидетельствовать о фиксации психосоматической или психической дисфункции, или слабости адаптационных ресурсов, психологических реакций (</w:t>
      </w:r>
      <w:r w:rsidRPr="00F050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x</w:t>
      </w:r>
      <w:r w:rsidRPr="00F050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=19.307, 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="008F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=0,013) 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77B19" w:rsidRPr="00F050E1" w:rsidRDefault="00777B19" w:rsidP="008F22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несмотря на то, что различий уровня нервно-психического напряжения у мигрантов и жителей города выявлено не было, тип адаптационного реагирования у них отличается. У мигрантов выявлено преобладание реагирования по типу развития, что свидетельствует о 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длительном напряжении адаптационных механизмов, что является неблагоприятным фактором. </w:t>
      </w:r>
    </w:p>
    <w:p w:rsidR="00777B19" w:rsidRDefault="00777B19" w:rsidP="008F22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0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регистров реагирования, помимо развития, не выявила значимых различий, что вероятно связано с тем, что при низкой напряженности процесса, симптомы носят не специфической характер и часто отражают не столько нарушение в сфере, сколько вовлеченность компенсаторных механизмов.</w:t>
      </w:r>
    </w:p>
    <w:p w:rsidR="008F2223" w:rsidRPr="00F050E1" w:rsidRDefault="008F2223" w:rsidP="008F22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19" w:rsidRPr="00F050E1" w:rsidRDefault="00777B19" w:rsidP="00777B19">
      <w:pPr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Рисунок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3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Вовлеченность регуляторного механизма в процесс адаптации (фактор «эмоциональная устойчивость»).</w:t>
      </w:r>
    </w:p>
    <w:p w:rsidR="00777B19" w:rsidRPr="00F050E1" w:rsidRDefault="00777B19" w:rsidP="00777B19">
      <w:pPr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Arial" w:eastAsia="SimSun" w:hAnsi="Arial" w:cs="Lucida Sans"/>
          <w:noProof/>
          <w:kern w:val="1"/>
          <w:sz w:val="20"/>
          <w:szCs w:val="24"/>
          <w:lang w:eastAsia="ru-RU"/>
        </w:rPr>
        <w:drawing>
          <wp:inline distT="0" distB="0" distL="0" distR="0" wp14:anchorId="3AC8035A" wp14:editId="26355BDA">
            <wp:extent cx="5915025" cy="24860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77B19" w:rsidRPr="00F050E1" w:rsidRDefault="00777B19" w:rsidP="00777B19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777B19" w:rsidRDefault="00777B19" w:rsidP="008F2223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По данному рисунку видно, что определенный процент мигрантов обнаруживают более низкую эмоциональную толерантность, низкий порог эмоциональных реакций, что указывает на возможное преобладание незрелых форм психических защит (агрессия, регресс), по сравнению с местным населением. Однако данная тенденция в различии между группами статистически не была подтверждена (</w:t>
      </w:r>
      <w:r w:rsidRPr="00F050E1">
        <w:rPr>
          <w:rFonts w:ascii="Times New Roman" w:eastAsia="SimSun" w:hAnsi="Times New Roman" w:cs="Times New Roman"/>
          <w:i/>
          <w:kern w:val="1"/>
          <w:sz w:val="28"/>
          <w:szCs w:val="28"/>
          <w:lang w:val="en-US" w:eastAsia="hi-IN" w:bidi="hi-IN"/>
        </w:rPr>
        <w:t>x</w:t>
      </w:r>
      <w:r w:rsidRPr="00F050E1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>2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=3,426, 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val="da-DK" w:eastAsia="hi-IN" w:bidi="hi-IN"/>
        </w:rPr>
        <w:t>p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=0,489).</w:t>
      </w:r>
    </w:p>
    <w:p w:rsidR="00777B19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Pr="00F050E1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Pr="00F050E1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 xml:space="preserve">Рисунок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4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Уровни соматической адаптации местных жителей и мигрантов.</w:t>
      </w:r>
    </w:p>
    <w:p w:rsidR="00777B19" w:rsidRPr="00F050E1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Arial" w:eastAsia="SimSun" w:hAnsi="Arial" w:cs="Lucida Sans"/>
          <w:noProof/>
          <w:kern w:val="1"/>
          <w:sz w:val="20"/>
          <w:szCs w:val="24"/>
          <w:lang w:eastAsia="ru-RU"/>
        </w:rPr>
        <w:drawing>
          <wp:inline distT="0" distB="0" distL="0" distR="0" wp14:anchorId="681190F6" wp14:editId="04F3143F">
            <wp:extent cx="5824151" cy="2331308"/>
            <wp:effectExtent l="0" t="0" r="5715" b="1206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77B19" w:rsidRPr="00F050E1" w:rsidRDefault="00777B19" w:rsidP="00777B19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Рис.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4</w:t>
      </w:r>
    </w:p>
    <w:p w:rsidR="00777B19" w:rsidRPr="00F050E1" w:rsidRDefault="00777B19" w:rsidP="008F2223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На данном графике видно, что большинство испытуемых обеих групп равномерно распределено и попадает в категорию лиц, не обнаруживших снижение соматического здоровья. Как мигранты, так и местные жители, в своем большинстве, относятся к </w:t>
      </w:r>
      <w:proofErr w:type="spellStart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диапозону</w:t>
      </w:r>
      <w:proofErr w:type="spellEnd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лиц с уровнем соматической адаптации от «очень высокого» до «среднего» для популяции, что говорит о </w:t>
      </w:r>
      <w:proofErr w:type="spellStart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ресурсности</w:t>
      </w:r>
      <w:proofErr w:type="spellEnd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их состояния, отсутствии симптомов снижения соматического здоровья, соматической </w:t>
      </w:r>
      <w:proofErr w:type="spellStart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адаптированности</w:t>
      </w:r>
      <w:proofErr w:type="spellEnd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 Частота встречаемости проявлений соматического страдания ниже среднего для популяции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Лишь небольшое количество мигрантов и </w:t>
      </w:r>
      <w:proofErr w:type="spellStart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метсных</w:t>
      </w:r>
      <w:proofErr w:type="spellEnd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жителей отметили наличие признаков снижения соматического здоровья.</w:t>
      </w:r>
    </w:p>
    <w:p w:rsidR="00777B19" w:rsidRDefault="00777B19" w:rsidP="008F2223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Статистическая проверка подтвердила суждение, что группы не различаются по уровню соматической </w:t>
      </w:r>
      <w:proofErr w:type="spellStart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адаптированности</w:t>
      </w:r>
      <w:proofErr w:type="spellEnd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</w:t>
      </w:r>
      <w:r w:rsidRPr="00F050E1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ru-RU"/>
        </w:rPr>
        <w:t>x</w:t>
      </w:r>
      <w:r w:rsidRPr="00F050E1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2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=0,439, 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val="da-DK" w:eastAsia="hi-IN" w:bidi="hi-IN"/>
        </w:rPr>
        <w:t>p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=0,936).</w:t>
      </w:r>
    </w:p>
    <w:p w:rsidR="00777B19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Pr="00F050E1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77B19" w:rsidRPr="00F050E1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Сравнение групп по уровню самооценки состояния.</w:t>
      </w:r>
    </w:p>
    <w:p w:rsidR="00777B19" w:rsidRPr="00F050E1" w:rsidRDefault="00777B19" w:rsidP="00777B19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noProof/>
          <w:lang w:eastAsia="ru-RU"/>
        </w:rPr>
        <w:drawing>
          <wp:inline distT="0" distB="0" distL="0" distR="0" wp14:anchorId="7C5C776B" wp14:editId="025E4F77">
            <wp:extent cx="5762625" cy="243840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77B19" w:rsidRPr="00F050E1" w:rsidRDefault="00777B19" w:rsidP="00777B19">
      <w:pPr>
        <w:widowControl w:val="0"/>
        <w:shd w:val="clear" w:color="auto" w:fill="FFFFFF"/>
        <w:tabs>
          <w:tab w:val="left" w:pos="2196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Рис.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5</w:t>
      </w:r>
    </w:p>
    <w:p w:rsidR="00777B19" w:rsidRPr="00F050E1" w:rsidRDefault="00777B19" w:rsidP="008F2223">
      <w:pPr>
        <w:widowControl w:val="0"/>
        <w:shd w:val="clear" w:color="auto" w:fill="FFFFFF"/>
        <w:tabs>
          <w:tab w:val="left" w:pos="2196"/>
        </w:tabs>
        <w:suppressAutoHyphens/>
        <w:spacing w:after="0" w:line="360" w:lineRule="auto"/>
        <w:ind w:firstLine="81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Исследование самооценки уровня социальной адаптации представлены на рисунке 10. Испытуемые из обеих групп оценили собственный потенциал и способность справляться со стрессовыми, конфликтными и т.п. ситуации в повседневной для ни жизни позитивно. Для участников обеих групп прослеживается тенденция оценивать себя как минимум как человека «справляющегося» с жизненными трудностями. Как мигрантам, так и местным жителям свойственен средний и высокий уровень самооценки, но также значительное количество испытуемых обнаружили уровень самооценки соответствующий завышенному. Завещанная самооценка несет в себе опасность переоценки собственных сил и возможностей в преодолении адаптационного стресса. </w:t>
      </w:r>
    </w:p>
    <w:p w:rsidR="00777B19" w:rsidRPr="00F050E1" w:rsidRDefault="00777B19" w:rsidP="008F2223">
      <w:pPr>
        <w:widowControl w:val="0"/>
        <w:shd w:val="clear" w:color="auto" w:fill="FFFFFF"/>
        <w:tabs>
          <w:tab w:val="left" w:pos="2196"/>
        </w:tabs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Проведя статистический анализ, мы обнаружили, что группы не </w:t>
      </w:r>
      <w:bookmarkStart w:id="2" w:name="_GoBack"/>
      <w:bookmarkEnd w:id="2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различаются по уровню самооценки (</w:t>
      </w:r>
      <w:r w:rsidRPr="00F050E1">
        <w:rPr>
          <w:rFonts w:ascii="Times New Roman" w:eastAsia="SimSun" w:hAnsi="Times New Roman" w:cs="Times New Roman"/>
          <w:i/>
          <w:kern w:val="1"/>
          <w:sz w:val="36"/>
          <w:szCs w:val="36"/>
          <w:lang w:val="en-US" w:eastAsia="hi-IN" w:bidi="hi-IN"/>
        </w:rPr>
        <w:t>x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2=0,6, 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p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&gt;0,05).</w:t>
      </w:r>
    </w:p>
    <w:p w:rsidR="006E792E" w:rsidRDefault="006E792E"/>
    <w:sectPr w:rsidR="006E792E" w:rsidSect="00593BE2">
      <w:footerReference w:type="default" r:id="rId12"/>
      <w:pgSz w:w="11906" w:h="16838"/>
      <w:pgMar w:top="1134" w:right="850" w:bottom="1134" w:left="1701" w:header="708" w:footer="708" w:gutter="0"/>
      <w:pgNumType w:start="4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A98" w:rsidRDefault="008E0A98" w:rsidP="00593BE2">
      <w:pPr>
        <w:spacing w:after="0" w:line="240" w:lineRule="auto"/>
      </w:pPr>
      <w:r>
        <w:separator/>
      </w:r>
    </w:p>
  </w:endnote>
  <w:endnote w:type="continuationSeparator" w:id="0">
    <w:p w:rsidR="008E0A98" w:rsidRDefault="008E0A98" w:rsidP="00593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5192354"/>
      <w:docPartObj>
        <w:docPartGallery w:val="Page Numbers (Bottom of Page)"/>
        <w:docPartUnique/>
      </w:docPartObj>
    </w:sdtPr>
    <w:sdtEndPr/>
    <w:sdtContent>
      <w:p w:rsidR="00593BE2" w:rsidRDefault="00593BE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223">
          <w:rPr>
            <w:noProof/>
          </w:rPr>
          <w:t>51</w:t>
        </w:r>
        <w:r>
          <w:fldChar w:fldCharType="end"/>
        </w:r>
      </w:p>
    </w:sdtContent>
  </w:sdt>
  <w:p w:rsidR="00593BE2" w:rsidRDefault="00593BE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A98" w:rsidRDefault="008E0A98" w:rsidP="00593BE2">
      <w:pPr>
        <w:spacing w:after="0" w:line="240" w:lineRule="auto"/>
      </w:pPr>
      <w:r>
        <w:separator/>
      </w:r>
    </w:p>
  </w:footnote>
  <w:footnote w:type="continuationSeparator" w:id="0">
    <w:p w:rsidR="008E0A98" w:rsidRDefault="008E0A98" w:rsidP="00593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D05"/>
    <w:rsid w:val="003726AE"/>
    <w:rsid w:val="00593BE2"/>
    <w:rsid w:val="006E792E"/>
    <w:rsid w:val="00777B19"/>
    <w:rsid w:val="008E0A98"/>
    <w:rsid w:val="008F2223"/>
    <w:rsid w:val="00C2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F2E42"/>
  <w15:chartTrackingRefBased/>
  <w15:docId w15:val="{8EF211CA-C0AB-4298-8B7E-C6727EA5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3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3BE2"/>
  </w:style>
  <w:style w:type="paragraph" w:styleId="a5">
    <w:name w:val="footer"/>
    <w:basedOn w:val="a"/>
    <w:link w:val="a6"/>
    <w:uiPriority w:val="99"/>
    <w:unhideWhenUsed/>
    <w:rsid w:val="00593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3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ysClr val="windowText" lastClr="000000"/>
                </a:solidFill>
              </a:rPr>
              <a:t>Уровень нервно-психического напряжения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унпа!$C$5</c:f>
              <c:strCache>
                <c:ptCount val="1"/>
                <c:pt idx="0">
                  <c:v>Местные жители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унпа!$A$6:$B$10</c:f>
              <c:strCache>
                <c:ptCount val="5"/>
                <c:pt idx="1">
                  <c:v>оптимальная адаптация</c:v>
                </c:pt>
                <c:pt idx="2">
                  <c:v>непатологическая психическая дезадаптация</c:v>
                </c:pt>
                <c:pt idx="3">
                  <c:v>патологическая психическая дезадаптация</c:v>
                </c:pt>
                <c:pt idx="4">
                  <c:v>вероятно болезненное состояние</c:v>
                </c:pt>
              </c:strCache>
            </c:strRef>
          </c:cat>
          <c:val>
            <c:numRef>
              <c:f>унпа!$C$6:$C$10</c:f>
              <c:numCache>
                <c:formatCode>###0</c:formatCode>
                <c:ptCount val="5"/>
                <c:pt idx="1">
                  <c:v>4</c:v>
                </c:pt>
                <c:pt idx="2">
                  <c:v>11</c:v>
                </c:pt>
                <c:pt idx="3">
                  <c:v>8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74-41FD-A32D-6DADC04665B5}"/>
            </c:ext>
          </c:extLst>
        </c:ser>
        <c:ser>
          <c:idx val="1"/>
          <c:order val="1"/>
          <c:tx>
            <c:strRef>
              <c:f>унпа!$D$5</c:f>
              <c:strCache>
                <c:ptCount val="1"/>
                <c:pt idx="0">
                  <c:v>Мигранты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унпа!$A$6:$B$10</c:f>
              <c:strCache>
                <c:ptCount val="5"/>
                <c:pt idx="1">
                  <c:v>оптимальная адаптация</c:v>
                </c:pt>
                <c:pt idx="2">
                  <c:v>непатологическая психическая дезадаптация</c:v>
                </c:pt>
                <c:pt idx="3">
                  <c:v>патологическая психическая дезадаптация</c:v>
                </c:pt>
                <c:pt idx="4">
                  <c:v>вероятно болезненное состояние</c:v>
                </c:pt>
              </c:strCache>
            </c:strRef>
          </c:cat>
          <c:val>
            <c:numRef>
              <c:f>унпа!$D$6:$D$10</c:f>
              <c:numCache>
                <c:formatCode>###0</c:formatCode>
                <c:ptCount val="5"/>
                <c:pt idx="1">
                  <c:v>6</c:v>
                </c:pt>
                <c:pt idx="2">
                  <c:v>8</c:v>
                </c:pt>
                <c:pt idx="3">
                  <c:v>5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74-41FD-A32D-6DADC04665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156416"/>
        <c:axId val="147847424"/>
        <c:axId val="0"/>
      </c:bar3DChart>
      <c:catAx>
        <c:axId val="24156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847424"/>
        <c:crosses val="autoZero"/>
        <c:auto val="1"/>
        <c:lblAlgn val="ctr"/>
        <c:lblOffset val="100"/>
        <c:noMultiLvlLbl val="0"/>
      </c:catAx>
      <c:valAx>
        <c:axId val="147847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5641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chemeClr val="tx1"/>
                </a:solidFill>
              </a:rPr>
              <a:t>Развитие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развитие!$C$5</c:f>
              <c:strCache>
                <c:ptCount val="1"/>
                <c:pt idx="0">
                  <c:v>Местные жители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развитие!$A$6:$B$14</c:f>
              <c:strCach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7</c:v>
                </c:pt>
                <c:pt idx="7">
                  <c:v>8</c:v>
                </c:pt>
                <c:pt idx="8">
                  <c:v>10</c:v>
                </c:pt>
              </c:strCache>
            </c:strRef>
          </c:cat>
          <c:val>
            <c:numRef>
              <c:f>развитие!$C$6:$C$14</c:f>
              <c:numCache>
                <c:formatCode>###0</c:formatCode>
                <c:ptCount val="9"/>
                <c:pt idx="0">
                  <c:v>10</c:v>
                </c:pt>
                <c:pt idx="1">
                  <c:v>9</c:v>
                </c:pt>
                <c:pt idx="2">
                  <c:v>5</c:v>
                </c:pt>
                <c:pt idx="3">
                  <c:v>6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1B-4F60-99B2-705219D463C7}"/>
            </c:ext>
          </c:extLst>
        </c:ser>
        <c:ser>
          <c:idx val="1"/>
          <c:order val="1"/>
          <c:tx>
            <c:strRef>
              <c:f>развитие!$D$5</c:f>
              <c:strCache>
                <c:ptCount val="1"/>
                <c:pt idx="0">
                  <c:v>Мигранты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развитие!$A$6:$B$14</c:f>
              <c:strCach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7</c:v>
                </c:pt>
                <c:pt idx="7">
                  <c:v>8</c:v>
                </c:pt>
                <c:pt idx="8">
                  <c:v>10</c:v>
                </c:pt>
              </c:strCache>
            </c:strRef>
          </c:cat>
          <c:val>
            <c:numRef>
              <c:f>развитие!$D$6:$D$14</c:f>
              <c:numCache>
                <c:formatCode>###0</c:formatCode>
                <c:ptCount val="9"/>
                <c:pt idx="0">
                  <c:v>9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  <c:pt idx="4">
                  <c:v>5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1B-4F60-99B2-705219D463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789760"/>
        <c:axId val="24791296"/>
      </c:barChart>
      <c:catAx>
        <c:axId val="2478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791296"/>
        <c:crosses val="autoZero"/>
        <c:auto val="1"/>
        <c:lblAlgn val="ctr"/>
        <c:lblOffset val="100"/>
        <c:noMultiLvlLbl val="0"/>
      </c:catAx>
      <c:valAx>
        <c:axId val="2479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789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chemeClr val="tx1"/>
                </a:solidFill>
              </a:rPr>
              <a:t>Эмоциональная устойчивость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эр!$C$5:$C$6</c:f>
              <c:strCache>
                <c:ptCount val="2"/>
                <c:pt idx="0">
                  <c:v>Местные жители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cat>
            <c:strRef>
              <c:f>эр!$A$7:$B$11</c:f>
              <c:strCache>
                <c:ptCount val="5"/>
                <c:pt idx="0">
                  <c:v>сильно выражено</c:v>
                </c:pt>
                <c:pt idx="1">
                  <c:v>выражено</c:v>
                </c:pt>
                <c:pt idx="2">
                  <c:v>средне</c:v>
                </c:pt>
                <c:pt idx="3">
                  <c:v>слабо</c:v>
                </c:pt>
                <c:pt idx="4">
                  <c:v>недифференциировано</c:v>
                </c:pt>
              </c:strCache>
            </c:strRef>
          </c:cat>
          <c:val>
            <c:numRef>
              <c:f>эр!$C$7:$C$11</c:f>
              <c:numCache>
                <c:formatCode>###0</c:formatCode>
                <c:ptCount val="5"/>
                <c:pt idx="0">
                  <c:v>2</c:v>
                </c:pt>
                <c:pt idx="1">
                  <c:v>2</c:v>
                </c:pt>
                <c:pt idx="2">
                  <c:v>15</c:v>
                </c:pt>
                <c:pt idx="3">
                  <c:v>7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27-4EDE-AD2D-8F92E0D9553E}"/>
            </c:ext>
          </c:extLst>
        </c:ser>
        <c:ser>
          <c:idx val="1"/>
          <c:order val="1"/>
          <c:tx>
            <c:strRef>
              <c:f>эр!$D$5:$D$6</c:f>
              <c:strCache>
                <c:ptCount val="2"/>
                <c:pt idx="0">
                  <c:v>Мигранты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cat>
            <c:strRef>
              <c:f>эр!$A$7:$B$11</c:f>
              <c:strCache>
                <c:ptCount val="5"/>
                <c:pt idx="0">
                  <c:v>сильно выражено</c:v>
                </c:pt>
                <c:pt idx="1">
                  <c:v>выражено</c:v>
                </c:pt>
                <c:pt idx="2">
                  <c:v>средне</c:v>
                </c:pt>
                <c:pt idx="3">
                  <c:v>слабо</c:v>
                </c:pt>
                <c:pt idx="4">
                  <c:v>недифференциировано</c:v>
                </c:pt>
              </c:strCache>
            </c:strRef>
          </c:cat>
          <c:val>
            <c:numRef>
              <c:f>эр!$D$7:$D$11</c:f>
              <c:numCache>
                <c:formatCode>###0</c:formatCode>
                <c:ptCount val="5"/>
                <c:pt idx="0">
                  <c:v>1</c:v>
                </c:pt>
                <c:pt idx="1">
                  <c:v>6</c:v>
                </c:pt>
                <c:pt idx="2">
                  <c:v>11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27-4EDE-AD2D-8F92E0D955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168320"/>
        <c:axId val="26174208"/>
      </c:barChart>
      <c:catAx>
        <c:axId val="26168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74208"/>
        <c:crosses val="autoZero"/>
        <c:auto val="1"/>
        <c:lblAlgn val="ctr"/>
        <c:lblOffset val="100"/>
        <c:noMultiLvlLbl val="0"/>
      </c:catAx>
      <c:valAx>
        <c:axId val="26174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683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solidFill>
                  <a:schemeClr val="tx1"/>
                </a:solidFill>
                <a:effectLst/>
              </a:rPr>
              <a:t>Соматическая адаптация</a:t>
            </a:r>
            <a:r>
              <a:rPr lang="ru-RU" sz="1400" b="0" i="0" u="none" strike="noStrike" baseline="0">
                <a:solidFill>
                  <a:schemeClr val="tx1"/>
                </a:solidFill>
              </a:rPr>
              <a:t> </a:t>
            </a:r>
            <a:endParaRPr lang="ru-RU" baseline="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уса!$C$5:$C$6</c:f>
              <c:strCache>
                <c:ptCount val="2"/>
                <c:pt idx="0">
                  <c:v>Местные жители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уса!$A$7:$B$10</c:f>
              <c:strCache>
                <c:ptCount val="4"/>
                <c:pt idx="0">
                  <c:v>очень высокая</c:v>
                </c:pt>
                <c:pt idx="1">
                  <c:v>выше среднего</c:v>
                </c:pt>
                <c:pt idx="2">
                  <c:v>средняя</c:v>
                </c:pt>
                <c:pt idx="3">
                  <c:v>низкая</c:v>
                </c:pt>
              </c:strCache>
            </c:strRef>
          </c:cat>
          <c:val>
            <c:numRef>
              <c:f>уса!$C$7:$C$10</c:f>
              <c:numCache>
                <c:formatCode>###0</c:formatCode>
                <c:ptCount val="4"/>
                <c:pt idx="0">
                  <c:v>5</c:v>
                </c:pt>
                <c:pt idx="1">
                  <c:v>14</c:v>
                </c:pt>
                <c:pt idx="2">
                  <c:v>10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A4-47D1-A9F9-758CBBA1EC57}"/>
            </c:ext>
          </c:extLst>
        </c:ser>
        <c:ser>
          <c:idx val="1"/>
          <c:order val="1"/>
          <c:tx>
            <c:strRef>
              <c:f>уса!$D$5:$D$6</c:f>
              <c:strCache>
                <c:ptCount val="2"/>
                <c:pt idx="0">
                  <c:v>Мигранты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уса!$A$7:$B$10</c:f>
              <c:strCache>
                <c:ptCount val="4"/>
                <c:pt idx="0">
                  <c:v>очень высокая</c:v>
                </c:pt>
                <c:pt idx="1">
                  <c:v>выше среднего</c:v>
                </c:pt>
                <c:pt idx="2">
                  <c:v>средняя</c:v>
                </c:pt>
                <c:pt idx="3">
                  <c:v>низкая</c:v>
                </c:pt>
              </c:strCache>
            </c:strRef>
          </c:cat>
          <c:val>
            <c:numRef>
              <c:f>уса!$D$7:$D$10</c:f>
              <c:numCache>
                <c:formatCode>###0</c:formatCode>
                <c:ptCount val="4"/>
                <c:pt idx="0">
                  <c:v>5</c:v>
                </c:pt>
                <c:pt idx="1">
                  <c:v>13</c:v>
                </c:pt>
                <c:pt idx="2">
                  <c:v>12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A4-47D1-A9F9-758CBBA1EC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286336"/>
        <c:axId val="26292224"/>
      </c:barChart>
      <c:catAx>
        <c:axId val="2628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92224"/>
        <c:crosses val="autoZero"/>
        <c:auto val="1"/>
        <c:lblAlgn val="ctr"/>
        <c:lblOffset val="100"/>
        <c:noMultiLvlLbl val="0"/>
      </c:catAx>
      <c:valAx>
        <c:axId val="2629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8633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chemeClr val="tx1"/>
                </a:solidFill>
              </a:rPr>
              <a:t>Уровень самооценки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Sheet1!$C$845</c:f>
              <c:strCache>
                <c:ptCount val="1"/>
                <c:pt idx="0">
                  <c:v>Местные жители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Sheet1!$A$846:$B$849</c:f>
              <c:strCache>
                <c:ptCount val="4"/>
                <c:pt idx="1">
                  <c:v>средний</c:v>
                </c:pt>
                <c:pt idx="2">
                  <c:v>высокий</c:v>
                </c:pt>
                <c:pt idx="3">
                  <c:v>завышенный</c:v>
                </c:pt>
              </c:strCache>
            </c:strRef>
          </c:cat>
          <c:val>
            <c:numRef>
              <c:f>Sheet1!$C$846:$C$849</c:f>
              <c:numCache>
                <c:formatCode>###0</c:formatCode>
                <c:ptCount val="4"/>
                <c:pt idx="1">
                  <c:v>5</c:v>
                </c:pt>
                <c:pt idx="2">
                  <c:v>14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15-4937-85FE-CA0AD1CC0D99}"/>
            </c:ext>
          </c:extLst>
        </c:ser>
        <c:ser>
          <c:idx val="1"/>
          <c:order val="1"/>
          <c:tx>
            <c:strRef>
              <c:f>Sheet1!$D$845</c:f>
              <c:strCache>
                <c:ptCount val="1"/>
                <c:pt idx="0">
                  <c:v>Мигранты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Sheet1!$A$846:$B$849</c:f>
              <c:strCache>
                <c:ptCount val="4"/>
                <c:pt idx="1">
                  <c:v>средний</c:v>
                </c:pt>
                <c:pt idx="2">
                  <c:v>высокий</c:v>
                </c:pt>
                <c:pt idx="3">
                  <c:v>завышенный</c:v>
                </c:pt>
              </c:strCache>
            </c:strRef>
          </c:cat>
          <c:val>
            <c:numRef>
              <c:f>Sheet1!$D$846:$D$849</c:f>
              <c:numCache>
                <c:formatCode>###0</c:formatCode>
                <c:ptCount val="4"/>
                <c:pt idx="1">
                  <c:v>3</c:v>
                </c:pt>
                <c:pt idx="2">
                  <c:v>11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15-4937-85FE-CA0AD1CC0D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542016"/>
        <c:axId val="151547904"/>
        <c:axId val="0"/>
      </c:bar3DChart>
      <c:catAx>
        <c:axId val="151542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47904"/>
        <c:crosses val="autoZero"/>
        <c:auto val="1"/>
        <c:lblAlgn val="ctr"/>
        <c:lblOffset val="100"/>
        <c:noMultiLvlLbl val="0"/>
      </c:catAx>
      <c:valAx>
        <c:axId val="151547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4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8F7B8-99E4-4AA2-AC35-FE76091F5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974</Words>
  <Characters>5552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2018-06-04T22:38:00Z</dcterms:created>
  <dcterms:modified xsi:type="dcterms:W3CDTF">2018-06-05T07:11:00Z</dcterms:modified>
</cp:coreProperties>
</file>