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04E" w:rsidRPr="00E171AB" w:rsidRDefault="007D704E" w:rsidP="007D704E">
      <w:pPr>
        <w:pStyle w:val="a9"/>
        <w:spacing w:before="0" w:line="360" w:lineRule="auto"/>
        <w:jc w:val="center"/>
        <w:rPr>
          <w:rFonts w:ascii="Times New Roman" w:eastAsia="Calibri" w:hAnsi="Times New Roman"/>
          <w:color w:val="auto"/>
          <w:sz w:val="22"/>
          <w:szCs w:val="22"/>
          <w:lang w:eastAsia="en-US"/>
        </w:rPr>
      </w:pPr>
      <w:r w:rsidRPr="00E171AB">
        <w:rPr>
          <w:rFonts w:ascii="Times New Roman" w:eastAsia="Calibri" w:hAnsi="Times New Roman"/>
          <w:color w:val="auto"/>
          <w:sz w:val="22"/>
          <w:szCs w:val="22"/>
          <w:lang w:eastAsia="en-US"/>
        </w:rPr>
        <w:t>Санкт-Петербургский государственный университет</w:t>
      </w:r>
    </w:p>
    <w:p w:rsidR="007D704E" w:rsidRPr="006D6091" w:rsidRDefault="007D704E" w:rsidP="007D704E">
      <w:pPr>
        <w:spacing w:after="0" w:line="360" w:lineRule="auto"/>
        <w:jc w:val="center"/>
        <w:rPr>
          <w:rFonts w:ascii="Times New Roman" w:hAnsi="Times New Roman"/>
        </w:rPr>
      </w:pPr>
      <w:r w:rsidRPr="006D6091">
        <w:rPr>
          <w:rFonts w:ascii="Times New Roman" w:hAnsi="Times New Roman"/>
        </w:rPr>
        <w:t>Экономический факультет</w:t>
      </w:r>
    </w:p>
    <w:p w:rsidR="007D704E" w:rsidRDefault="007D704E" w:rsidP="007D704E">
      <w:pPr>
        <w:spacing w:after="0" w:line="360" w:lineRule="auto"/>
        <w:jc w:val="center"/>
        <w:rPr>
          <w:rFonts w:ascii="Times New Roman" w:hAnsi="Times New Roman"/>
        </w:rPr>
      </w:pPr>
      <w:r w:rsidRPr="006D6091">
        <w:rPr>
          <w:rFonts w:ascii="Times New Roman" w:hAnsi="Times New Roman"/>
        </w:rPr>
        <w:t>Кафедра статистики, учёта и аудита</w:t>
      </w:r>
    </w:p>
    <w:p w:rsidR="007D704E" w:rsidRDefault="007D704E" w:rsidP="007D704E">
      <w:pPr>
        <w:spacing w:after="0" w:line="360" w:lineRule="auto"/>
        <w:jc w:val="center"/>
        <w:rPr>
          <w:rFonts w:ascii="Times New Roman" w:hAnsi="Times New Roman"/>
        </w:rPr>
      </w:pPr>
    </w:p>
    <w:p w:rsidR="007D704E" w:rsidRDefault="007D704E" w:rsidP="007D704E">
      <w:pPr>
        <w:spacing w:after="0" w:line="360" w:lineRule="auto"/>
        <w:jc w:val="center"/>
        <w:rPr>
          <w:rFonts w:ascii="Times New Roman" w:hAnsi="Times New Roman"/>
        </w:rPr>
      </w:pPr>
    </w:p>
    <w:p w:rsidR="007D704E" w:rsidRDefault="007D704E" w:rsidP="007D704E">
      <w:pPr>
        <w:spacing w:after="0" w:line="360" w:lineRule="auto"/>
        <w:rPr>
          <w:rFonts w:ascii="Times New Roman" w:hAnsi="Times New Roman"/>
        </w:rPr>
      </w:pPr>
    </w:p>
    <w:p w:rsidR="007D704E" w:rsidRDefault="007D704E" w:rsidP="007D704E">
      <w:pPr>
        <w:spacing w:after="0" w:line="360" w:lineRule="auto"/>
        <w:jc w:val="center"/>
        <w:rPr>
          <w:rFonts w:ascii="Times New Roman" w:hAnsi="Times New Roman"/>
        </w:rPr>
      </w:pPr>
    </w:p>
    <w:p w:rsidR="007D704E" w:rsidRDefault="007D704E" w:rsidP="007D704E">
      <w:pPr>
        <w:spacing w:after="0" w:line="360" w:lineRule="auto"/>
        <w:jc w:val="center"/>
        <w:rPr>
          <w:rFonts w:ascii="Times New Roman" w:hAnsi="Times New Roman"/>
        </w:rPr>
      </w:pPr>
    </w:p>
    <w:p w:rsidR="007D704E" w:rsidRDefault="007D704E" w:rsidP="007D704E">
      <w:pPr>
        <w:spacing w:after="0" w:line="360" w:lineRule="auto"/>
        <w:jc w:val="center"/>
        <w:rPr>
          <w:rFonts w:ascii="Times New Roman" w:hAnsi="Times New Roman"/>
        </w:rPr>
      </w:pPr>
    </w:p>
    <w:p w:rsidR="007D704E" w:rsidRDefault="007D704E" w:rsidP="007D704E">
      <w:pPr>
        <w:spacing w:after="0" w:line="360" w:lineRule="auto"/>
        <w:jc w:val="center"/>
        <w:rPr>
          <w:rFonts w:ascii="Times New Roman" w:hAnsi="Times New Roman"/>
          <w:b/>
          <w:sz w:val="36"/>
        </w:rPr>
      </w:pPr>
      <w:r w:rsidRPr="006D6091">
        <w:rPr>
          <w:rFonts w:ascii="Times New Roman" w:hAnsi="Times New Roman"/>
          <w:b/>
          <w:sz w:val="36"/>
        </w:rPr>
        <w:t xml:space="preserve">ПРОБЛЕМЫ </w:t>
      </w:r>
      <w:r>
        <w:rPr>
          <w:rFonts w:ascii="Times New Roman" w:hAnsi="Times New Roman"/>
          <w:b/>
          <w:sz w:val="36"/>
        </w:rPr>
        <w:t>ТРАНСФЕРТНОГО ЦЕНООБРАЗОВАНИЯ</w:t>
      </w:r>
    </w:p>
    <w:p w:rsidR="007D704E" w:rsidRDefault="007D704E" w:rsidP="007D704E">
      <w:pPr>
        <w:spacing w:after="0" w:line="360" w:lineRule="auto"/>
        <w:jc w:val="center"/>
        <w:rPr>
          <w:rFonts w:ascii="Times New Roman" w:hAnsi="Times New Roman"/>
        </w:rPr>
      </w:pPr>
    </w:p>
    <w:p w:rsidR="007D704E" w:rsidRPr="007D704E" w:rsidRDefault="007D704E" w:rsidP="007D704E">
      <w:pPr>
        <w:spacing w:after="0" w:line="360" w:lineRule="auto"/>
        <w:jc w:val="center"/>
        <w:rPr>
          <w:rFonts w:ascii="Times New Roman" w:hAnsi="Times New Roman"/>
        </w:rPr>
      </w:pPr>
      <w:r w:rsidRPr="007D704E">
        <w:rPr>
          <w:rFonts w:ascii="Times New Roman" w:hAnsi="Times New Roman"/>
        </w:rPr>
        <w:t>ВЫПУСКНАЯ КВАЛИФИКАЦИОННАЯ РАБОТА</w:t>
      </w:r>
    </w:p>
    <w:p w:rsidR="007D704E" w:rsidRPr="007D704E" w:rsidRDefault="007D704E" w:rsidP="007D704E">
      <w:pPr>
        <w:spacing w:after="0" w:line="360" w:lineRule="auto"/>
        <w:jc w:val="center"/>
        <w:rPr>
          <w:rFonts w:ascii="Times New Roman" w:hAnsi="Times New Roman"/>
        </w:rPr>
      </w:pPr>
      <w:r w:rsidRPr="007D704E">
        <w:rPr>
          <w:rFonts w:ascii="Times New Roman" w:hAnsi="Times New Roman"/>
        </w:rPr>
        <w:t>По направлению 38.03.01 – «Экономика»</w:t>
      </w:r>
    </w:p>
    <w:p w:rsidR="007D704E" w:rsidRPr="007D704E" w:rsidRDefault="007D704E" w:rsidP="007D704E">
      <w:pPr>
        <w:spacing w:after="0" w:line="360" w:lineRule="auto"/>
        <w:rPr>
          <w:rFonts w:ascii="Times New Roman" w:hAnsi="Times New Roman"/>
        </w:rPr>
      </w:pPr>
    </w:p>
    <w:p w:rsidR="007D704E" w:rsidRPr="007D704E" w:rsidRDefault="007D704E" w:rsidP="007D704E">
      <w:pPr>
        <w:spacing w:after="0" w:line="360" w:lineRule="auto"/>
        <w:jc w:val="center"/>
        <w:rPr>
          <w:rFonts w:ascii="Times New Roman" w:hAnsi="Times New Roman"/>
        </w:rPr>
      </w:pPr>
    </w:p>
    <w:p w:rsidR="007D704E" w:rsidRPr="007D704E" w:rsidRDefault="007D704E" w:rsidP="007D704E">
      <w:pPr>
        <w:spacing w:after="0" w:line="360" w:lineRule="auto"/>
        <w:jc w:val="center"/>
        <w:rPr>
          <w:rFonts w:ascii="Times New Roman" w:hAnsi="Times New Roman"/>
        </w:rPr>
      </w:pPr>
    </w:p>
    <w:p w:rsidR="007D704E" w:rsidRPr="007D704E" w:rsidRDefault="007D704E" w:rsidP="007D704E">
      <w:pPr>
        <w:spacing w:after="0" w:line="360" w:lineRule="auto"/>
        <w:ind w:left="5664"/>
        <w:rPr>
          <w:rFonts w:ascii="Times New Roman" w:hAnsi="Times New Roman"/>
        </w:rPr>
      </w:pPr>
      <w:r w:rsidRPr="007D704E">
        <w:rPr>
          <w:rFonts w:ascii="Times New Roman" w:hAnsi="Times New Roman"/>
        </w:rPr>
        <w:t>Выполнил:</w:t>
      </w:r>
    </w:p>
    <w:p w:rsidR="007D704E" w:rsidRPr="007D704E" w:rsidRDefault="007D704E" w:rsidP="007D704E">
      <w:pPr>
        <w:spacing w:after="0" w:line="360" w:lineRule="auto"/>
        <w:ind w:left="5664"/>
        <w:rPr>
          <w:rFonts w:ascii="Times New Roman" w:hAnsi="Times New Roman"/>
        </w:rPr>
      </w:pPr>
      <w:r w:rsidRPr="007D704E">
        <w:rPr>
          <w:rFonts w:ascii="Times New Roman" w:hAnsi="Times New Roman"/>
        </w:rPr>
        <w:t>Бакалавриант 4 курса, группы ФКСиУ-41</w:t>
      </w:r>
    </w:p>
    <w:p w:rsidR="007D704E" w:rsidRPr="007D704E" w:rsidRDefault="007D704E" w:rsidP="007D704E">
      <w:pPr>
        <w:spacing w:after="0" w:line="360" w:lineRule="auto"/>
        <w:ind w:left="5664"/>
        <w:rPr>
          <w:rFonts w:ascii="Times New Roman" w:hAnsi="Times New Roman"/>
        </w:rPr>
      </w:pPr>
      <w:r w:rsidRPr="007D704E">
        <w:rPr>
          <w:rFonts w:ascii="Times New Roman" w:hAnsi="Times New Roman"/>
        </w:rPr>
        <w:t>Забиякин Иван Владимирович</w:t>
      </w:r>
    </w:p>
    <w:p w:rsidR="007D704E" w:rsidRPr="007D704E" w:rsidRDefault="007D704E" w:rsidP="007D704E">
      <w:pPr>
        <w:spacing w:after="0" w:line="360" w:lineRule="auto"/>
        <w:ind w:left="5664"/>
        <w:rPr>
          <w:rFonts w:ascii="Times New Roman" w:hAnsi="Times New Roman"/>
        </w:rPr>
      </w:pPr>
      <w:r w:rsidRPr="007D704E">
        <w:rPr>
          <w:rFonts w:ascii="Times New Roman" w:hAnsi="Times New Roman"/>
        </w:rPr>
        <w:t>/_______________________________/</w:t>
      </w:r>
    </w:p>
    <w:p w:rsidR="007D704E" w:rsidRPr="007D704E" w:rsidRDefault="0001686C" w:rsidP="007D704E">
      <w:pPr>
        <w:spacing w:after="0" w:line="360" w:lineRule="auto"/>
        <w:ind w:left="5664"/>
        <w:rPr>
          <w:rFonts w:ascii="Times New Roman" w:hAnsi="Times New Roman"/>
        </w:rPr>
      </w:pPr>
      <w:r>
        <w:rPr>
          <w:rFonts w:ascii="Times New Roman" w:hAnsi="Times New Roman"/>
        </w:rPr>
        <w:t>Научный руково</w:t>
      </w:r>
      <w:r w:rsidR="007D704E" w:rsidRPr="007D704E">
        <w:rPr>
          <w:rFonts w:ascii="Times New Roman" w:hAnsi="Times New Roman"/>
        </w:rPr>
        <w:t>дитель:</w:t>
      </w:r>
    </w:p>
    <w:p w:rsidR="007D704E" w:rsidRPr="007D704E" w:rsidRDefault="007D704E" w:rsidP="007D704E">
      <w:pPr>
        <w:spacing w:after="0" w:line="360" w:lineRule="auto"/>
        <w:ind w:left="5664"/>
        <w:rPr>
          <w:rFonts w:ascii="Times New Roman" w:hAnsi="Times New Roman"/>
        </w:rPr>
      </w:pPr>
      <w:r w:rsidRPr="007D704E">
        <w:rPr>
          <w:rFonts w:ascii="Times New Roman" w:hAnsi="Times New Roman"/>
        </w:rPr>
        <w:t>К.э.н., доцент</w:t>
      </w:r>
    </w:p>
    <w:p w:rsidR="007D704E" w:rsidRPr="007D704E" w:rsidRDefault="007D704E" w:rsidP="007D704E">
      <w:pPr>
        <w:spacing w:after="0" w:line="360" w:lineRule="auto"/>
        <w:ind w:left="5664"/>
        <w:rPr>
          <w:rFonts w:ascii="Times New Roman" w:hAnsi="Times New Roman"/>
        </w:rPr>
      </w:pPr>
      <w:r w:rsidRPr="007D704E">
        <w:rPr>
          <w:rFonts w:ascii="Times New Roman" w:hAnsi="Times New Roman"/>
        </w:rPr>
        <w:t>Быков Василий Александрович</w:t>
      </w:r>
    </w:p>
    <w:p w:rsidR="007D704E" w:rsidRPr="007D704E" w:rsidRDefault="007D704E" w:rsidP="007D704E">
      <w:pPr>
        <w:spacing w:after="0" w:line="360" w:lineRule="auto"/>
        <w:ind w:left="5664"/>
        <w:rPr>
          <w:rFonts w:ascii="Times New Roman" w:hAnsi="Times New Roman"/>
        </w:rPr>
      </w:pPr>
      <w:r w:rsidRPr="007D704E">
        <w:rPr>
          <w:rFonts w:ascii="Times New Roman" w:hAnsi="Times New Roman"/>
        </w:rPr>
        <w:t>/_______________________________/</w:t>
      </w:r>
    </w:p>
    <w:p w:rsidR="007D704E" w:rsidRPr="007D704E" w:rsidRDefault="007D704E" w:rsidP="007D704E">
      <w:pPr>
        <w:spacing w:after="0" w:line="360" w:lineRule="auto"/>
        <w:ind w:left="5664"/>
        <w:rPr>
          <w:rFonts w:ascii="Times New Roman" w:hAnsi="Times New Roman"/>
        </w:rPr>
      </w:pPr>
    </w:p>
    <w:p w:rsidR="007D704E" w:rsidRPr="007D704E" w:rsidRDefault="007D704E" w:rsidP="007D704E">
      <w:pPr>
        <w:spacing w:after="0" w:line="360" w:lineRule="auto"/>
        <w:rPr>
          <w:rFonts w:ascii="Times New Roman" w:hAnsi="Times New Roman"/>
        </w:rPr>
      </w:pPr>
    </w:p>
    <w:p w:rsidR="007D704E" w:rsidRPr="007D704E" w:rsidRDefault="007D704E" w:rsidP="007D704E">
      <w:pPr>
        <w:spacing w:after="0" w:line="360" w:lineRule="auto"/>
        <w:rPr>
          <w:rFonts w:ascii="Times New Roman" w:hAnsi="Times New Roman"/>
        </w:rPr>
      </w:pPr>
      <w:r w:rsidRPr="007D704E">
        <w:rPr>
          <w:rFonts w:ascii="Times New Roman" w:hAnsi="Times New Roman"/>
        </w:rPr>
        <w:t>Работа допущена к защите</w:t>
      </w:r>
    </w:p>
    <w:p w:rsidR="007D704E" w:rsidRPr="007D704E" w:rsidRDefault="007D704E" w:rsidP="007D704E">
      <w:pPr>
        <w:spacing w:after="0" w:line="360" w:lineRule="auto"/>
        <w:rPr>
          <w:rFonts w:ascii="Times New Roman" w:hAnsi="Times New Roman"/>
        </w:rPr>
      </w:pPr>
      <w:r w:rsidRPr="007D704E">
        <w:rPr>
          <w:rFonts w:ascii="Times New Roman" w:hAnsi="Times New Roman"/>
        </w:rPr>
        <w:t>«__»_____________2018 г.</w:t>
      </w:r>
    </w:p>
    <w:p w:rsidR="007D704E" w:rsidRPr="007D704E" w:rsidRDefault="007D704E" w:rsidP="007D704E">
      <w:pPr>
        <w:spacing w:after="0" w:line="360" w:lineRule="auto"/>
        <w:rPr>
          <w:rFonts w:ascii="Times New Roman" w:hAnsi="Times New Roman"/>
        </w:rPr>
      </w:pPr>
      <w:r w:rsidRPr="007D704E">
        <w:rPr>
          <w:rFonts w:ascii="Times New Roman" w:hAnsi="Times New Roman"/>
        </w:rPr>
        <w:t xml:space="preserve">Зав. кафедрой </w:t>
      </w:r>
      <w:bookmarkStart w:id="0" w:name="_GoBack"/>
      <w:bookmarkEnd w:id="0"/>
    </w:p>
    <w:p w:rsidR="007D704E" w:rsidRPr="007D704E" w:rsidRDefault="007D704E" w:rsidP="007D704E">
      <w:pPr>
        <w:spacing w:after="0" w:line="360" w:lineRule="auto"/>
        <w:rPr>
          <w:rFonts w:ascii="Times New Roman" w:hAnsi="Times New Roman"/>
        </w:rPr>
      </w:pPr>
      <w:r w:rsidRPr="007D704E">
        <w:rPr>
          <w:rFonts w:ascii="Times New Roman" w:hAnsi="Times New Roman"/>
        </w:rPr>
        <w:t>к.</w:t>
      </w:r>
      <w:r w:rsidR="00523C65">
        <w:rPr>
          <w:rFonts w:ascii="Times New Roman" w:hAnsi="Times New Roman"/>
        </w:rPr>
        <w:t>э</w:t>
      </w:r>
      <w:r w:rsidRPr="007D704E">
        <w:rPr>
          <w:rFonts w:ascii="Times New Roman" w:hAnsi="Times New Roman"/>
        </w:rPr>
        <w:t>.н., доцент ФИО</w:t>
      </w:r>
    </w:p>
    <w:p w:rsidR="007D704E" w:rsidRPr="007D704E" w:rsidRDefault="007D704E" w:rsidP="007D704E">
      <w:pPr>
        <w:spacing w:after="0" w:line="360" w:lineRule="auto"/>
        <w:rPr>
          <w:rFonts w:ascii="Times New Roman" w:hAnsi="Times New Roman"/>
        </w:rPr>
      </w:pPr>
      <w:r w:rsidRPr="007D704E">
        <w:rPr>
          <w:rFonts w:ascii="Times New Roman" w:hAnsi="Times New Roman"/>
        </w:rPr>
        <w:t>/_______________________________/</w:t>
      </w:r>
    </w:p>
    <w:p w:rsidR="007D704E" w:rsidRPr="007D704E" w:rsidRDefault="007D704E" w:rsidP="007D704E">
      <w:pPr>
        <w:spacing w:after="0" w:line="360" w:lineRule="auto"/>
        <w:ind w:left="5664"/>
        <w:rPr>
          <w:rFonts w:ascii="Times New Roman" w:hAnsi="Times New Roman"/>
        </w:rPr>
      </w:pPr>
    </w:p>
    <w:p w:rsidR="007D704E" w:rsidRPr="007D704E" w:rsidRDefault="007D704E" w:rsidP="007D704E">
      <w:pPr>
        <w:spacing w:after="0" w:line="360" w:lineRule="auto"/>
        <w:rPr>
          <w:rFonts w:ascii="Times New Roman" w:hAnsi="Times New Roman"/>
        </w:rPr>
      </w:pPr>
    </w:p>
    <w:p w:rsidR="007D704E" w:rsidRPr="007D704E" w:rsidRDefault="007D704E" w:rsidP="007D704E">
      <w:pPr>
        <w:spacing w:after="0" w:line="360" w:lineRule="auto"/>
        <w:jc w:val="center"/>
        <w:rPr>
          <w:rFonts w:ascii="Times New Roman" w:hAnsi="Times New Roman"/>
        </w:rPr>
      </w:pPr>
      <w:r w:rsidRPr="007D704E">
        <w:rPr>
          <w:rFonts w:ascii="Times New Roman" w:hAnsi="Times New Roman"/>
        </w:rPr>
        <w:t>Санкт-Петербург</w:t>
      </w:r>
    </w:p>
    <w:p w:rsidR="007D704E" w:rsidRPr="007D704E" w:rsidRDefault="007D704E" w:rsidP="007D704E">
      <w:pPr>
        <w:spacing w:after="0" w:line="360" w:lineRule="auto"/>
        <w:jc w:val="center"/>
        <w:rPr>
          <w:rFonts w:ascii="Times New Roman" w:hAnsi="Times New Roman"/>
        </w:rPr>
      </w:pPr>
      <w:r w:rsidRPr="007D704E">
        <w:rPr>
          <w:rFonts w:ascii="Times New Roman" w:hAnsi="Times New Roman"/>
        </w:rPr>
        <w:t>2018</w:t>
      </w:r>
    </w:p>
    <w:sdt>
      <w:sdtPr>
        <w:rPr>
          <w:rFonts w:asciiTheme="minorHAnsi" w:eastAsiaTheme="minorHAnsi" w:hAnsiTheme="minorHAnsi" w:cstheme="minorBidi"/>
          <w:color w:val="auto"/>
          <w:sz w:val="22"/>
          <w:szCs w:val="22"/>
          <w:lang w:eastAsia="en-US"/>
        </w:rPr>
        <w:id w:val="-1914383498"/>
        <w:docPartObj>
          <w:docPartGallery w:val="Table of Contents"/>
          <w:docPartUnique/>
        </w:docPartObj>
      </w:sdtPr>
      <w:sdtEndPr>
        <w:rPr>
          <w:rFonts w:ascii="Times New Roman" w:hAnsi="Times New Roman" w:cs="Times New Roman"/>
          <w:bCs/>
          <w:sz w:val="24"/>
          <w:szCs w:val="24"/>
        </w:rPr>
      </w:sdtEndPr>
      <w:sdtContent>
        <w:p w:rsidR="00B433B0" w:rsidRDefault="00B433B0" w:rsidP="00B433B0">
          <w:pPr>
            <w:pStyle w:val="a9"/>
            <w:jc w:val="center"/>
            <w:rPr>
              <w:rFonts w:ascii="Times New Roman" w:hAnsi="Times New Roman" w:cs="Times New Roman"/>
              <w:color w:val="auto"/>
            </w:rPr>
          </w:pPr>
          <w:r w:rsidRPr="00B433B0">
            <w:rPr>
              <w:rFonts w:ascii="Times New Roman" w:hAnsi="Times New Roman" w:cs="Times New Roman"/>
              <w:color w:val="auto"/>
            </w:rPr>
            <w:t>Содержание</w:t>
          </w:r>
        </w:p>
        <w:p w:rsidR="00B433B0" w:rsidRPr="00B433B0" w:rsidRDefault="00B433B0" w:rsidP="00B433B0">
          <w:pPr>
            <w:rPr>
              <w:lang w:eastAsia="ru-RU"/>
            </w:rPr>
          </w:pPr>
        </w:p>
        <w:p w:rsidR="00627957" w:rsidRPr="00627957" w:rsidRDefault="00B433B0">
          <w:pPr>
            <w:pStyle w:val="11"/>
            <w:rPr>
              <w:rFonts w:ascii="Times New Roman" w:eastAsiaTheme="minorEastAsia" w:hAnsi="Times New Roman" w:cs="Times New Roman"/>
              <w:noProof/>
              <w:sz w:val="24"/>
              <w:szCs w:val="24"/>
              <w:lang w:eastAsia="ru-RU"/>
            </w:rPr>
          </w:pPr>
          <w:r w:rsidRPr="00627957">
            <w:rPr>
              <w:rFonts w:ascii="Times New Roman" w:hAnsi="Times New Roman" w:cs="Times New Roman"/>
              <w:sz w:val="24"/>
              <w:szCs w:val="24"/>
            </w:rPr>
            <w:fldChar w:fldCharType="begin"/>
          </w:r>
          <w:r w:rsidRPr="00627957">
            <w:rPr>
              <w:rFonts w:ascii="Times New Roman" w:hAnsi="Times New Roman" w:cs="Times New Roman"/>
              <w:sz w:val="24"/>
              <w:szCs w:val="24"/>
            </w:rPr>
            <w:instrText xml:space="preserve"> TOC \o "1-3" \h \z \u </w:instrText>
          </w:r>
          <w:r w:rsidRPr="00627957">
            <w:rPr>
              <w:rFonts w:ascii="Times New Roman" w:hAnsi="Times New Roman" w:cs="Times New Roman"/>
              <w:sz w:val="24"/>
              <w:szCs w:val="24"/>
            </w:rPr>
            <w:fldChar w:fldCharType="separate"/>
          </w:r>
          <w:hyperlink w:anchor="_Toc513844327" w:history="1">
            <w:r w:rsidR="00627957" w:rsidRPr="00627957">
              <w:rPr>
                <w:rStyle w:val="a8"/>
                <w:rFonts w:ascii="Times New Roman" w:hAnsi="Times New Roman" w:cs="Times New Roman"/>
                <w:noProof/>
                <w:sz w:val="24"/>
                <w:szCs w:val="24"/>
                <w:shd w:val="clear" w:color="auto" w:fill="FFFFFF"/>
              </w:rPr>
              <w:t>Введение</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_Toc513844327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3</w:t>
            </w:r>
            <w:r w:rsidR="00627957" w:rsidRPr="00627957">
              <w:rPr>
                <w:rFonts w:ascii="Times New Roman" w:hAnsi="Times New Roman" w:cs="Times New Roman"/>
                <w:noProof/>
                <w:webHidden/>
                <w:sz w:val="24"/>
                <w:szCs w:val="24"/>
              </w:rPr>
              <w:fldChar w:fldCharType="end"/>
            </w:r>
          </w:hyperlink>
        </w:p>
        <w:p w:rsidR="00627957" w:rsidRPr="00627957" w:rsidRDefault="00BC05FE">
          <w:pPr>
            <w:pStyle w:val="11"/>
            <w:rPr>
              <w:rFonts w:ascii="Times New Roman" w:eastAsiaTheme="minorEastAsia" w:hAnsi="Times New Roman" w:cs="Times New Roman"/>
              <w:noProof/>
              <w:sz w:val="24"/>
              <w:szCs w:val="24"/>
              <w:lang w:eastAsia="ru-RU"/>
            </w:rPr>
          </w:pPr>
          <w:hyperlink w:anchor="_Toc513844328" w:history="1">
            <w:r w:rsidR="00627957" w:rsidRPr="00627957">
              <w:rPr>
                <w:rStyle w:val="a8"/>
                <w:rFonts w:ascii="Times New Roman" w:hAnsi="Times New Roman" w:cs="Times New Roman"/>
                <w:noProof/>
                <w:sz w:val="24"/>
                <w:szCs w:val="24"/>
                <w:shd w:val="clear" w:color="auto" w:fill="FFFFFF"/>
              </w:rPr>
              <w:t>Глава 1. Теоретические подходы к изучению трансфертного ценообразования</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_Toc513844328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6</w:t>
            </w:r>
            <w:r w:rsidR="00627957" w:rsidRPr="00627957">
              <w:rPr>
                <w:rFonts w:ascii="Times New Roman" w:hAnsi="Times New Roman" w:cs="Times New Roman"/>
                <w:noProof/>
                <w:webHidden/>
                <w:sz w:val="24"/>
                <w:szCs w:val="24"/>
              </w:rPr>
              <w:fldChar w:fldCharType="end"/>
            </w:r>
          </w:hyperlink>
        </w:p>
        <w:p w:rsidR="00627957" w:rsidRPr="00627957" w:rsidRDefault="00BC05FE" w:rsidP="00627957">
          <w:pPr>
            <w:pStyle w:val="21"/>
            <w:tabs>
              <w:tab w:val="left" w:pos="880"/>
              <w:tab w:val="right" w:leader="dot" w:pos="9345"/>
            </w:tabs>
            <w:ind w:left="0"/>
            <w:rPr>
              <w:rFonts w:ascii="Times New Roman" w:eastAsiaTheme="minorEastAsia" w:hAnsi="Times New Roman" w:cs="Times New Roman"/>
              <w:noProof/>
              <w:sz w:val="24"/>
              <w:szCs w:val="24"/>
              <w:lang w:eastAsia="ru-RU"/>
            </w:rPr>
          </w:pPr>
          <w:hyperlink w:anchor="_Toc513844329" w:history="1">
            <w:r w:rsidR="00627957" w:rsidRPr="00627957">
              <w:rPr>
                <w:rStyle w:val="a8"/>
                <w:rFonts w:ascii="Times New Roman" w:hAnsi="Times New Roman" w:cs="Times New Roman"/>
                <w:noProof/>
                <w:sz w:val="24"/>
                <w:szCs w:val="24"/>
              </w:rPr>
              <w:t>1.1</w:t>
            </w:r>
            <w:r w:rsidR="00627957" w:rsidRPr="00627957">
              <w:rPr>
                <w:rFonts w:ascii="Times New Roman" w:eastAsiaTheme="minorEastAsia" w:hAnsi="Times New Roman" w:cs="Times New Roman"/>
                <w:noProof/>
                <w:sz w:val="24"/>
                <w:szCs w:val="24"/>
                <w:lang w:eastAsia="ru-RU"/>
              </w:rPr>
              <w:tab/>
            </w:r>
            <w:r w:rsidR="00627957" w:rsidRPr="00627957">
              <w:rPr>
                <w:rStyle w:val="a8"/>
                <w:rFonts w:ascii="Times New Roman" w:hAnsi="Times New Roman" w:cs="Times New Roman"/>
                <w:noProof/>
                <w:sz w:val="24"/>
                <w:szCs w:val="24"/>
              </w:rPr>
              <w:t>Сущность, цели и задачи трансфертного ценообразования</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_Toc513844329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6</w:t>
            </w:r>
            <w:r w:rsidR="00627957" w:rsidRPr="00627957">
              <w:rPr>
                <w:rFonts w:ascii="Times New Roman" w:hAnsi="Times New Roman" w:cs="Times New Roman"/>
                <w:noProof/>
                <w:webHidden/>
                <w:sz w:val="24"/>
                <w:szCs w:val="24"/>
              </w:rPr>
              <w:fldChar w:fldCharType="end"/>
            </w:r>
          </w:hyperlink>
        </w:p>
        <w:p w:rsidR="00627957" w:rsidRPr="00627957" w:rsidRDefault="00BC05FE" w:rsidP="00627957">
          <w:pPr>
            <w:pStyle w:val="21"/>
            <w:tabs>
              <w:tab w:val="right" w:leader="dot" w:pos="9345"/>
            </w:tabs>
            <w:ind w:left="0"/>
            <w:rPr>
              <w:rFonts w:ascii="Times New Roman" w:eastAsiaTheme="minorEastAsia" w:hAnsi="Times New Roman" w:cs="Times New Roman"/>
              <w:noProof/>
              <w:sz w:val="24"/>
              <w:szCs w:val="24"/>
              <w:lang w:eastAsia="ru-RU"/>
            </w:rPr>
          </w:pPr>
          <w:hyperlink w:anchor="_Toc513844330" w:history="1">
            <w:r w:rsidR="00627957" w:rsidRPr="00627957">
              <w:rPr>
                <w:rStyle w:val="a8"/>
                <w:rFonts w:ascii="Times New Roman" w:hAnsi="Times New Roman" w:cs="Times New Roman"/>
                <w:noProof/>
                <w:sz w:val="24"/>
                <w:szCs w:val="24"/>
                <w:shd w:val="clear" w:color="auto" w:fill="FFFFFF"/>
              </w:rPr>
              <w:t>1.2 Международные принципы налогового регулирования трансфертного ценообразования</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_Toc513844330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8</w:t>
            </w:r>
            <w:r w:rsidR="00627957" w:rsidRPr="00627957">
              <w:rPr>
                <w:rFonts w:ascii="Times New Roman" w:hAnsi="Times New Roman" w:cs="Times New Roman"/>
                <w:noProof/>
                <w:webHidden/>
                <w:sz w:val="24"/>
                <w:szCs w:val="24"/>
              </w:rPr>
              <w:fldChar w:fldCharType="end"/>
            </w:r>
          </w:hyperlink>
        </w:p>
        <w:p w:rsidR="00627957" w:rsidRPr="00627957" w:rsidRDefault="00BC05FE">
          <w:pPr>
            <w:pStyle w:val="11"/>
            <w:rPr>
              <w:rFonts w:ascii="Times New Roman" w:eastAsiaTheme="minorEastAsia" w:hAnsi="Times New Roman" w:cs="Times New Roman"/>
              <w:noProof/>
              <w:sz w:val="24"/>
              <w:szCs w:val="24"/>
              <w:lang w:eastAsia="ru-RU"/>
            </w:rPr>
          </w:pPr>
          <w:hyperlink w:anchor="_Toc513844331" w:history="1">
            <w:r w:rsidR="00627957" w:rsidRPr="00627957">
              <w:rPr>
                <w:rStyle w:val="a8"/>
                <w:rFonts w:ascii="Times New Roman" w:hAnsi="Times New Roman" w:cs="Times New Roman"/>
                <w:noProof/>
                <w:sz w:val="24"/>
                <w:szCs w:val="24"/>
              </w:rPr>
              <w:t>Глава 2. Трансфертное ценообразование в России: общие положения, проблемы, риски</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_Toc513844331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13</w:t>
            </w:r>
            <w:r w:rsidR="00627957" w:rsidRPr="00627957">
              <w:rPr>
                <w:rFonts w:ascii="Times New Roman" w:hAnsi="Times New Roman" w:cs="Times New Roman"/>
                <w:noProof/>
                <w:webHidden/>
                <w:sz w:val="24"/>
                <w:szCs w:val="24"/>
              </w:rPr>
              <w:fldChar w:fldCharType="end"/>
            </w:r>
          </w:hyperlink>
        </w:p>
        <w:p w:rsidR="00627957" w:rsidRPr="00627957" w:rsidRDefault="00BC05FE" w:rsidP="00627957">
          <w:pPr>
            <w:pStyle w:val="21"/>
            <w:tabs>
              <w:tab w:val="right" w:leader="dot" w:pos="9345"/>
            </w:tabs>
            <w:ind w:left="0"/>
            <w:rPr>
              <w:rFonts w:ascii="Times New Roman" w:eastAsiaTheme="minorEastAsia" w:hAnsi="Times New Roman" w:cs="Times New Roman"/>
              <w:noProof/>
              <w:sz w:val="24"/>
              <w:szCs w:val="24"/>
              <w:lang w:eastAsia="ru-RU"/>
            </w:rPr>
          </w:pPr>
          <w:hyperlink w:anchor="_Toc513844332" w:history="1">
            <w:r w:rsidR="00627957" w:rsidRPr="00627957">
              <w:rPr>
                <w:rStyle w:val="a8"/>
                <w:rFonts w:ascii="Times New Roman" w:hAnsi="Times New Roman" w:cs="Times New Roman"/>
                <w:noProof/>
                <w:sz w:val="24"/>
                <w:szCs w:val="24"/>
                <w:shd w:val="clear" w:color="auto" w:fill="FFFFFF"/>
              </w:rPr>
              <w:t>2.1</w:t>
            </w:r>
            <w:r w:rsidR="002B7CE4">
              <w:rPr>
                <w:rStyle w:val="a8"/>
                <w:rFonts w:ascii="Times New Roman" w:hAnsi="Times New Roman" w:cs="Times New Roman"/>
                <w:noProof/>
                <w:sz w:val="24"/>
                <w:szCs w:val="24"/>
                <w:shd w:val="clear" w:color="auto" w:fill="FFFFFF"/>
              </w:rPr>
              <w:t xml:space="preserve"> Исследование</w:t>
            </w:r>
            <w:r w:rsidR="00627957" w:rsidRPr="00627957">
              <w:rPr>
                <w:rStyle w:val="a8"/>
                <w:rFonts w:ascii="Times New Roman" w:hAnsi="Times New Roman" w:cs="Times New Roman"/>
                <w:noProof/>
                <w:sz w:val="24"/>
                <w:szCs w:val="24"/>
                <w:shd w:val="clear" w:color="auto" w:fill="FFFFFF"/>
              </w:rPr>
              <w:t xml:space="preserve"> принципов трансфертного ценообразования в РФ</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_Toc513844332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13</w:t>
            </w:r>
            <w:r w:rsidR="00627957" w:rsidRPr="00627957">
              <w:rPr>
                <w:rFonts w:ascii="Times New Roman" w:hAnsi="Times New Roman" w:cs="Times New Roman"/>
                <w:noProof/>
                <w:webHidden/>
                <w:sz w:val="24"/>
                <w:szCs w:val="24"/>
              </w:rPr>
              <w:fldChar w:fldCharType="end"/>
            </w:r>
          </w:hyperlink>
        </w:p>
        <w:p w:rsidR="00627957" w:rsidRPr="00627957" w:rsidRDefault="00BC05FE" w:rsidP="00627957">
          <w:pPr>
            <w:pStyle w:val="21"/>
            <w:tabs>
              <w:tab w:val="right" w:leader="dot" w:pos="9345"/>
            </w:tabs>
            <w:ind w:left="0"/>
            <w:rPr>
              <w:rFonts w:ascii="Times New Roman" w:eastAsiaTheme="minorEastAsia" w:hAnsi="Times New Roman" w:cs="Times New Roman"/>
              <w:noProof/>
              <w:sz w:val="24"/>
              <w:szCs w:val="24"/>
              <w:lang w:eastAsia="ru-RU"/>
            </w:rPr>
          </w:pPr>
          <w:hyperlink w:anchor="_Toc513844333" w:history="1">
            <w:r w:rsidR="00627957" w:rsidRPr="00627957">
              <w:rPr>
                <w:rStyle w:val="a8"/>
                <w:rFonts w:ascii="Times New Roman" w:hAnsi="Times New Roman" w:cs="Times New Roman"/>
                <w:noProof/>
                <w:sz w:val="24"/>
                <w:szCs w:val="24"/>
                <w:shd w:val="clear" w:color="auto" w:fill="FFFFFF"/>
              </w:rPr>
              <w:t>2.2 Анализ основных методов определения рыночной цены в России и пути их совершенствования</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_Toc513844333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24</w:t>
            </w:r>
            <w:r w:rsidR="00627957" w:rsidRPr="00627957">
              <w:rPr>
                <w:rFonts w:ascii="Times New Roman" w:hAnsi="Times New Roman" w:cs="Times New Roman"/>
                <w:noProof/>
                <w:webHidden/>
                <w:sz w:val="24"/>
                <w:szCs w:val="24"/>
              </w:rPr>
              <w:fldChar w:fldCharType="end"/>
            </w:r>
          </w:hyperlink>
        </w:p>
        <w:p w:rsidR="00627957" w:rsidRPr="00627957" w:rsidRDefault="00BC05FE">
          <w:pPr>
            <w:pStyle w:val="11"/>
            <w:rPr>
              <w:rFonts w:ascii="Times New Roman" w:eastAsiaTheme="minorEastAsia" w:hAnsi="Times New Roman" w:cs="Times New Roman"/>
              <w:noProof/>
              <w:sz w:val="24"/>
              <w:szCs w:val="24"/>
              <w:lang w:eastAsia="ru-RU"/>
            </w:rPr>
          </w:pPr>
          <w:hyperlink w:anchor="_Toc513844334" w:history="1">
            <w:r w:rsidR="00627957" w:rsidRPr="00627957">
              <w:rPr>
                <w:rStyle w:val="a8"/>
                <w:rFonts w:ascii="Times New Roman" w:hAnsi="Times New Roman" w:cs="Times New Roman"/>
                <w:noProof/>
                <w:sz w:val="24"/>
                <w:szCs w:val="24"/>
                <w:shd w:val="clear" w:color="auto" w:fill="FFFFFF"/>
              </w:rPr>
              <w:t>Глава 3. Практические результаты введенных норм трансфертного ценообразования в РФ</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_Toc513844334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37</w:t>
            </w:r>
            <w:r w:rsidR="00627957" w:rsidRPr="00627957">
              <w:rPr>
                <w:rFonts w:ascii="Times New Roman" w:hAnsi="Times New Roman" w:cs="Times New Roman"/>
                <w:noProof/>
                <w:webHidden/>
                <w:sz w:val="24"/>
                <w:szCs w:val="24"/>
              </w:rPr>
              <w:fldChar w:fldCharType="end"/>
            </w:r>
          </w:hyperlink>
        </w:p>
        <w:p w:rsidR="00627957" w:rsidRPr="00627957" w:rsidRDefault="00BC05FE" w:rsidP="00627957">
          <w:pPr>
            <w:pStyle w:val="21"/>
            <w:tabs>
              <w:tab w:val="right" w:leader="dot" w:pos="9345"/>
            </w:tabs>
            <w:ind w:left="0"/>
            <w:rPr>
              <w:rFonts w:ascii="Times New Roman" w:eastAsiaTheme="minorEastAsia" w:hAnsi="Times New Roman" w:cs="Times New Roman"/>
              <w:noProof/>
              <w:sz w:val="24"/>
              <w:szCs w:val="24"/>
              <w:lang w:eastAsia="ru-RU"/>
            </w:rPr>
          </w:pPr>
          <w:hyperlink w:anchor="_Toc513844335" w:history="1">
            <w:r w:rsidR="00627957" w:rsidRPr="00627957">
              <w:rPr>
                <w:rStyle w:val="a8"/>
                <w:rFonts w:ascii="Times New Roman" w:hAnsi="Times New Roman" w:cs="Times New Roman"/>
                <w:noProof/>
                <w:sz w:val="24"/>
                <w:szCs w:val="24"/>
                <w:shd w:val="clear" w:color="auto" w:fill="FFFFFF"/>
              </w:rPr>
              <w:t>3.1 Исследование статистических данных по результатам действия новых правил ТЦО</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_Toc513844335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37</w:t>
            </w:r>
            <w:r w:rsidR="00627957" w:rsidRPr="00627957">
              <w:rPr>
                <w:rFonts w:ascii="Times New Roman" w:hAnsi="Times New Roman" w:cs="Times New Roman"/>
                <w:noProof/>
                <w:webHidden/>
                <w:sz w:val="24"/>
                <w:szCs w:val="24"/>
              </w:rPr>
              <w:fldChar w:fldCharType="end"/>
            </w:r>
          </w:hyperlink>
        </w:p>
        <w:p w:rsidR="00627957" w:rsidRPr="00627957" w:rsidRDefault="00BC05FE" w:rsidP="00627957">
          <w:pPr>
            <w:pStyle w:val="21"/>
            <w:tabs>
              <w:tab w:val="right" w:leader="dot" w:pos="9345"/>
            </w:tabs>
            <w:ind w:left="0"/>
            <w:rPr>
              <w:rFonts w:ascii="Times New Roman" w:eastAsiaTheme="minorEastAsia" w:hAnsi="Times New Roman" w:cs="Times New Roman"/>
              <w:noProof/>
              <w:sz w:val="24"/>
              <w:szCs w:val="24"/>
              <w:lang w:eastAsia="ru-RU"/>
            </w:rPr>
          </w:pPr>
          <w:hyperlink w:anchor="_Toc513844336" w:history="1">
            <w:r w:rsidR="00627957" w:rsidRPr="00627957">
              <w:rPr>
                <w:rStyle w:val="a8"/>
                <w:rFonts w:ascii="Times New Roman" w:hAnsi="Times New Roman" w:cs="Times New Roman"/>
                <w:noProof/>
                <w:sz w:val="24"/>
                <w:szCs w:val="24"/>
                <w:shd w:val="clear" w:color="auto" w:fill="FFFFFF"/>
              </w:rPr>
              <w:t>3.2 Анализ судебной практики по вопросам трансфертного ценообразования</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_Toc513844336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41</w:t>
            </w:r>
            <w:r w:rsidR="00627957" w:rsidRPr="00627957">
              <w:rPr>
                <w:rFonts w:ascii="Times New Roman" w:hAnsi="Times New Roman" w:cs="Times New Roman"/>
                <w:noProof/>
                <w:webHidden/>
                <w:sz w:val="24"/>
                <w:szCs w:val="24"/>
              </w:rPr>
              <w:fldChar w:fldCharType="end"/>
            </w:r>
          </w:hyperlink>
        </w:p>
        <w:p w:rsidR="00627957" w:rsidRPr="00627957" w:rsidRDefault="00BC05FE">
          <w:pPr>
            <w:pStyle w:val="11"/>
            <w:rPr>
              <w:rFonts w:ascii="Times New Roman" w:eastAsiaTheme="minorEastAsia" w:hAnsi="Times New Roman" w:cs="Times New Roman"/>
              <w:noProof/>
              <w:sz w:val="24"/>
              <w:szCs w:val="24"/>
              <w:lang w:eastAsia="ru-RU"/>
            </w:rPr>
          </w:pPr>
          <w:hyperlink w:anchor="_Toc513844337" w:history="1">
            <w:r w:rsidR="00627957" w:rsidRPr="00627957">
              <w:rPr>
                <w:rStyle w:val="a8"/>
                <w:rFonts w:ascii="Times New Roman" w:hAnsi="Times New Roman" w:cs="Times New Roman"/>
                <w:noProof/>
                <w:sz w:val="24"/>
                <w:szCs w:val="24"/>
              </w:rPr>
              <w:t>Заключение</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_Toc513844337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49</w:t>
            </w:r>
            <w:r w:rsidR="00627957" w:rsidRPr="00627957">
              <w:rPr>
                <w:rFonts w:ascii="Times New Roman" w:hAnsi="Times New Roman" w:cs="Times New Roman"/>
                <w:noProof/>
                <w:webHidden/>
                <w:sz w:val="24"/>
                <w:szCs w:val="24"/>
              </w:rPr>
              <w:fldChar w:fldCharType="end"/>
            </w:r>
          </w:hyperlink>
        </w:p>
        <w:p w:rsidR="00627957" w:rsidRPr="00627957" w:rsidRDefault="00BC05FE">
          <w:pPr>
            <w:pStyle w:val="11"/>
            <w:rPr>
              <w:rFonts w:ascii="Times New Roman" w:eastAsiaTheme="minorEastAsia" w:hAnsi="Times New Roman" w:cs="Times New Roman"/>
              <w:noProof/>
              <w:sz w:val="24"/>
              <w:szCs w:val="24"/>
              <w:lang w:eastAsia="ru-RU"/>
            </w:rPr>
          </w:pPr>
          <w:hyperlink w:anchor="_Toc513844338" w:history="1">
            <w:r w:rsidR="00627957" w:rsidRPr="00627957">
              <w:rPr>
                <w:rStyle w:val="a8"/>
                <w:rFonts w:ascii="Times New Roman" w:hAnsi="Times New Roman" w:cs="Times New Roman"/>
                <w:noProof/>
                <w:sz w:val="24"/>
                <w:szCs w:val="24"/>
              </w:rPr>
              <w:t>Список использованных источников</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_Toc513844338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53</w:t>
            </w:r>
            <w:r w:rsidR="00627957" w:rsidRPr="00627957">
              <w:rPr>
                <w:rFonts w:ascii="Times New Roman" w:hAnsi="Times New Roman" w:cs="Times New Roman"/>
                <w:noProof/>
                <w:webHidden/>
                <w:sz w:val="24"/>
                <w:szCs w:val="24"/>
              </w:rPr>
              <w:fldChar w:fldCharType="end"/>
            </w:r>
          </w:hyperlink>
        </w:p>
        <w:p w:rsidR="00627957" w:rsidRPr="00627957" w:rsidRDefault="00BC05FE">
          <w:pPr>
            <w:pStyle w:val="11"/>
            <w:rPr>
              <w:rFonts w:ascii="Times New Roman" w:eastAsiaTheme="minorEastAsia" w:hAnsi="Times New Roman" w:cs="Times New Roman"/>
              <w:noProof/>
              <w:sz w:val="24"/>
              <w:szCs w:val="24"/>
              <w:lang w:eastAsia="ru-RU"/>
            </w:rPr>
          </w:pPr>
          <w:hyperlink w:anchor="_Toc513844339" w:history="1">
            <w:r w:rsidR="00627957" w:rsidRPr="00627957">
              <w:rPr>
                <w:rStyle w:val="a8"/>
                <w:rFonts w:ascii="Times New Roman" w:hAnsi="Times New Roman" w:cs="Times New Roman"/>
                <w:noProof/>
                <w:sz w:val="24"/>
                <w:szCs w:val="24"/>
              </w:rPr>
              <w:t>Приложения</w:t>
            </w:r>
            <w:r w:rsidR="00627957" w:rsidRPr="00627957">
              <w:rPr>
                <w:rFonts w:ascii="Times New Roman" w:hAnsi="Times New Roman" w:cs="Times New Roman"/>
                <w:noProof/>
                <w:webHidden/>
                <w:sz w:val="24"/>
                <w:szCs w:val="24"/>
              </w:rPr>
              <w:tab/>
            </w:r>
            <w:r w:rsidR="00627957" w:rsidRPr="00627957">
              <w:rPr>
                <w:rFonts w:ascii="Times New Roman" w:hAnsi="Times New Roman" w:cs="Times New Roman"/>
                <w:noProof/>
                <w:webHidden/>
                <w:sz w:val="24"/>
                <w:szCs w:val="24"/>
              </w:rPr>
              <w:fldChar w:fldCharType="begin"/>
            </w:r>
            <w:r w:rsidR="00627957" w:rsidRPr="00627957">
              <w:rPr>
                <w:rFonts w:ascii="Times New Roman" w:hAnsi="Times New Roman" w:cs="Times New Roman"/>
                <w:noProof/>
                <w:webHidden/>
                <w:sz w:val="24"/>
                <w:szCs w:val="24"/>
              </w:rPr>
              <w:instrText xml:space="preserve"> PAGEREF _Toc513844339 \h </w:instrText>
            </w:r>
            <w:r w:rsidR="00627957" w:rsidRPr="00627957">
              <w:rPr>
                <w:rFonts w:ascii="Times New Roman" w:hAnsi="Times New Roman" w:cs="Times New Roman"/>
                <w:noProof/>
                <w:webHidden/>
                <w:sz w:val="24"/>
                <w:szCs w:val="24"/>
              </w:rPr>
            </w:r>
            <w:r w:rsidR="00627957" w:rsidRPr="00627957">
              <w:rPr>
                <w:rFonts w:ascii="Times New Roman" w:hAnsi="Times New Roman" w:cs="Times New Roman"/>
                <w:noProof/>
                <w:webHidden/>
                <w:sz w:val="24"/>
                <w:szCs w:val="24"/>
              </w:rPr>
              <w:fldChar w:fldCharType="separate"/>
            </w:r>
            <w:r w:rsidR="00FD4295">
              <w:rPr>
                <w:rFonts w:ascii="Times New Roman" w:hAnsi="Times New Roman" w:cs="Times New Roman"/>
                <w:noProof/>
                <w:webHidden/>
                <w:sz w:val="24"/>
                <w:szCs w:val="24"/>
              </w:rPr>
              <w:t>59</w:t>
            </w:r>
            <w:r w:rsidR="00627957" w:rsidRPr="00627957">
              <w:rPr>
                <w:rFonts w:ascii="Times New Roman" w:hAnsi="Times New Roman" w:cs="Times New Roman"/>
                <w:noProof/>
                <w:webHidden/>
                <w:sz w:val="24"/>
                <w:szCs w:val="24"/>
              </w:rPr>
              <w:fldChar w:fldCharType="end"/>
            </w:r>
          </w:hyperlink>
        </w:p>
        <w:p w:rsidR="00B433B0" w:rsidRPr="00627957" w:rsidRDefault="00B433B0">
          <w:pPr>
            <w:rPr>
              <w:rFonts w:ascii="Times New Roman" w:hAnsi="Times New Roman" w:cs="Times New Roman"/>
              <w:sz w:val="24"/>
              <w:szCs w:val="24"/>
            </w:rPr>
          </w:pPr>
          <w:r w:rsidRPr="00627957">
            <w:rPr>
              <w:rFonts w:ascii="Times New Roman" w:hAnsi="Times New Roman" w:cs="Times New Roman"/>
              <w:bCs/>
              <w:sz w:val="24"/>
              <w:szCs w:val="24"/>
            </w:rPr>
            <w:fldChar w:fldCharType="end"/>
          </w:r>
        </w:p>
      </w:sdtContent>
    </w:sdt>
    <w:p w:rsidR="00674FC7" w:rsidRPr="009761E8" w:rsidRDefault="00B433B0" w:rsidP="00B433B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674FC7" w:rsidRPr="008F32E0" w:rsidRDefault="00674FC7" w:rsidP="009761E8">
      <w:pPr>
        <w:pStyle w:val="1"/>
        <w:spacing w:before="0" w:line="360" w:lineRule="auto"/>
        <w:jc w:val="center"/>
        <w:rPr>
          <w:rFonts w:ascii="Times New Roman" w:hAnsi="Times New Roman" w:cs="Times New Roman"/>
          <w:b/>
          <w:color w:val="auto"/>
          <w:sz w:val="28"/>
          <w:szCs w:val="28"/>
          <w:shd w:val="clear" w:color="auto" w:fill="FFFFFF"/>
        </w:rPr>
      </w:pPr>
      <w:bookmarkStart w:id="1" w:name="_Toc513844327"/>
      <w:r w:rsidRPr="008F32E0">
        <w:rPr>
          <w:rFonts w:ascii="Times New Roman" w:hAnsi="Times New Roman" w:cs="Times New Roman"/>
          <w:b/>
          <w:color w:val="auto"/>
          <w:sz w:val="28"/>
          <w:szCs w:val="28"/>
          <w:shd w:val="clear" w:color="auto" w:fill="FFFFFF"/>
        </w:rPr>
        <w:lastRenderedPageBreak/>
        <w:t>Введение</w:t>
      </w:r>
      <w:bookmarkEnd w:id="1"/>
    </w:p>
    <w:p w:rsidR="00FE4007" w:rsidRPr="009761E8" w:rsidRDefault="00BC68BF" w:rsidP="009761E8">
      <w:pPr>
        <w:pStyle w:val="a3"/>
        <w:spacing w:after="0" w:line="360" w:lineRule="auto"/>
        <w:ind w:left="360"/>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ab/>
      </w:r>
    </w:p>
    <w:p w:rsidR="00395021" w:rsidRDefault="00631745" w:rsidP="00631745">
      <w:pPr>
        <w:pStyle w:val="a3"/>
        <w:spacing w:after="0"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395021" w:rsidRPr="00395021">
        <w:rPr>
          <w:rFonts w:ascii="Times New Roman" w:hAnsi="Times New Roman" w:cs="Times New Roman"/>
          <w:color w:val="000000"/>
          <w:sz w:val="24"/>
          <w:szCs w:val="24"/>
          <w:shd w:val="clear" w:color="auto" w:fill="FFFFFF"/>
        </w:rPr>
        <w:t>В современных условиях хозяйствования, при достаточной сложности налогового законодательства и наличии большого количества налоговых преференций для различных групп налогоплательщиков, особую роль приобретает налоговое планирование в организациях. Налоговое планирование - неотъемлемая часть финансового планирования (бюджетирования) предприятия, направленная на упорядочивание и оптимизацию налоговых платежей с помощью разрешенных законом способов. Эффективное управление финансами коммерческого предприятия может осуществляться только при условии планирования всех финансовых процессов и отношений хозяйствующего субъекта. Современное налоговое законодательство, с одной стороны, достаточно нестабильно, а с другой - предоставляет организациям возможность выбора налоговых режимов и методов исчисления и уплаты налогов, которые наиболее соответствуют целям и задачам, стоящим перед предприятием.</w:t>
      </w:r>
      <w:r w:rsidR="00FE4007" w:rsidRPr="009761E8">
        <w:rPr>
          <w:rFonts w:ascii="Times New Roman" w:hAnsi="Times New Roman" w:cs="Times New Roman"/>
          <w:color w:val="000000"/>
          <w:sz w:val="24"/>
          <w:szCs w:val="24"/>
          <w:shd w:val="clear" w:color="auto" w:fill="FFFFFF"/>
        </w:rPr>
        <w:tab/>
      </w:r>
    </w:p>
    <w:p w:rsidR="00576F7A" w:rsidRDefault="00631745" w:rsidP="009761E8">
      <w:pPr>
        <w:pStyle w:val="a3"/>
        <w:spacing w:after="0"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FE4007" w:rsidRPr="009761E8">
        <w:rPr>
          <w:rFonts w:ascii="Times New Roman" w:hAnsi="Times New Roman" w:cs="Times New Roman"/>
          <w:color w:val="000000"/>
          <w:sz w:val="24"/>
          <w:szCs w:val="24"/>
          <w:shd w:val="clear" w:color="auto" w:fill="FFFFFF"/>
        </w:rPr>
        <w:t xml:space="preserve">На сегодняшний день большинство </w:t>
      </w:r>
      <w:r w:rsidR="00310F2E" w:rsidRPr="009761E8">
        <w:rPr>
          <w:rFonts w:ascii="Times New Roman" w:hAnsi="Times New Roman" w:cs="Times New Roman"/>
          <w:color w:val="000000"/>
          <w:sz w:val="24"/>
          <w:szCs w:val="24"/>
          <w:shd w:val="clear" w:color="auto" w:fill="FFFFFF"/>
        </w:rPr>
        <w:t xml:space="preserve">крупных </w:t>
      </w:r>
      <w:r w:rsidR="00FE4007" w:rsidRPr="009761E8">
        <w:rPr>
          <w:rFonts w:ascii="Times New Roman" w:hAnsi="Times New Roman" w:cs="Times New Roman"/>
          <w:color w:val="000000"/>
          <w:sz w:val="24"/>
          <w:szCs w:val="24"/>
          <w:shd w:val="clear" w:color="auto" w:fill="FFFFFF"/>
        </w:rPr>
        <w:t xml:space="preserve">компаний </w:t>
      </w:r>
      <w:r w:rsidR="00EB58B3" w:rsidRPr="009761E8">
        <w:rPr>
          <w:rFonts w:ascii="Times New Roman" w:hAnsi="Times New Roman" w:cs="Times New Roman"/>
          <w:color w:val="000000"/>
          <w:sz w:val="24"/>
          <w:szCs w:val="24"/>
          <w:shd w:val="clear" w:color="auto" w:fill="FFFFFF"/>
        </w:rPr>
        <w:t>представляют собой совокупность</w:t>
      </w:r>
      <w:r w:rsidR="00FE4007" w:rsidRPr="009761E8">
        <w:rPr>
          <w:rFonts w:ascii="Times New Roman" w:hAnsi="Times New Roman" w:cs="Times New Roman"/>
          <w:color w:val="000000"/>
          <w:sz w:val="24"/>
          <w:szCs w:val="24"/>
          <w:shd w:val="clear" w:color="auto" w:fill="FFFFFF"/>
        </w:rPr>
        <w:t xml:space="preserve"> </w:t>
      </w:r>
      <w:r w:rsidR="00B41E13" w:rsidRPr="009761E8">
        <w:rPr>
          <w:rFonts w:ascii="Times New Roman" w:hAnsi="Times New Roman" w:cs="Times New Roman"/>
          <w:color w:val="000000"/>
          <w:sz w:val="24"/>
          <w:szCs w:val="24"/>
          <w:shd w:val="clear" w:color="auto" w:fill="FFFFFF"/>
        </w:rPr>
        <w:t xml:space="preserve">технологически связанных </w:t>
      </w:r>
      <w:r w:rsidR="00310F2E" w:rsidRPr="009761E8">
        <w:rPr>
          <w:rFonts w:ascii="Times New Roman" w:hAnsi="Times New Roman" w:cs="Times New Roman"/>
          <w:color w:val="000000"/>
          <w:sz w:val="24"/>
          <w:szCs w:val="24"/>
          <w:shd w:val="clear" w:color="auto" w:fill="FFFFFF"/>
        </w:rPr>
        <w:t>хозяйствующих субъектов</w:t>
      </w:r>
      <w:r w:rsidR="00FE4007" w:rsidRPr="009761E8">
        <w:rPr>
          <w:rFonts w:ascii="Times New Roman" w:hAnsi="Times New Roman" w:cs="Times New Roman"/>
          <w:color w:val="000000"/>
          <w:sz w:val="24"/>
          <w:szCs w:val="24"/>
          <w:shd w:val="clear" w:color="auto" w:fill="FFFFFF"/>
        </w:rPr>
        <w:t xml:space="preserve">, </w:t>
      </w:r>
      <w:r w:rsidR="00310F2E" w:rsidRPr="009761E8">
        <w:rPr>
          <w:rFonts w:ascii="Times New Roman" w:hAnsi="Times New Roman" w:cs="Times New Roman"/>
          <w:color w:val="000000"/>
          <w:sz w:val="24"/>
          <w:szCs w:val="24"/>
          <w:shd w:val="clear" w:color="auto" w:fill="FFFFFF"/>
        </w:rPr>
        <w:t>каждый</w:t>
      </w:r>
      <w:r w:rsidR="00FE4007" w:rsidRPr="009761E8">
        <w:rPr>
          <w:rFonts w:ascii="Times New Roman" w:hAnsi="Times New Roman" w:cs="Times New Roman"/>
          <w:color w:val="000000"/>
          <w:sz w:val="24"/>
          <w:szCs w:val="24"/>
          <w:shd w:val="clear" w:color="auto" w:fill="FFFFFF"/>
        </w:rPr>
        <w:t xml:space="preserve"> из которых отвечает за отдел</w:t>
      </w:r>
      <w:r w:rsidR="001E2E8D" w:rsidRPr="009761E8">
        <w:rPr>
          <w:rFonts w:ascii="Times New Roman" w:hAnsi="Times New Roman" w:cs="Times New Roman"/>
          <w:color w:val="000000"/>
          <w:sz w:val="24"/>
          <w:szCs w:val="24"/>
          <w:shd w:val="clear" w:color="auto" w:fill="FFFFFF"/>
        </w:rPr>
        <w:t>ьные функции. Современную фирму можно назвать рыночной моделью в миниатюре - в процессе осуществления ее</w:t>
      </w:r>
      <w:r w:rsidR="00EB58B3" w:rsidRPr="009761E8">
        <w:rPr>
          <w:rFonts w:ascii="Times New Roman" w:hAnsi="Times New Roman" w:cs="Times New Roman"/>
          <w:color w:val="000000"/>
          <w:sz w:val="24"/>
          <w:szCs w:val="24"/>
          <w:shd w:val="clear" w:color="auto" w:fill="FFFFFF"/>
        </w:rPr>
        <w:t xml:space="preserve"> деятельности</w:t>
      </w:r>
      <w:r w:rsidR="001E2E8D" w:rsidRPr="009761E8">
        <w:rPr>
          <w:rFonts w:ascii="Times New Roman" w:hAnsi="Times New Roman" w:cs="Times New Roman"/>
          <w:color w:val="000000"/>
          <w:sz w:val="24"/>
          <w:szCs w:val="24"/>
          <w:shd w:val="clear" w:color="auto" w:fill="FFFFFF"/>
        </w:rPr>
        <w:t xml:space="preserve"> между подразделениями </w:t>
      </w:r>
      <w:r w:rsidR="00FE4007" w:rsidRPr="009761E8">
        <w:rPr>
          <w:rFonts w:ascii="Times New Roman" w:hAnsi="Times New Roman" w:cs="Times New Roman"/>
          <w:color w:val="000000"/>
          <w:sz w:val="24"/>
          <w:szCs w:val="24"/>
          <w:shd w:val="clear" w:color="auto" w:fill="FFFFFF"/>
        </w:rPr>
        <w:t>образуются определённые экономические отношения</w:t>
      </w:r>
      <w:r w:rsidR="001E2E8D" w:rsidRPr="009761E8">
        <w:rPr>
          <w:rFonts w:ascii="Times New Roman" w:hAnsi="Times New Roman" w:cs="Times New Roman"/>
          <w:color w:val="000000"/>
          <w:sz w:val="24"/>
          <w:szCs w:val="24"/>
          <w:shd w:val="clear" w:color="auto" w:fill="FFFFFF"/>
        </w:rPr>
        <w:t xml:space="preserve">, в частности обмен товарами и услугами. </w:t>
      </w:r>
    </w:p>
    <w:p w:rsidR="004305B0" w:rsidRPr="009761E8" w:rsidRDefault="00631745" w:rsidP="00631745">
      <w:pPr>
        <w:pStyle w:val="a3"/>
        <w:spacing w:after="0"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395021">
        <w:rPr>
          <w:rFonts w:ascii="Times New Roman" w:hAnsi="Times New Roman" w:cs="Times New Roman"/>
          <w:color w:val="000000"/>
          <w:sz w:val="24"/>
          <w:szCs w:val="24"/>
          <w:shd w:val="clear" w:color="auto" w:fill="FFFFFF"/>
        </w:rPr>
        <w:t xml:space="preserve">Может возникать </w:t>
      </w:r>
      <w:r w:rsidR="00395021" w:rsidRPr="00395021">
        <w:rPr>
          <w:rFonts w:ascii="Times New Roman" w:hAnsi="Times New Roman" w:cs="Times New Roman"/>
          <w:color w:val="000000"/>
          <w:sz w:val="24"/>
          <w:szCs w:val="24"/>
          <w:shd w:val="clear" w:color="auto" w:fill="FFFFFF"/>
        </w:rPr>
        <w:t xml:space="preserve">ситуация, когда внутри группы организаций создаются несколько организаций с одним и тем же видом деятельности, то есть осуществляется сотрудничество между конкурентами, для осуществления сделок по более выгодным ценам. Такую схему чаще всего используют для дробления бизнеса, чтобы получить право на специальные налоговые режимы и другие льготы, которые положены малым организациям. Минимизация налогообложения путем завышения расходов, может быть использована в случае, если </w:t>
      </w:r>
      <w:r w:rsidR="0046025C" w:rsidRPr="00395021">
        <w:rPr>
          <w:rFonts w:ascii="Times New Roman" w:hAnsi="Times New Roman" w:cs="Times New Roman"/>
          <w:color w:val="000000"/>
          <w:sz w:val="24"/>
          <w:szCs w:val="24"/>
          <w:shd w:val="clear" w:color="auto" w:fill="FFFFFF"/>
        </w:rPr>
        <w:t>орг</w:t>
      </w:r>
      <w:r w:rsidR="0046025C">
        <w:rPr>
          <w:rFonts w:ascii="Times New Roman" w:hAnsi="Times New Roman" w:cs="Times New Roman"/>
          <w:color w:val="000000"/>
          <w:sz w:val="24"/>
          <w:szCs w:val="24"/>
          <w:shd w:val="clear" w:color="auto" w:fill="FFFFFF"/>
        </w:rPr>
        <w:t>анизации,</w:t>
      </w:r>
      <w:r w:rsidR="0046025C" w:rsidRPr="00395021">
        <w:rPr>
          <w:rFonts w:ascii="Times New Roman" w:hAnsi="Times New Roman" w:cs="Times New Roman"/>
          <w:color w:val="000000"/>
          <w:sz w:val="24"/>
          <w:szCs w:val="24"/>
          <w:shd w:val="clear" w:color="auto" w:fill="FFFFFF"/>
        </w:rPr>
        <w:t xml:space="preserve"> находящиеся</w:t>
      </w:r>
      <w:r w:rsidR="00395021" w:rsidRPr="00395021">
        <w:rPr>
          <w:rFonts w:ascii="Times New Roman" w:hAnsi="Times New Roman" w:cs="Times New Roman"/>
          <w:color w:val="000000"/>
          <w:sz w:val="24"/>
          <w:szCs w:val="24"/>
          <w:shd w:val="clear" w:color="auto" w:fill="FFFFFF"/>
        </w:rPr>
        <w:t xml:space="preserve"> на специальных</w:t>
      </w:r>
      <w:r w:rsidR="00395021">
        <w:rPr>
          <w:rFonts w:ascii="Times New Roman" w:hAnsi="Times New Roman" w:cs="Times New Roman"/>
          <w:color w:val="000000"/>
          <w:sz w:val="24"/>
          <w:szCs w:val="24"/>
          <w:shd w:val="clear" w:color="auto" w:fill="FFFFFF"/>
        </w:rPr>
        <w:t xml:space="preserve"> </w:t>
      </w:r>
      <w:r w:rsidR="0046025C">
        <w:rPr>
          <w:rFonts w:ascii="Times New Roman" w:hAnsi="Times New Roman" w:cs="Times New Roman"/>
          <w:color w:val="000000"/>
          <w:sz w:val="24"/>
          <w:szCs w:val="24"/>
          <w:shd w:val="clear" w:color="auto" w:fill="FFFFFF"/>
        </w:rPr>
        <w:t>налоговых режимах, находятся под контролем</w:t>
      </w:r>
      <w:r w:rsidR="00395021" w:rsidRPr="00395021">
        <w:rPr>
          <w:rFonts w:ascii="Times New Roman" w:hAnsi="Times New Roman" w:cs="Times New Roman"/>
          <w:color w:val="000000"/>
          <w:sz w:val="24"/>
          <w:szCs w:val="24"/>
          <w:shd w:val="clear" w:color="auto" w:fill="FFFFFF"/>
        </w:rPr>
        <w:t xml:space="preserve"> основной организации, таким образом, осуществляющиеся закупки между такими организациями не </w:t>
      </w:r>
      <w:r w:rsidR="0046025C">
        <w:rPr>
          <w:rFonts w:ascii="Times New Roman" w:hAnsi="Times New Roman" w:cs="Times New Roman"/>
          <w:color w:val="000000"/>
          <w:sz w:val="24"/>
          <w:szCs w:val="24"/>
          <w:shd w:val="clear" w:color="auto" w:fill="FFFFFF"/>
        </w:rPr>
        <w:t xml:space="preserve">являются </w:t>
      </w:r>
      <w:r w:rsidR="00395021" w:rsidRPr="00395021">
        <w:rPr>
          <w:rFonts w:ascii="Times New Roman" w:hAnsi="Times New Roman" w:cs="Times New Roman"/>
          <w:color w:val="000000"/>
          <w:sz w:val="24"/>
          <w:szCs w:val="24"/>
          <w:shd w:val="clear" w:color="auto" w:fill="FFFFFF"/>
        </w:rPr>
        <w:t>правомерны</w:t>
      </w:r>
      <w:r w:rsidR="0046025C">
        <w:rPr>
          <w:rFonts w:ascii="Times New Roman" w:hAnsi="Times New Roman" w:cs="Times New Roman"/>
          <w:color w:val="000000"/>
          <w:sz w:val="24"/>
          <w:szCs w:val="24"/>
          <w:shd w:val="clear" w:color="auto" w:fill="FFFFFF"/>
        </w:rPr>
        <w:t>ми</w:t>
      </w:r>
      <w:r w:rsidR="00395021" w:rsidRPr="003950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00395021" w:rsidRPr="00395021">
        <w:rPr>
          <w:rFonts w:ascii="Times New Roman" w:hAnsi="Times New Roman" w:cs="Times New Roman"/>
          <w:color w:val="000000"/>
          <w:sz w:val="24"/>
          <w:szCs w:val="24"/>
          <w:shd w:val="clear" w:color="auto" w:fill="FFFFFF"/>
        </w:rPr>
        <w:t>Особое значение для целей налогообложения имеют холдинговые структуры, им присущи сложные взаимосвязи. Холдинговые структуры также позволяют перераспределять общую прибыль группы лиц в пользу лиц, находящихся в государствах с более низкими налогами. Также имеется возможность создания в холдингах вспомогательных организаций, для увеличения дополнительных расходов. А значит, как следствие получение необоснованной налоговой выгоды.</w:t>
      </w:r>
      <w:r>
        <w:rPr>
          <w:rFonts w:ascii="Times New Roman" w:hAnsi="Times New Roman" w:cs="Times New Roman"/>
          <w:color w:val="000000"/>
          <w:sz w:val="24"/>
          <w:szCs w:val="24"/>
          <w:shd w:val="clear" w:color="auto" w:fill="FFFFFF"/>
        </w:rPr>
        <w:t xml:space="preserve"> </w:t>
      </w:r>
      <w:r w:rsidR="004305B0" w:rsidRPr="009761E8">
        <w:rPr>
          <w:rFonts w:ascii="Times New Roman" w:hAnsi="Times New Roman" w:cs="Times New Roman"/>
          <w:color w:val="000000"/>
          <w:sz w:val="24"/>
          <w:szCs w:val="24"/>
          <w:shd w:val="clear" w:color="auto" w:fill="FFFFFF"/>
        </w:rPr>
        <w:t xml:space="preserve">Именно на этом </w:t>
      </w:r>
      <w:r w:rsidR="004305B0" w:rsidRPr="009761E8">
        <w:rPr>
          <w:rFonts w:ascii="Times New Roman" w:hAnsi="Times New Roman" w:cs="Times New Roman"/>
          <w:color w:val="000000"/>
          <w:sz w:val="24"/>
          <w:szCs w:val="24"/>
          <w:shd w:val="clear" w:color="auto" w:fill="FFFFFF"/>
        </w:rPr>
        <w:lastRenderedPageBreak/>
        <w:t xml:space="preserve">этапе остро встает вопрос о важности научно обоснованного подхода к определению цен, по которым будет производиться расчет внутри фирмы. </w:t>
      </w:r>
    </w:p>
    <w:p w:rsidR="007B4403" w:rsidRPr="009761E8" w:rsidRDefault="00631745" w:rsidP="009761E8">
      <w:pPr>
        <w:pStyle w:val="a3"/>
        <w:spacing w:after="0"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4305B0" w:rsidRPr="009761E8">
        <w:rPr>
          <w:rFonts w:ascii="Times New Roman" w:hAnsi="Times New Roman" w:cs="Times New Roman"/>
          <w:color w:val="000000"/>
          <w:sz w:val="24"/>
          <w:szCs w:val="24"/>
          <w:shd w:val="clear" w:color="auto" w:fill="FFFFFF"/>
        </w:rPr>
        <w:t xml:space="preserve">Актуальность проблемы трансфертного ценообразования </w:t>
      </w:r>
      <w:r w:rsidR="0046025C">
        <w:rPr>
          <w:rFonts w:ascii="Times New Roman" w:hAnsi="Times New Roman" w:cs="Times New Roman"/>
          <w:color w:val="000000"/>
          <w:sz w:val="24"/>
          <w:szCs w:val="24"/>
          <w:shd w:val="clear" w:color="auto" w:fill="FFFFFF"/>
        </w:rPr>
        <w:t xml:space="preserve">также </w:t>
      </w:r>
      <w:r w:rsidR="004305B0" w:rsidRPr="009761E8">
        <w:rPr>
          <w:rFonts w:ascii="Times New Roman" w:hAnsi="Times New Roman" w:cs="Times New Roman"/>
          <w:color w:val="000000"/>
          <w:sz w:val="24"/>
          <w:szCs w:val="24"/>
          <w:shd w:val="clear" w:color="auto" w:fill="FFFFFF"/>
        </w:rPr>
        <w:t xml:space="preserve">не вызывает сомнений, так как в </w:t>
      </w:r>
      <w:r w:rsidR="00310F2E" w:rsidRPr="009761E8">
        <w:rPr>
          <w:rFonts w:ascii="Times New Roman" w:hAnsi="Times New Roman" w:cs="Times New Roman"/>
          <w:color w:val="000000"/>
          <w:sz w:val="24"/>
          <w:szCs w:val="24"/>
          <w:shd w:val="clear" w:color="auto" w:fill="FFFFFF"/>
        </w:rPr>
        <w:t>современной экономике один из наиболее важных вопросов, возникающий в рамках управленческого учета – вопрос о разработке ценовой политики. Именно с ним напрямую связаны такие фундаментальные экономические показатели, как объем выручки и прибыли.</w:t>
      </w:r>
      <w:r w:rsidR="00063E79" w:rsidRPr="009761E8">
        <w:rPr>
          <w:rFonts w:ascii="Times New Roman" w:hAnsi="Times New Roman" w:cs="Times New Roman"/>
          <w:color w:val="000000"/>
          <w:sz w:val="24"/>
          <w:szCs w:val="24"/>
          <w:shd w:val="clear" w:color="auto" w:fill="FFFFFF"/>
        </w:rPr>
        <w:t xml:space="preserve"> Э</w:t>
      </w:r>
      <w:r w:rsidR="004305B0" w:rsidRPr="009761E8">
        <w:rPr>
          <w:rFonts w:ascii="Times New Roman" w:hAnsi="Times New Roman" w:cs="Times New Roman"/>
          <w:color w:val="000000"/>
          <w:sz w:val="24"/>
          <w:szCs w:val="24"/>
          <w:shd w:val="clear" w:color="auto" w:fill="FFFFFF"/>
        </w:rPr>
        <w:t>ффективность работы предприятия зависит от механизма расчетов, производимых внутри фирмы.</w:t>
      </w:r>
    </w:p>
    <w:p w:rsidR="00674FC7" w:rsidRPr="009761E8" w:rsidRDefault="00631745" w:rsidP="009761E8">
      <w:pPr>
        <w:pStyle w:val="a3"/>
        <w:spacing w:after="0"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4305B0" w:rsidRPr="009761E8">
        <w:rPr>
          <w:rFonts w:ascii="Times New Roman" w:hAnsi="Times New Roman" w:cs="Times New Roman"/>
          <w:color w:val="000000"/>
          <w:sz w:val="24"/>
          <w:szCs w:val="24"/>
          <w:shd w:val="clear" w:color="auto" w:fill="FFFFFF"/>
        </w:rPr>
        <w:t xml:space="preserve">История развития трансфертного </w:t>
      </w:r>
      <w:r w:rsidR="003440AC" w:rsidRPr="009761E8">
        <w:rPr>
          <w:rFonts w:ascii="Times New Roman" w:hAnsi="Times New Roman" w:cs="Times New Roman"/>
          <w:color w:val="000000"/>
          <w:sz w:val="24"/>
          <w:szCs w:val="24"/>
          <w:shd w:val="clear" w:color="auto" w:fill="FFFFFF"/>
        </w:rPr>
        <w:t>ценообразования</w:t>
      </w:r>
      <w:r w:rsidR="004305B0" w:rsidRPr="009761E8">
        <w:rPr>
          <w:rFonts w:ascii="Times New Roman" w:hAnsi="Times New Roman" w:cs="Times New Roman"/>
          <w:color w:val="000000"/>
          <w:sz w:val="24"/>
          <w:szCs w:val="24"/>
          <w:shd w:val="clear" w:color="auto" w:fill="FFFFFF"/>
        </w:rPr>
        <w:t xml:space="preserve"> берет нача</w:t>
      </w:r>
      <w:r w:rsidR="003440AC" w:rsidRPr="009761E8">
        <w:rPr>
          <w:rFonts w:ascii="Times New Roman" w:hAnsi="Times New Roman" w:cs="Times New Roman"/>
          <w:color w:val="000000"/>
          <w:sz w:val="24"/>
          <w:szCs w:val="24"/>
          <w:shd w:val="clear" w:color="auto" w:fill="FFFFFF"/>
        </w:rPr>
        <w:t>ло в начале 20вв., когда развитие капитализма набирает свои обороты и научно-технический прогресс стимулирует обмен товарами и услугами между подразделениями одного предприятия. На данном этапе понятия трансфертного ценообразования еще не существовало, но уже четко прослеживалась его суть. В последствии по мере развития тенденции внутрифирменного обмена начала появляться необходимость в создании единой правовой базы, методологии ценообразования, на основе которых будет устанавливаться цена при совершении подобных сделок.</w:t>
      </w:r>
      <w:r w:rsidR="00454A59" w:rsidRPr="009761E8">
        <w:rPr>
          <w:rFonts w:ascii="Times New Roman" w:hAnsi="Times New Roman" w:cs="Times New Roman"/>
          <w:color w:val="000000"/>
          <w:sz w:val="24"/>
          <w:szCs w:val="24"/>
          <w:shd w:val="clear" w:color="auto" w:fill="FFFFFF"/>
        </w:rPr>
        <w:t xml:space="preserve"> </w:t>
      </w:r>
      <w:r w:rsidR="00BB0AD0" w:rsidRPr="009761E8">
        <w:rPr>
          <w:rFonts w:ascii="Times New Roman" w:hAnsi="Times New Roman" w:cs="Times New Roman"/>
          <w:color w:val="000000"/>
          <w:sz w:val="24"/>
          <w:szCs w:val="24"/>
          <w:shd w:val="clear" w:color="auto" w:fill="FFFFFF"/>
        </w:rPr>
        <w:t>США</w:t>
      </w:r>
      <w:r w:rsidR="003440AC" w:rsidRPr="009761E8">
        <w:rPr>
          <w:rFonts w:ascii="Times New Roman" w:hAnsi="Times New Roman" w:cs="Times New Roman"/>
          <w:color w:val="000000"/>
          <w:sz w:val="24"/>
          <w:szCs w:val="24"/>
          <w:shd w:val="clear" w:color="auto" w:fill="FFFFFF"/>
        </w:rPr>
        <w:t xml:space="preserve"> являлось </w:t>
      </w:r>
      <w:r w:rsidR="00BB0AD0" w:rsidRPr="009761E8">
        <w:rPr>
          <w:rFonts w:ascii="Times New Roman" w:hAnsi="Times New Roman" w:cs="Times New Roman"/>
          <w:color w:val="000000"/>
          <w:sz w:val="24"/>
          <w:szCs w:val="24"/>
          <w:shd w:val="clear" w:color="auto" w:fill="FFFFFF"/>
        </w:rPr>
        <w:t>первооткрывателем - страной</w:t>
      </w:r>
      <w:r w:rsidR="003440AC" w:rsidRPr="009761E8">
        <w:rPr>
          <w:rFonts w:ascii="Times New Roman" w:hAnsi="Times New Roman" w:cs="Times New Roman"/>
          <w:color w:val="000000"/>
          <w:sz w:val="24"/>
          <w:szCs w:val="24"/>
          <w:shd w:val="clear" w:color="auto" w:fill="FFFFFF"/>
        </w:rPr>
        <w:t xml:space="preserve">, которая </w:t>
      </w:r>
      <w:r w:rsidR="00BB0AD0" w:rsidRPr="009761E8">
        <w:rPr>
          <w:rFonts w:ascii="Times New Roman" w:hAnsi="Times New Roman" w:cs="Times New Roman"/>
          <w:color w:val="000000"/>
          <w:sz w:val="24"/>
          <w:szCs w:val="24"/>
          <w:shd w:val="clear" w:color="auto" w:fill="FFFFFF"/>
        </w:rPr>
        <w:t>закрепила принципы трансфертного ценообразования в установленном законом порядке. В Российской Федерации проблема трансфертного ценообразования</w:t>
      </w:r>
      <w:r w:rsidR="00454A59" w:rsidRPr="009761E8">
        <w:rPr>
          <w:rFonts w:ascii="Times New Roman" w:hAnsi="Times New Roman" w:cs="Times New Roman"/>
          <w:color w:val="000000"/>
          <w:sz w:val="24"/>
          <w:szCs w:val="24"/>
          <w:shd w:val="clear" w:color="auto" w:fill="FFFFFF"/>
        </w:rPr>
        <w:t xml:space="preserve"> в </w:t>
      </w:r>
      <w:r w:rsidR="00BB0AD0" w:rsidRPr="009761E8">
        <w:rPr>
          <w:rFonts w:ascii="Times New Roman" w:hAnsi="Times New Roman" w:cs="Times New Roman"/>
          <w:color w:val="000000"/>
          <w:sz w:val="24"/>
          <w:szCs w:val="24"/>
          <w:shd w:val="clear" w:color="auto" w:fill="FFFFFF"/>
        </w:rPr>
        <w:t>его современной</w:t>
      </w:r>
      <w:r w:rsidR="00454A59" w:rsidRPr="009761E8">
        <w:rPr>
          <w:rFonts w:ascii="Times New Roman" w:hAnsi="Times New Roman" w:cs="Times New Roman"/>
          <w:color w:val="000000"/>
          <w:sz w:val="24"/>
          <w:szCs w:val="24"/>
          <w:shd w:val="clear" w:color="auto" w:fill="FFFFFF"/>
        </w:rPr>
        <w:t xml:space="preserve"> </w:t>
      </w:r>
      <w:r w:rsidR="00BB0AD0" w:rsidRPr="009761E8">
        <w:rPr>
          <w:rFonts w:ascii="Times New Roman" w:hAnsi="Times New Roman" w:cs="Times New Roman"/>
          <w:color w:val="000000"/>
          <w:sz w:val="24"/>
          <w:szCs w:val="24"/>
          <w:shd w:val="clear" w:color="auto" w:fill="FFFFFF"/>
        </w:rPr>
        <w:t>трактовке берет начало</w:t>
      </w:r>
      <w:r w:rsidR="00454A59" w:rsidRPr="009761E8">
        <w:rPr>
          <w:rFonts w:ascii="Times New Roman" w:hAnsi="Times New Roman" w:cs="Times New Roman"/>
          <w:color w:val="000000"/>
          <w:sz w:val="24"/>
          <w:szCs w:val="24"/>
          <w:shd w:val="clear" w:color="auto" w:fill="FFFFFF"/>
        </w:rPr>
        <w:t xml:space="preserve"> </w:t>
      </w:r>
      <w:r w:rsidR="00BB0AD0" w:rsidRPr="009761E8">
        <w:rPr>
          <w:rFonts w:ascii="Times New Roman" w:hAnsi="Times New Roman" w:cs="Times New Roman"/>
          <w:color w:val="000000"/>
          <w:sz w:val="24"/>
          <w:szCs w:val="24"/>
          <w:shd w:val="clear" w:color="auto" w:fill="FFFFFF"/>
        </w:rPr>
        <w:t xml:space="preserve">с </w:t>
      </w:r>
      <w:r w:rsidR="00AC3A7F" w:rsidRPr="009761E8">
        <w:rPr>
          <w:rFonts w:ascii="Times New Roman" w:hAnsi="Times New Roman" w:cs="Times New Roman"/>
          <w:color w:val="000000"/>
          <w:sz w:val="24"/>
          <w:szCs w:val="24"/>
          <w:shd w:val="clear" w:color="auto" w:fill="FFFFFF"/>
        </w:rPr>
        <w:t>1990-х годов</w:t>
      </w:r>
      <w:r w:rsidR="00454A59" w:rsidRPr="009761E8">
        <w:rPr>
          <w:rFonts w:ascii="Times New Roman" w:hAnsi="Times New Roman" w:cs="Times New Roman"/>
          <w:color w:val="000000"/>
          <w:sz w:val="24"/>
          <w:szCs w:val="24"/>
          <w:shd w:val="clear" w:color="auto" w:fill="FFFFFF"/>
        </w:rPr>
        <w:t xml:space="preserve">. В </w:t>
      </w:r>
      <w:r w:rsidR="00AC3A7F" w:rsidRPr="009761E8">
        <w:rPr>
          <w:rFonts w:ascii="Times New Roman" w:hAnsi="Times New Roman" w:cs="Times New Roman"/>
          <w:color w:val="000000"/>
          <w:sz w:val="24"/>
          <w:szCs w:val="24"/>
          <w:shd w:val="clear" w:color="auto" w:fill="FFFFFF"/>
        </w:rPr>
        <w:t xml:space="preserve">настоящее время в связи с ростом вертикально интегрированных компаний проблема </w:t>
      </w:r>
      <w:r w:rsidR="00454A59" w:rsidRPr="009761E8">
        <w:rPr>
          <w:rFonts w:ascii="Times New Roman" w:hAnsi="Times New Roman" w:cs="Times New Roman"/>
          <w:color w:val="000000"/>
          <w:sz w:val="24"/>
          <w:szCs w:val="24"/>
          <w:shd w:val="clear" w:color="auto" w:fill="FFFFFF"/>
        </w:rPr>
        <w:t>изучение</w:t>
      </w:r>
      <w:r w:rsidR="00AC3A7F" w:rsidRPr="009761E8">
        <w:rPr>
          <w:rFonts w:ascii="Times New Roman" w:hAnsi="Times New Roman" w:cs="Times New Roman"/>
          <w:color w:val="000000"/>
          <w:sz w:val="24"/>
          <w:szCs w:val="24"/>
          <w:shd w:val="clear" w:color="auto" w:fill="FFFFFF"/>
        </w:rPr>
        <w:t xml:space="preserve"> вопросов</w:t>
      </w:r>
      <w:r w:rsidR="00454A59" w:rsidRPr="009761E8">
        <w:rPr>
          <w:rFonts w:ascii="Times New Roman" w:hAnsi="Times New Roman" w:cs="Times New Roman"/>
          <w:color w:val="000000"/>
          <w:sz w:val="24"/>
          <w:szCs w:val="24"/>
          <w:shd w:val="clear" w:color="auto" w:fill="FFFFFF"/>
        </w:rPr>
        <w:t xml:space="preserve"> трансфертного </w:t>
      </w:r>
      <w:r w:rsidR="00EB58B3" w:rsidRPr="009761E8">
        <w:rPr>
          <w:rFonts w:ascii="Times New Roman" w:hAnsi="Times New Roman" w:cs="Times New Roman"/>
          <w:color w:val="000000"/>
          <w:sz w:val="24"/>
          <w:szCs w:val="24"/>
          <w:shd w:val="clear" w:color="auto" w:fill="FFFFFF"/>
        </w:rPr>
        <w:t>стоит очень остро</w:t>
      </w:r>
      <w:r w:rsidR="00AC3A7F" w:rsidRPr="009761E8">
        <w:rPr>
          <w:rFonts w:ascii="Times New Roman" w:hAnsi="Times New Roman" w:cs="Times New Roman"/>
          <w:color w:val="000000"/>
          <w:sz w:val="24"/>
          <w:szCs w:val="24"/>
          <w:shd w:val="clear" w:color="auto" w:fill="FFFFFF"/>
        </w:rPr>
        <w:t xml:space="preserve"> для мировой и отечественной экономики.</w:t>
      </w:r>
    </w:p>
    <w:p w:rsidR="00AC3A7F" w:rsidRPr="009761E8" w:rsidRDefault="00631745" w:rsidP="009761E8">
      <w:pPr>
        <w:pStyle w:val="a3"/>
        <w:spacing w:after="0"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BE1EAA" w:rsidRPr="009761E8">
        <w:rPr>
          <w:rFonts w:ascii="Times New Roman" w:hAnsi="Times New Roman" w:cs="Times New Roman"/>
          <w:b/>
          <w:color w:val="000000"/>
          <w:sz w:val="24"/>
          <w:szCs w:val="24"/>
          <w:shd w:val="clear" w:color="auto" w:fill="FFFFFF"/>
        </w:rPr>
        <w:t>Цель</w:t>
      </w:r>
      <w:r w:rsidR="00BE1EAA" w:rsidRPr="009761E8">
        <w:rPr>
          <w:rFonts w:ascii="Times New Roman" w:hAnsi="Times New Roman" w:cs="Times New Roman"/>
          <w:color w:val="000000"/>
          <w:sz w:val="24"/>
          <w:szCs w:val="24"/>
          <w:shd w:val="clear" w:color="auto" w:fill="FFFFFF"/>
        </w:rPr>
        <w:t xml:space="preserve"> дипломной</w:t>
      </w:r>
      <w:r w:rsidR="00AC3A7F" w:rsidRPr="009761E8">
        <w:rPr>
          <w:rFonts w:ascii="Times New Roman" w:hAnsi="Times New Roman" w:cs="Times New Roman"/>
          <w:color w:val="000000"/>
          <w:sz w:val="24"/>
          <w:szCs w:val="24"/>
          <w:shd w:val="clear" w:color="auto" w:fill="FFFFFF"/>
        </w:rPr>
        <w:t xml:space="preserve"> работы – изучить проблемы трансфертного ценообразования </w:t>
      </w:r>
    </w:p>
    <w:p w:rsidR="00AC3A7F" w:rsidRPr="009761E8" w:rsidRDefault="00631745" w:rsidP="009761E8">
      <w:pPr>
        <w:pStyle w:val="a3"/>
        <w:spacing w:after="0"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BE1EAA" w:rsidRPr="009761E8">
        <w:rPr>
          <w:rFonts w:ascii="Times New Roman" w:hAnsi="Times New Roman" w:cs="Times New Roman"/>
          <w:b/>
          <w:color w:val="000000"/>
          <w:sz w:val="24"/>
          <w:szCs w:val="24"/>
          <w:shd w:val="clear" w:color="auto" w:fill="FFFFFF"/>
        </w:rPr>
        <w:t>Задачи</w:t>
      </w:r>
      <w:r w:rsidR="00BE1EAA" w:rsidRPr="009761E8">
        <w:rPr>
          <w:rFonts w:ascii="Times New Roman" w:hAnsi="Times New Roman" w:cs="Times New Roman"/>
          <w:color w:val="000000"/>
          <w:sz w:val="24"/>
          <w:szCs w:val="24"/>
          <w:shd w:val="clear" w:color="auto" w:fill="FFFFFF"/>
        </w:rPr>
        <w:t xml:space="preserve"> дипломной работы состоят в следующем:</w:t>
      </w:r>
    </w:p>
    <w:p w:rsidR="00BE1EAA" w:rsidRPr="009761E8" w:rsidRDefault="00EB58B3" w:rsidP="009761E8">
      <w:pPr>
        <w:pStyle w:val="a3"/>
        <w:numPr>
          <w:ilvl w:val="0"/>
          <w:numId w:val="3"/>
        </w:numPr>
        <w:spacing w:after="0" w:line="360" w:lineRule="auto"/>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изучить</w:t>
      </w:r>
      <w:r w:rsidR="006F16CF" w:rsidRPr="009761E8">
        <w:rPr>
          <w:rFonts w:ascii="Times New Roman" w:hAnsi="Times New Roman" w:cs="Times New Roman"/>
          <w:color w:val="000000"/>
          <w:sz w:val="24"/>
          <w:szCs w:val="24"/>
          <w:shd w:val="clear" w:color="auto" w:fill="FFFFFF"/>
        </w:rPr>
        <w:t xml:space="preserve"> сущность и цели </w:t>
      </w:r>
      <w:r w:rsidRPr="009761E8">
        <w:rPr>
          <w:rFonts w:ascii="Times New Roman" w:hAnsi="Times New Roman" w:cs="Times New Roman"/>
          <w:color w:val="000000"/>
          <w:sz w:val="24"/>
          <w:szCs w:val="24"/>
          <w:shd w:val="clear" w:color="auto" w:fill="FFFFFF"/>
        </w:rPr>
        <w:t>трансфертного ценообразования</w:t>
      </w:r>
    </w:p>
    <w:p w:rsidR="00EB58B3" w:rsidRPr="009761E8" w:rsidRDefault="00EB58B3" w:rsidP="009761E8">
      <w:pPr>
        <w:pStyle w:val="a3"/>
        <w:numPr>
          <w:ilvl w:val="0"/>
          <w:numId w:val="3"/>
        </w:numPr>
        <w:spacing w:after="0" w:line="360" w:lineRule="auto"/>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 xml:space="preserve">рассмотреть правовые основы налоговой системы ТЦО в </w:t>
      </w:r>
      <w:r w:rsidR="006F16CF" w:rsidRPr="009761E8">
        <w:rPr>
          <w:rFonts w:ascii="Times New Roman" w:hAnsi="Times New Roman" w:cs="Times New Roman"/>
          <w:color w:val="000000"/>
          <w:sz w:val="24"/>
          <w:szCs w:val="24"/>
          <w:shd w:val="clear" w:color="auto" w:fill="FFFFFF"/>
        </w:rPr>
        <w:t>международном ключе</w:t>
      </w:r>
    </w:p>
    <w:p w:rsidR="00F42A8E" w:rsidRPr="009761E8" w:rsidRDefault="00EB58B3" w:rsidP="009761E8">
      <w:pPr>
        <w:pStyle w:val="a3"/>
        <w:numPr>
          <w:ilvl w:val="0"/>
          <w:numId w:val="3"/>
        </w:numPr>
        <w:spacing w:after="0" w:line="360" w:lineRule="auto"/>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исследовать нововведения в области регулирования ТЦО</w:t>
      </w:r>
      <w:r w:rsidR="00F42A8E" w:rsidRPr="009761E8">
        <w:rPr>
          <w:rFonts w:ascii="Times New Roman" w:hAnsi="Times New Roman" w:cs="Times New Roman"/>
          <w:color w:val="000000"/>
          <w:sz w:val="24"/>
          <w:szCs w:val="24"/>
          <w:shd w:val="clear" w:color="auto" w:fill="FFFFFF"/>
        </w:rPr>
        <w:t xml:space="preserve"> в РФ</w:t>
      </w:r>
    </w:p>
    <w:p w:rsidR="00EB58B3" w:rsidRPr="009761E8" w:rsidRDefault="00F42A8E" w:rsidP="009761E8">
      <w:pPr>
        <w:pStyle w:val="a3"/>
        <w:numPr>
          <w:ilvl w:val="0"/>
          <w:numId w:val="3"/>
        </w:numPr>
        <w:spacing w:after="0" w:line="360" w:lineRule="auto"/>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рассмотреть проблемы ТЦО, возникающие в рамках налогового кодекса РФ</w:t>
      </w:r>
    </w:p>
    <w:p w:rsidR="00EB58B3" w:rsidRPr="009761E8" w:rsidRDefault="00EB58B3" w:rsidP="009761E8">
      <w:pPr>
        <w:pStyle w:val="a3"/>
        <w:numPr>
          <w:ilvl w:val="0"/>
          <w:numId w:val="3"/>
        </w:numPr>
        <w:spacing w:after="0" w:line="360" w:lineRule="auto"/>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проанализировать основные метод</w:t>
      </w:r>
      <w:r w:rsidR="00F42A8E" w:rsidRPr="009761E8">
        <w:rPr>
          <w:rFonts w:ascii="Times New Roman" w:hAnsi="Times New Roman" w:cs="Times New Roman"/>
          <w:color w:val="000000"/>
          <w:sz w:val="24"/>
          <w:szCs w:val="24"/>
          <w:shd w:val="clear" w:color="auto" w:fill="FFFFFF"/>
        </w:rPr>
        <w:t>ы определения рыночной цены</w:t>
      </w:r>
    </w:p>
    <w:p w:rsidR="00A51412" w:rsidRPr="009761E8" w:rsidRDefault="00A51412" w:rsidP="009761E8">
      <w:pPr>
        <w:pStyle w:val="a3"/>
        <w:numPr>
          <w:ilvl w:val="0"/>
          <w:numId w:val="3"/>
        </w:numPr>
        <w:spacing w:after="0" w:line="360" w:lineRule="auto"/>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выявить недостатки каждого из методов формирования трансфертной цены</w:t>
      </w:r>
    </w:p>
    <w:p w:rsidR="00F42A8E" w:rsidRPr="009761E8" w:rsidRDefault="00F42A8E" w:rsidP="009761E8">
      <w:pPr>
        <w:pStyle w:val="a3"/>
        <w:numPr>
          <w:ilvl w:val="0"/>
          <w:numId w:val="3"/>
        </w:numPr>
        <w:spacing w:after="0" w:line="360" w:lineRule="auto"/>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предложить пути совершенствования методов ТЦО</w:t>
      </w:r>
    </w:p>
    <w:p w:rsidR="00CA4F0D" w:rsidRPr="00627957" w:rsidRDefault="00A51412" w:rsidP="00627957">
      <w:pPr>
        <w:pStyle w:val="a3"/>
        <w:numPr>
          <w:ilvl w:val="0"/>
          <w:numId w:val="3"/>
        </w:numPr>
        <w:spacing w:after="0" w:line="360" w:lineRule="auto"/>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изучить</w:t>
      </w:r>
      <w:r w:rsidR="00F42A8E" w:rsidRPr="009761E8">
        <w:rPr>
          <w:rFonts w:ascii="Times New Roman" w:hAnsi="Times New Roman" w:cs="Times New Roman"/>
          <w:color w:val="000000"/>
          <w:sz w:val="24"/>
          <w:szCs w:val="24"/>
          <w:shd w:val="clear" w:color="auto" w:fill="FFFFFF"/>
        </w:rPr>
        <w:t xml:space="preserve"> данные о</w:t>
      </w:r>
      <w:r w:rsidR="006F16CF" w:rsidRPr="009761E8">
        <w:rPr>
          <w:rFonts w:ascii="Times New Roman" w:hAnsi="Times New Roman" w:cs="Times New Roman"/>
          <w:color w:val="000000"/>
          <w:sz w:val="24"/>
          <w:szCs w:val="24"/>
          <w:shd w:val="clear" w:color="auto" w:fill="FFFFFF"/>
        </w:rPr>
        <w:t xml:space="preserve"> судебных делах по вопросам ТЦО</w:t>
      </w:r>
    </w:p>
    <w:p w:rsidR="006F16CF" w:rsidRPr="009761E8" w:rsidRDefault="00631745" w:rsidP="009761E8">
      <w:pPr>
        <w:pStyle w:val="a3"/>
        <w:spacing w:after="0"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6F16CF" w:rsidRPr="009761E8">
        <w:rPr>
          <w:rFonts w:ascii="Times New Roman" w:hAnsi="Times New Roman" w:cs="Times New Roman"/>
          <w:b/>
          <w:color w:val="000000"/>
          <w:sz w:val="24"/>
          <w:szCs w:val="24"/>
          <w:shd w:val="clear" w:color="auto" w:fill="FFFFFF"/>
        </w:rPr>
        <w:t>Объектом</w:t>
      </w:r>
      <w:r w:rsidR="006F16CF" w:rsidRPr="009761E8">
        <w:rPr>
          <w:rFonts w:ascii="Times New Roman" w:hAnsi="Times New Roman" w:cs="Times New Roman"/>
          <w:color w:val="000000"/>
          <w:sz w:val="24"/>
          <w:szCs w:val="24"/>
          <w:shd w:val="clear" w:color="auto" w:fill="FFFFFF"/>
        </w:rPr>
        <w:t xml:space="preserve"> исследования в данной работе является трансфертное ценообразование.</w:t>
      </w:r>
    </w:p>
    <w:p w:rsidR="006F16CF" w:rsidRPr="009761E8" w:rsidRDefault="00342423" w:rsidP="009761E8">
      <w:pPr>
        <w:pStyle w:val="a3"/>
        <w:spacing w:after="0" w:line="360" w:lineRule="auto"/>
        <w:ind w:left="360"/>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lastRenderedPageBreak/>
        <w:tab/>
      </w:r>
      <w:r w:rsidR="006F16CF" w:rsidRPr="009761E8">
        <w:rPr>
          <w:rFonts w:ascii="Times New Roman" w:hAnsi="Times New Roman" w:cs="Times New Roman"/>
          <w:b/>
          <w:color w:val="000000"/>
          <w:sz w:val="24"/>
          <w:szCs w:val="24"/>
          <w:shd w:val="clear" w:color="auto" w:fill="FFFFFF"/>
        </w:rPr>
        <w:t>Предметом</w:t>
      </w:r>
      <w:r w:rsidR="006F16CF" w:rsidRPr="009761E8">
        <w:rPr>
          <w:rFonts w:ascii="Times New Roman" w:hAnsi="Times New Roman" w:cs="Times New Roman"/>
          <w:color w:val="000000"/>
          <w:sz w:val="24"/>
          <w:szCs w:val="24"/>
          <w:shd w:val="clear" w:color="auto" w:fill="FFFFFF"/>
        </w:rPr>
        <w:t xml:space="preserve"> исследования – </w:t>
      </w:r>
      <w:r w:rsidR="00063E79" w:rsidRPr="009761E8">
        <w:rPr>
          <w:rFonts w:ascii="Times New Roman" w:hAnsi="Times New Roman" w:cs="Times New Roman"/>
          <w:color w:val="000000"/>
          <w:sz w:val="24"/>
          <w:szCs w:val="24"/>
          <w:shd w:val="clear" w:color="auto" w:fill="FFFFFF"/>
        </w:rPr>
        <w:t>проблемы, связанные с трансфертным</w:t>
      </w:r>
      <w:r w:rsidR="006F16CF" w:rsidRPr="009761E8">
        <w:rPr>
          <w:rFonts w:ascii="Times New Roman" w:hAnsi="Times New Roman" w:cs="Times New Roman"/>
          <w:color w:val="000000"/>
          <w:sz w:val="24"/>
          <w:szCs w:val="24"/>
          <w:shd w:val="clear" w:color="auto" w:fill="FFFFFF"/>
        </w:rPr>
        <w:t xml:space="preserve"> </w:t>
      </w:r>
      <w:r w:rsidR="00063E79" w:rsidRPr="009761E8">
        <w:rPr>
          <w:rFonts w:ascii="Times New Roman" w:hAnsi="Times New Roman" w:cs="Times New Roman"/>
          <w:color w:val="000000"/>
          <w:sz w:val="24"/>
          <w:szCs w:val="24"/>
          <w:shd w:val="clear" w:color="auto" w:fill="FFFFFF"/>
        </w:rPr>
        <w:t>ценообразованием.</w:t>
      </w:r>
    </w:p>
    <w:p w:rsidR="006F16CF" w:rsidRPr="009761E8" w:rsidRDefault="00342423" w:rsidP="009761E8">
      <w:pPr>
        <w:pStyle w:val="a3"/>
        <w:spacing w:after="0" w:line="360" w:lineRule="auto"/>
        <w:ind w:left="360"/>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ab/>
        <w:t>Методологической основой данного исследования являются теоретический анализ и синтез, анализ литературы, классификация, обобщение и системный подход.</w:t>
      </w:r>
    </w:p>
    <w:p w:rsidR="00B2634A" w:rsidRPr="009761E8" w:rsidRDefault="00342423" w:rsidP="009761E8">
      <w:pPr>
        <w:pStyle w:val="a3"/>
        <w:spacing w:after="0" w:line="360" w:lineRule="auto"/>
        <w:ind w:left="360"/>
        <w:jc w:val="both"/>
        <w:rPr>
          <w:rFonts w:ascii="Times New Roman" w:hAnsi="Times New Roman" w:cs="Times New Roman"/>
          <w:color w:val="000000"/>
          <w:sz w:val="24"/>
          <w:szCs w:val="24"/>
          <w:shd w:val="clear" w:color="auto" w:fill="FFFFFF"/>
        </w:rPr>
      </w:pPr>
      <w:r w:rsidRPr="009761E8">
        <w:rPr>
          <w:rFonts w:ascii="Times New Roman" w:hAnsi="Times New Roman" w:cs="Times New Roman"/>
          <w:color w:val="000000"/>
          <w:sz w:val="24"/>
          <w:szCs w:val="24"/>
          <w:shd w:val="clear" w:color="auto" w:fill="FFFFFF"/>
        </w:rPr>
        <w:tab/>
        <w:t>Дипл</w:t>
      </w:r>
      <w:r w:rsidR="00A51412" w:rsidRPr="009761E8">
        <w:rPr>
          <w:rFonts w:ascii="Times New Roman" w:hAnsi="Times New Roman" w:cs="Times New Roman"/>
          <w:color w:val="000000"/>
          <w:sz w:val="24"/>
          <w:szCs w:val="24"/>
          <w:shd w:val="clear" w:color="auto" w:fill="FFFFFF"/>
        </w:rPr>
        <w:t xml:space="preserve">омная работа представлена в </w:t>
      </w:r>
      <w:r w:rsidR="00F53E3B">
        <w:rPr>
          <w:rFonts w:ascii="Times New Roman" w:hAnsi="Times New Roman" w:cs="Times New Roman"/>
          <w:color w:val="000000"/>
          <w:sz w:val="24"/>
          <w:szCs w:val="24"/>
          <w:shd w:val="clear" w:color="auto" w:fill="FFFFFF"/>
        </w:rPr>
        <w:t>трех</w:t>
      </w:r>
      <w:r w:rsidRPr="009761E8">
        <w:rPr>
          <w:rFonts w:ascii="Times New Roman" w:hAnsi="Times New Roman" w:cs="Times New Roman"/>
          <w:color w:val="000000"/>
          <w:sz w:val="24"/>
          <w:szCs w:val="24"/>
          <w:shd w:val="clear" w:color="auto" w:fill="FFFFFF"/>
        </w:rPr>
        <w:t xml:space="preserve"> главах. В первой рассматриваются </w:t>
      </w:r>
      <w:r w:rsidR="00B41E13" w:rsidRPr="009761E8">
        <w:rPr>
          <w:rFonts w:ascii="Times New Roman" w:hAnsi="Times New Roman" w:cs="Times New Roman"/>
          <w:color w:val="000000"/>
          <w:sz w:val="24"/>
          <w:szCs w:val="24"/>
          <w:shd w:val="clear" w:color="auto" w:fill="FFFFFF"/>
        </w:rPr>
        <w:t>теоретические</w:t>
      </w:r>
      <w:r w:rsidRPr="009761E8">
        <w:rPr>
          <w:rFonts w:ascii="Times New Roman" w:hAnsi="Times New Roman" w:cs="Times New Roman"/>
          <w:color w:val="000000"/>
          <w:sz w:val="24"/>
          <w:szCs w:val="24"/>
          <w:shd w:val="clear" w:color="auto" w:fill="FFFFFF"/>
        </w:rPr>
        <w:t xml:space="preserve"> подходы </w:t>
      </w:r>
      <w:r w:rsidR="00063E79" w:rsidRPr="009761E8">
        <w:rPr>
          <w:rFonts w:ascii="Times New Roman" w:hAnsi="Times New Roman" w:cs="Times New Roman"/>
          <w:color w:val="000000"/>
          <w:sz w:val="24"/>
          <w:szCs w:val="24"/>
          <w:shd w:val="clear" w:color="auto" w:fill="FFFFFF"/>
        </w:rPr>
        <w:t xml:space="preserve">к изучению </w:t>
      </w:r>
      <w:r w:rsidR="00B41E13" w:rsidRPr="009761E8">
        <w:rPr>
          <w:rFonts w:ascii="Times New Roman" w:hAnsi="Times New Roman" w:cs="Times New Roman"/>
          <w:color w:val="000000"/>
          <w:sz w:val="24"/>
          <w:szCs w:val="24"/>
          <w:shd w:val="clear" w:color="auto" w:fill="FFFFFF"/>
        </w:rPr>
        <w:t>трансфертного</w:t>
      </w:r>
      <w:r w:rsidRPr="009761E8">
        <w:rPr>
          <w:rFonts w:ascii="Times New Roman" w:hAnsi="Times New Roman" w:cs="Times New Roman"/>
          <w:color w:val="000000"/>
          <w:sz w:val="24"/>
          <w:szCs w:val="24"/>
          <w:shd w:val="clear" w:color="auto" w:fill="FFFFFF"/>
        </w:rPr>
        <w:t xml:space="preserve"> ценообразования. Вторая глава раскрывает ос</w:t>
      </w:r>
      <w:r w:rsidR="00A51412" w:rsidRPr="009761E8">
        <w:rPr>
          <w:rFonts w:ascii="Times New Roman" w:hAnsi="Times New Roman" w:cs="Times New Roman"/>
          <w:color w:val="000000"/>
          <w:sz w:val="24"/>
          <w:szCs w:val="24"/>
          <w:shd w:val="clear" w:color="auto" w:fill="FFFFFF"/>
        </w:rPr>
        <w:t xml:space="preserve">обенности ТЦО в России, </w:t>
      </w:r>
      <w:r w:rsidR="00F53E3B">
        <w:rPr>
          <w:rFonts w:ascii="Times New Roman" w:hAnsi="Times New Roman" w:cs="Times New Roman"/>
          <w:color w:val="000000"/>
          <w:sz w:val="24"/>
          <w:szCs w:val="24"/>
          <w:shd w:val="clear" w:color="auto" w:fill="FFFFFF"/>
        </w:rPr>
        <w:t>а также применяемые методы трансфертного ценообразования, св</w:t>
      </w:r>
      <w:r w:rsidR="00F53E3B" w:rsidRPr="009761E8">
        <w:rPr>
          <w:rFonts w:ascii="Times New Roman" w:hAnsi="Times New Roman" w:cs="Times New Roman"/>
          <w:color w:val="000000"/>
          <w:sz w:val="24"/>
          <w:szCs w:val="24"/>
          <w:shd w:val="clear" w:color="auto" w:fill="FFFFFF"/>
        </w:rPr>
        <w:t>язанные</w:t>
      </w:r>
      <w:r w:rsidRPr="009761E8">
        <w:rPr>
          <w:rFonts w:ascii="Times New Roman" w:hAnsi="Times New Roman" w:cs="Times New Roman"/>
          <w:color w:val="000000"/>
          <w:sz w:val="24"/>
          <w:szCs w:val="24"/>
          <w:shd w:val="clear" w:color="auto" w:fill="FFFFFF"/>
        </w:rPr>
        <w:t xml:space="preserve"> проблемы</w:t>
      </w:r>
      <w:r w:rsidR="00F53E3B">
        <w:rPr>
          <w:rFonts w:ascii="Times New Roman" w:hAnsi="Times New Roman" w:cs="Times New Roman"/>
          <w:color w:val="000000"/>
          <w:sz w:val="24"/>
          <w:szCs w:val="24"/>
          <w:shd w:val="clear" w:color="auto" w:fill="FFFFFF"/>
        </w:rPr>
        <w:t xml:space="preserve"> и пути их решения. В третьей главе анализируются результаты введения норм от 1 января 2012 года, </w:t>
      </w:r>
      <w:r w:rsidR="00A51412" w:rsidRPr="009761E8">
        <w:rPr>
          <w:rFonts w:ascii="Times New Roman" w:hAnsi="Times New Roman" w:cs="Times New Roman"/>
          <w:color w:val="000000"/>
          <w:sz w:val="24"/>
          <w:szCs w:val="24"/>
          <w:shd w:val="clear" w:color="auto" w:fill="FFFFFF"/>
        </w:rPr>
        <w:t xml:space="preserve">а также дела из реальной </w:t>
      </w:r>
      <w:r w:rsidR="00F53E3B" w:rsidRPr="009761E8">
        <w:rPr>
          <w:rFonts w:ascii="Times New Roman" w:hAnsi="Times New Roman" w:cs="Times New Roman"/>
          <w:color w:val="000000"/>
          <w:sz w:val="24"/>
          <w:szCs w:val="24"/>
          <w:shd w:val="clear" w:color="auto" w:fill="FFFFFF"/>
        </w:rPr>
        <w:t>судебной</w:t>
      </w:r>
      <w:r w:rsidR="00A51412" w:rsidRPr="009761E8">
        <w:rPr>
          <w:rFonts w:ascii="Times New Roman" w:hAnsi="Times New Roman" w:cs="Times New Roman"/>
          <w:color w:val="000000"/>
          <w:sz w:val="24"/>
          <w:szCs w:val="24"/>
          <w:shd w:val="clear" w:color="auto" w:fill="FFFFFF"/>
        </w:rPr>
        <w:t xml:space="preserve"> практики</w:t>
      </w:r>
      <w:r w:rsidRPr="009761E8">
        <w:rPr>
          <w:rFonts w:ascii="Times New Roman" w:hAnsi="Times New Roman" w:cs="Times New Roman"/>
          <w:color w:val="000000"/>
          <w:sz w:val="24"/>
          <w:szCs w:val="24"/>
          <w:shd w:val="clear" w:color="auto" w:fill="FFFFFF"/>
        </w:rPr>
        <w:t xml:space="preserve"> </w:t>
      </w:r>
      <w:r w:rsidR="00B41E13" w:rsidRPr="009761E8">
        <w:rPr>
          <w:rFonts w:ascii="Times New Roman" w:hAnsi="Times New Roman" w:cs="Times New Roman"/>
          <w:color w:val="000000"/>
          <w:sz w:val="24"/>
          <w:szCs w:val="24"/>
          <w:shd w:val="clear" w:color="auto" w:fill="FFFFFF"/>
        </w:rPr>
        <w:t>по вопросам ТЦО.</w:t>
      </w:r>
    </w:p>
    <w:p w:rsidR="00342423" w:rsidRPr="008F32E0" w:rsidRDefault="00B2634A" w:rsidP="009761E8">
      <w:pPr>
        <w:pStyle w:val="1"/>
        <w:spacing w:before="0" w:line="360" w:lineRule="auto"/>
        <w:jc w:val="center"/>
        <w:rPr>
          <w:rFonts w:ascii="Times New Roman" w:hAnsi="Times New Roman" w:cs="Times New Roman"/>
          <w:b/>
          <w:color w:val="auto"/>
          <w:sz w:val="28"/>
          <w:szCs w:val="28"/>
          <w:shd w:val="clear" w:color="auto" w:fill="FFFFFF"/>
        </w:rPr>
      </w:pPr>
      <w:r w:rsidRPr="008F32E0">
        <w:rPr>
          <w:rFonts w:ascii="Times New Roman" w:hAnsi="Times New Roman" w:cs="Times New Roman"/>
          <w:sz w:val="28"/>
          <w:szCs w:val="28"/>
          <w:shd w:val="clear" w:color="auto" w:fill="FFFFFF"/>
        </w:rPr>
        <w:br w:type="page"/>
      </w:r>
      <w:bookmarkStart w:id="2" w:name="_Toc513844328"/>
      <w:r w:rsidRPr="008F32E0">
        <w:rPr>
          <w:rFonts w:ascii="Times New Roman" w:hAnsi="Times New Roman" w:cs="Times New Roman"/>
          <w:b/>
          <w:color w:val="auto"/>
          <w:sz w:val="28"/>
          <w:szCs w:val="28"/>
          <w:shd w:val="clear" w:color="auto" w:fill="FFFFFF"/>
        </w:rPr>
        <w:lastRenderedPageBreak/>
        <w:t>Глава 1. Теоретические подходы к изучению трансфертного ценообразования</w:t>
      </w:r>
      <w:bookmarkEnd w:id="2"/>
    </w:p>
    <w:p w:rsidR="00B2634A" w:rsidRPr="009761E8" w:rsidRDefault="00B2634A" w:rsidP="009761E8">
      <w:pPr>
        <w:spacing w:after="0" w:line="360" w:lineRule="auto"/>
        <w:jc w:val="both"/>
        <w:rPr>
          <w:rFonts w:ascii="Times New Roman" w:hAnsi="Times New Roman" w:cs="Times New Roman"/>
          <w:sz w:val="24"/>
          <w:szCs w:val="24"/>
        </w:rPr>
      </w:pPr>
    </w:p>
    <w:p w:rsidR="00B2634A" w:rsidRPr="009761E8" w:rsidRDefault="002E0321" w:rsidP="009761E8">
      <w:pPr>
        <w:pStyle w:val="2"/>
        <w:numPr>
          <w:ilvl w:val="1"/>
          <w:numId w:val="4"/>
        </w:numPr>
        <w:spacing w:before="0" w:line="360" w:lineRule="auto"/>
        <w:jc w:val="center"/>
        <w:rPr>
          <w:rFonts w:ascii="Times New Roman" w:hAnsi="Times New Roman" w:cs="Times New Roman"/>
          <w:b/>
          <w:color w:val="auto"/>
          <w:sz w:val="24"/>
          <w:szCs w:val="24"/>
        </w:rPr>
      </w:pPr>
      <w:bookmarkStart w:id="3" w:name="_Toc513844329"/>
      <w:r w:rsidRPr="009761E8">
        <w:rPr>
          <w:rFonts w:ascii="Times New Roman" w:hAnsi="Times New Roman" w:cs="Times New Roman"/>
          <w:b/>
          <w:color w:val="auto"/>
          <w:sz w:val="24"/>
          <w:szCs w:val="24"/>
        </w:rPr>
        <w:t xml:space="preserve">Сущность, </w:t>
      </w:r>
      <w:r w:rsidR="00B2634A" w:rsidRPr="009761E8">
        <w:rPr>
          <w:rFonts w:ascii="Times New Roman" w:hAnsi="Times New Roman" w:cs="Times New Roman"/>
          <w:b/>
          <w:color w:val="auto"/>
          <w:sz w:val="24"/>
          <w:szCs w:val="24"/>
        </w:rPr>
        <w:t xml:space="preserve">цели </w:t>
      </w:r>
      <w:r w:rsidRPr="009761E8">
        <w:rPr>
          <w:rFonts w:ascii="Times New Roman" w:hAnsi="Times New Roman" w:cs="Times New Roman"/>
          <w:b/>
          <w:color w:val="auto"/>
          <w:sz w:val="24"/>
          <w:szCs w:val="24"/>
        </w:rPr>
        <w:t xml:space="preserve">и задачи </w:t>
      </w:r>
      <w:r w:rsidR="00B2634A" w:rsidRPr="009761E8">
        <w:rPr>
          <w:rFonts w:ascii="Times New Roman" w:hAnsi="Times New Roman" w:cs="Times New Roman"/>
          <w:b/>
          <w:color w:val="auto"/>
          <w:sz w:val="24"/>
          <w:szCs w:val="24"/>
        </w:rPr>
        <w:t>трансфертного ценообразования</w:t>
      </w:r>
      <w:bookmarkEnd w:id="3"/>
    </w:p>
    <w:p w:rsidR="00D77202" w:rsidRPr="009761E8" w:rsidRDefault="00D77202" w:rsidP="009761E8">
      <w:pPr>
        <w:spacing w:after="0" w:line="360" w:lineRule="auto"/>
        <w:jc w:val="both"/>
        <w:rPr>
          <w:sz w:val="24"/>
          <w:szCs w:val="24"/>
        </w:rPr>
      </w:pPr>
    </w:p>
    <w:p w:rsidR="00CA4F0D" w:rsidRPr="009761E8" w:rsidRDefault="00F6170F"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4D665E" w:rsidRPr="009761E8">
        <w:rPr>
          <w:rFonts w:ascii="Times New Roman" w:hAnsi="Times New Roman" w:cs="Times New Roman"/>
          <w:sz w:val="24"/>
          <w:szCs w:val="24"/>
        </w:rPr>
        <w:t>В современном экономическо</w:t>
      </w:r>
      <w:r w:rsidR="004D3086" w:rsidRPr="009761E8">
        <w:rPr>
          <w:rFonts w:ascii="Times New Roman" w:hAnsi="Times New Roman" w:cs="Times New Roman"/>
          <w:sz w:val="24"/>
          <w:szCs w:val="24"/>
        </w:rPr>
        <w:t>м пространстве, как правило, рассматриваются несколько понятий, определяющих</w:t>
      </w:r>
      <w:r w:rsidR="004D665E" w:rsidRPr="009761E8">
        <w:rPr>
          <w:rFonts w:ascii="Times New Roman" w:hAnsi="Times New Roman" w:cs="Times New Roman"/>
          <w:sz w:val="24"/>
          <w:szCs w:val="24"/>
        </w:rPr>
        <w:t xml:space="preserve"> сущнос</w:t>
      </w:r>
      <w:r w:rsidR="0031252B" w:rsidRPr="009761E8">
        <w:rPr>
          <w:rFonts w:ascii="Times New Roman" w:hAnsi="Times New Roman" w:cs="Times New Roman"/>
          <w:sz w:val="24"/>
          <w:szCs w:val="24"/>
        </w:rPr>
        <w:t>ть трансфертной цены</w:t>
      </w:r>
      <w:r w:rsidR="004D665E" w:rsidRPr="009761E8">
        <w:rPr>
          <w:rFonts w:ascii="Times New Roman" w:hAnsi="Times New Roman" w:cs="Times New Roman"/>
          <w:sz w:val="24"/>
          <w:szCs w:val="24"/>
        </w:rPr>
        <w:t>.</w:t>
      </w:r>
    </w:p>
    <w:p w:rsidR="00D77202" w:rsidRPr="009761E8" w:rsidRDefault="00CA4F0D"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D77202" w:rsidRPr="009761E8">
        <w:rPr>
          <w:rFonts w:ascii="Times New Roman" w:hAnsi="Times New Roman" w:cs="Times New Roman"/>
          <w:sz w:val="24"/>
          <w:szCs w:val="24"/>
        </w:rPr>
        <w:t>Трансфертная цена (в широком смысле) – "необычная", вызывающая подозрение цена, которая подлежит налоговому контролю, дающая основания полагать, что она была установлена для снижения налоговой нагрузки</w:t>
      </w:r>
      <w:r w:rsidR="004D665E" w:rsidRPr="009761E8">
        <w:rPr>
          <w:rFonts w:ascii="Times New Roman" w:hAnsi="Times New Roman" w:cs="Times New Roman"/>
          <w:sz w:val="24"/>
          <w:szCs w:val="24"/>
        </w:rPr>
        <w:t>.</w:t>
      </w:r>
    </w:p>
    <w:p w:rsidR="00D77202" w:rsidRPr="009761E8" w:rsidRDefault="00E8572A"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77202" w:rsidRPr="009761E8">
        <w:rPr>
          <w:rFonts w:ascii="Times New Roman" w:hAnsi="Times New Roman" w:cs="Times New Roman"/>
          <w:sz w:val="24"/>
          <w:szCs w:val="24"/>
        </w:rPr>
        <w:t xml:space="preserve">Трансфертная цена (в узком смысле) </w:t>
      </w:r>
      <w:r w:rsidR="004D665E" w:rsidRPr="009761E8">
        <w:rPr>
          <w:rFonts w:ascii="Times New Roman" w:hAnsi="Times New Roman" w:cs="Times New Roman"/>
          <w:sz w:val="24"/>
          <w:szCs w:val="24"/>
        </w:rPr>
        <w:t>–</w:t>
      </w:r>
      <w:r w:rsidR="00D77202" w:rsidRPr="009761E8">
        <w:rPr>
          <w:rFonts w:ascii="Times New Roman" w:hAnsi="Times New Roman" w:cs="Times New Roman"/>
          <w:sz w:val="24"/>
          <w:szCs w:val="24"/>
        </w:rPr>
        <w:t xml:space="preserve"> </w:t>
      </w:r>
      <w:r w:rsidR="004D665E" w:rsidRPr="009761E8">
        <w:rPr>
          <w:rFonts w:ascii="Times New Roman" w:hAnsi="Times New Roman" w:cs="Times New Roman"/>
          <w:sz w:val="24"/>
          <w:szCs w:val="24"/>
        </w:rPr>
        <w:t>цена</w:t>
      </w:r>
      <w:r w:rsidR="00C44985" w:rsidRPr="009761E8">
        <w:rPr>
          <w:rFonts w:ascii="Times New Roman" w:hAnsi="Times New Roman" w:cs="Times New Roman"/>
          <w:sz w:val="24"/>
          <w:szCs w:val="24"/>
        </w:rPr>
        <w:t>,</w:t>
      </w:r>
      <w:r w:rsidR="004D665E" w:rsidRPr="009761E8">
        <w:rPr>
          <w:rFonts w:ascii="Times New Roman" w:hAnsi="Times New Roman" w:cs="Times New Roman"/>
          <w:sz w:val="24"/>
          <w:szCs w:val="24"/>
        </w:rPr>
        <w:t xml:space="preserve"> устанавливаемая</w:t>
      </w:r>
      <w:r w:rsidR="00C44985" w:rsidRPr="009761E8">
        <w:rPr>
          <w:rFonts w:ascii="Times New Roman" w:hAnsi="Times New Roman" w:cs="Times New Roman"/>
          <w:sz w:val="24"/>
          <w:szCs w:val="24"/>
        </w:rPr>
        <w:t xml:space="preserve"> на товары и услуги для расчета между двумя взаимосвязанными подразделениями в рамках одной компаний или же группы </w:t>
      </w:r>
      <w:r w:rsidR="00FC4903" w:rsidRPr="009761E8">
        <w:rPr>
          <w:rFonts w:ascii="Times New Roman" w:hAnsi="Times New Roman" w:cs="Times New Roman"/>
          <w:sz w:val="24"/>
          <w:szCs w:val="24"/>
        </w:rPr>
        <w:t>компаний (</w:t>
      </w:r>
      <w:r w:rsidR="00C44985" w:rsidRPr="009761E8">
        <w:rPr>
          <w:rFonts w:ascii="Times New Roman" w:hAnsi="Times New Roman" w:cs="Times New Roman"/>
          <w:sz w:val="24"/>
          <w:szCs w:val="24"/>
        </w:rPr>
        <w:t>входящих</w:t>
      </w:r>
      <w:r w:rsidR="00FC4903" w:rsidRPr="009761E8">
        <w:rPr>
          <w:rFonts w:ascii="Times New Roman" w:hAnsi="Times New Roman" w:cs="Times New Roman"/>
          <w:sz w:val="24"/>
          <w:szCs w:val="24"/>
        </w:rPr>
        <w:t xml:space="preserve"> в один холдинг).</w:t>
      </w:r>
      <w:r w:rsidR="004D3086" w:rsidRPr="009761E8">
        <w:rPr>
          <w:rFonts w:ascii="Times New Roman" w:hAnsi="Times New Roman" w:cs="Times New Roman"/>
          <w:sz w:val="24"/>
          <w:szCs w:val="24"/>
        </w:rPr>
        <w:t xml:space="preserve"> </w:t>
      </w:r>
    </w:p>
    <w:p w:rsidR="00677E60" w:rsidRPr="009761E8" w:rsidRDefault="00677E60" w:rsidP="0030355C">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 xml:space="preserve">Появление </w:t>
      </w:r>
      <w:r w:rsidR="00A8252C" w:rsidRPr="009761E8">
        <w:rPr>
          <w:rFonts w:ascii="Times New Roman" w:hAnsi="Times New Roman" w:cs="Times New Roman"/>
          <w:sz w:val="24"/>
          <w:szCs w:val="24"/>
        </w:rPr>
        <w:t>транснациональных корпораций повлекло за собой активн</w:t>
      </w:r>
      <w:r w:rsidR="0026094D" w:rsidRPr="009761E8">
        <w:rPr>
          <w:rFonts w:ascii="Times New Roman" w:hAnsi="Times New Roman" w:cs="Times New Roman"/>
          <w:sz w:val="24"/>
          <w:szCs w:val="24"/>
        </w:rPr>
        <w:t>ый обмен промежуточной продукцией</w:t>
      </w:r>
      <w:r w:rsidR="00A8252C" w:rsidRPr="009761E8">
        <w:rPr>
          <w:rFonts w:ascii="Times New Roman" w:hAnsi="Times New Roman" w:cs="Times New Roman"/>
          <w:sz w:val="24"/>
          <w:szCs w:val="24"/>
        </w:rPr>
        <w:t xml:space="preserve"> между подразделениями по </w:t>
      </w:r>
      <w:r w:rsidR="0031252B" w:rsidRPr="009761E8">
        <w:rPr>
          <w:rFonts w:ascii="Times New Roman" w:hAnsi="Times New Roman" w:cs="Times New Roman"/>
          <w:sz w:val="24"/>
          <w:szCs w:val="24"/>
        </w:rPr>
        <w:t>ценам, отличных от рыночных</w:t>
      </w:r>
      <w:r w:rsidR="0026094D" w:rsidRPr="009761E8">
        <w:rPr>
          <w:rFonts w:ascii="Times New Roman" w:hAnsi="Times New Roman" w:cs="Times New Roman"/>
          <w:sz w:val="24"/>
          <w:szCs w:val="24"/>
        </w:rPr>
        <w:t>. В силу отсутствия на тот мом</w:t>
      </w:r>
      <w:r w:rsidR="0031252B" w:rsidRPr="009761E8">
        <w:rPr>
          <w:rFonts w:ascii="Times New Roman" w:hAnsi="Times New Roman" w:cs="Times New Roman"/>
          <w:sz w:val="24"/>
          <w:szCs w:val="24"/>
        </w:rPr>
        <w:t xml:space="preserve">ент государственного контроля, </w:t>
      </w:r>
      <w:r w:rsidR="0026094D" w:rsidRPr="009761E8">
        <w:rPr>
          <w:rFonts w:ascii="Times New Roman" w:hAnsi="Times New Roman" w:cs="Times New Roman"/>
          <w:sz w:val="24"/>
          <w:szCs w:val="24"/>
        </w:rPr>
        <w:t>это позволило руководству ТНК извлечь нео</w:t>
      </w:r>
      <w:r w:rsidR="00B12FF0" w:rsidRPr="009761E8">
        <w:rPr>
          <w:rFonts w:ascii="Times New Roman" w:hAnsi="Times New Roman" w:cs="Times New Roman"/>
          <w:sz w:val="24"/>
          <w:szCs w:val="24"/>
        </w:rPr>
        <w:t xml:space="preserve">споримые преимущества: </w:t>
      </w:r>
      <w:r w:rsidR="0031252B" w:rsidRPr="009761E8">
        <w:rPr>
          <w:rFonts w:ascii="Times New Roman" w:hAnsi="Times New Roman" w:cs="Times New Roman"/>
          <w:sz w:val="24"/>
          <w:szCs w:val="24"/>
        </w:rPr>
        <w:t>возможность распределения</w:t>
      </w:r>
      <w:r w:rsidR="00B12FF0" w:rsidRPr="009761E8">
        <w:rPr>
          <w:rFonts w:ascii="Times New Roman" w:hAnsi="Times New Roman" w:cs="Times New Roman"/>
          <w:sz w:val="24"/>
          <w:szCs w:val="24"/>
        </w:rPr>
        <w:t xml:space="preserve"> </w:t>
      </w:r>
      <w:r w:rsidR="0031252B" w:rsidRPr="009761E8">
        <w:rPr>
          <w:rFonts w:ascii="Times New Roman" w:hAnsi="Times New Roman" w:cs="Times New Roman"/>
          <w:sz w:val="24"/>
          <w:szCs w:val="24"/>
        </w:rPr>
        <w:t xml:space="preserve">и расширения </w:t>
      </w:r>
      <w:r w:rsidR="00B12FF0" w:rsidRPr="009761E8">
        <w:rPr>
          <w:rFonts w:ascii="Times New Roman" w:hAnsi="Times New Roman" w:cs="Times New Roman"/>
          <w:sz w:val="24"/>
          <w:szCs w:val="24"/>
        </w:rPr>
        <w:t>рынков</w:t>
      </w:r>
      <w:r w:rsidR="0031252B" w:rsidRPr="009761E8">
        <w:rPr>
          <w:rFonts w:ascii="Times New Roman" w:hAnsi="Times New Roman" w:cs="Times New Roman"/>
          <w:sz w:val="24"/>
          <w:szCs w:val="24"/>
        </w:rPr>
        <w:t xml:space="preserve"> сбыта</w:t>
      </w:r>
      <w:r w:rsidR="00B12FF0" w:rsidRPr="009761E8">
        <w:rPr>
          <w:rFonts w:ascii="Times New Roman" w:hAnsi="Times New Roman" w:cs="Times New Roman"/>
          <w:sz w:val="24"/>
          <w:szCs w:val="24"/>
        </w:rPr>
        <w:t xml:space="preserve">, </w:t>
      </w:r>
      <w:r w:rsidR="0031252B" w:rsidRPr="009761E8">
        <w:rPr>
          <w:rFonts w:ascii="Times New Roman" w:hAnsi="Times New Roman" w:cs="Times New Roman"/>
          <w:sz w:val="24"/>
          <w:szCs w:val="24"/>
        </w:rPr>
        <w:t xml:space="preserve">сфер влияния между </w:t>
      </w:r>
      <w:r w:rsidR="00813696" w:rsidRPr="009761E8">
        <w:rPr>
          <w:rFonts w:ascii="Times New Roman" w:hAnsi="Times New Roman" w:cs="Times New Roman"/>
          <w:sz w:val="24"/>
          <w:szCs w:val="24"/>
        </w:rPr>
        <w:t>взаимозависимыми бизнес-единицами, осуществлять вывод прибыли в пользу компаний, имеющих преференции в области налогообложения, например</w:t>
      </w:r>
      <w:r w:rsidRPr="009761E8">
        <w:rPr>
          <w:rFonts w:ascii="Times New Roman" w:hAnsi="Times New Roman" w:cs="Times New Roman"/>
          <w:sz w:val="24"/>
          <w:szCs w:val="24"/>
        </w:rPr>
        <w:t>,</w:t>
      </w:r>
      <w:r w:rsidR="00813696" w:rsidRPr="009761E8">
        <w:rPr>
          <w:rFonts w:ascii="Times New Roman" w:hAnsi="Times New Roman" w:cs="Times New Roman"/>
          <w:sz w:val="24"/>
          <w:szCs w:val="24"/>
        </w:rPr>
        <w:t xml:space="preserve"> располагающихся в оффшорных зонах, </w:t>
      </w:r>
      <w:r w:rsidR="00D56C9F" w:rsidRPr="009761E8">
        <w:rPr>
          <w:rFonts w:ascii="Times New Roman" w:hAnsi="Times New Roman" w:cs="Times New Roman"/>
          <w:sz w:val="24"/>
          <w:szCs w:val="24"/>
        </w:rPr>
        <w:t>завоёвывать новые рынки</w:t>
      </w:r>
      <w:r w:rsidR="00AD38E0" w:rsidRPr="009761E8">
        <w:rPr>
          <w:rFonts w:ascii="Times New Roman" w:hAnsi="Times New Roman" w:cs="Times New Roman"/>
          <w:sz w:val="24"/>
          <w:szCs w:val="24"/>
        </w:rPr>
        <w:t xml:space="preserve"> за счет манипуляций с ценами.</w:t>
      </w:r>
    </w:p>
    <w:p w:rsidR="00FF3BA6" w:rsidRPr="009761E8" w:rsidRDefault="009F0001"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B2BDE" w:rsidRPr="009761E8">
        <w:rPr>
          <w:rFonts w:ascii="Times New Roman" w:hAnsi="Times New Roman" w:cs="Times New Roman"/>
          <w:sz w:val="24"/>
          <w:szCs w:val="24"/>
        </w:rPr>
        <w:t>Исходя из этого можно выделить следующие цели использования трансфертной цены</w:t>
      </w:r>
      <w:r w:rsidR="00FF3BA6" w:rsidRPr="009761E8">
        <w:rPr>
          <w:rFonts w:ascii="Times New Roman" w:hAnsi="Times New Roman" w:cs="Times New Roman"/>
          <w:sz w:val="24"/>
          <w:szCs w:val="24"/>
        </w:rPr>
        <w:t>:</w:t>
      </w:r>
    </w:p>
    <w:p w:rsidR="00FF3BA6" w:rsidRPr="009761E8" w:rsidRDefault="00CB2BDE"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минимизация</w:t>
      </w:r>
      <w:r w:rsidR="00FF3BA6" w:rsidRPr="009761E8">
        <w:rPr>
          <w:rFonts w:ascii="Times New Roman" w:hAnsi="Times New Roman" w:cs="Times New Roman"/>
          <w:sz w:val="24"/>
          <w:szCs w:val="24"/>
        </w:rPr>
        <w:t xml:space="preserve"> налоговых отчислений</w:t>
      </w:r>
    </w:p>
    <w:p w:rsidR="00FF3BA6" w:rsidRPr="009761E8" w:rsidRDefault="009F0001"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3BA6" w:rsidRPr="009761E8">
        <w:rPr>
          <w:rFonts w:ascii="Times New Roman" w:hAnsi="Times New Roman" w:cs="Times New Roman"/>
          <w:sz w:val="24"/>
          <w:szCs w:val="24"/>
        </w:rPr>
        <w:t>Варьирование контрактной ценой</w:t>
      </w:r>
      <w:r w:rsidR="00CB2BDE" w:rsidRPr="009761E8">
        <w:rPr>
          <w:rFonts w:ascii="Times New Roman" w:hAnsi="Times New Roman" w:cs="Times New Roman"/>
          <w:sz w:val="24"/>
          <w:szCs w:val="24"/>
        </w:rPr>
        <w:t>, по которой</w:t>
      </w:r>
      <w:r w:rsidR="00FF3BA6" w:rsidRPr="009761E8">
        <w:rPr>
          <w:rFonts w:ascii="Times New Roman" w:hAnsi="Times New Roman" w:cs="Times New Roman"/>
          <w:sz w:val="24"/>
          <w:szCs w:val="24"/>
        </w:rPr>
        <w:t xml:space="preserve"> осуществляется сделка между подразделениями, дает возможность перераспределять полученную прибыль в пользу менее налогооблагаемой юрисдикции</w:t>
      </w:r>
      <w:r w:rsidR="006760D3" w:rsidRPr="009761E8">
        <w:rPr>
          <w:rFonts w:ascii="Times New Roman" w:hAnsi="Times New Roman" w:cs="Times New Roman"/>
          <w:sz w:val="24"/>
          <w:szCs w:val="24"/>
        </w:rPr>
        <w:t>.</w:t>
      </w:r>
    </w:p>
    <w:p w:rsidR="00FF3BA6" w:rsidRPr="009761E8" w:rsidRDefault="00CB2BDE"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распределение и перераспределение финансовых результатов в рамках интегрированных структур, а также повышение эффективности использования финансовых ресурсов и увеличения ли</w:t>
      </w:r>
      <w:r w:rsidR="00F6170F" w:rsidRPr="009761E8">
        <w:rPr>
          <w:rFonts w:ascii="Times New Roman" w:hAnsi="Times New Roman" w:cs="Times New Roman"/>
          <w:sz w:val="24"/>
          <w:szCs w:val="24"/>
        </w:rPr>
        <w:t>чной ответственности менеджеров</w:t>
      </w:r>
    </w:p>
    <w:p w:rsidR="00CB2BDE" w:rsidRPr="009761E8" w:rsidRDefault="00CB2BDE" w:rsidP="0030355C">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Прибыль компании, рассч</w:t>
      </w:r>
      <w:r w:rsidR="00BB7E03" w:rsidRPr="009761E8">
        <w:rPr>
          <w:rFonts w:ascii="Times New Roman" w:hAnsi="Times New Roman" w:cs="Times New Roman"/>
          <w:sz w:val="24"/>
          <w:szCs w:val="24"/>
        </w:rPr>
        <w:t>итываемая на основе трансфертных цен</w:t>
      </w:r>
      <w:r w:rsidRPr="009761E8">
        <w:rPr>
          <w:rFonts w:ascii="Times New Roman" w:hAnsi="Times New Roman" w:cs="Times New Roman"/>
          <w:sz w:val="24"/>
          <w:szCs w:val="24"/>
        </w:rPr>
        <w:t xml:space="preserve">, выступает </w:t>
      </w:r>
      <w:r w:rsidR="006760D3" w:rsidRPr="009761E8">
        <w:rPr>
          <w:rFonts w:ascii="Times New Roman" w:hAnsi="Times New Roman" w:cs="Times New Roman"/>
          <w:sz w:val="24"/>
          <w:szCs w:val="24"/>
        </w:rPr>
        <w:t xml:space="preserve">в качестве показателя уровня качества </w:t>
      </w:r>
      <w:r w:rsidRPr="009761E8">
        <w:rPr>
          <w:rFonts w:ascii="Times New Roman" w:hAnsi="Times New Roman" w:cs="Times New Roman"/>
          <w:sz w:val="24"/>
          <w:szCs w:val="24"/>
        </w:rPr>
        <w:t xml:space="preserve">управления </w:t>
      </w:r>
      <w:r w:rsidR="006760D3" w:rsidRPr="009761E8">
        <w:rPr>
          <w:rFonts w:ascii="Times New Roman" w:hAnsi="Times New Roman" w:cs="Times New Roman"/>
          <w:sz w:val="24"/>
          <w:szCs w:val="24"/>
        </w:rPr>
        <w:t>структ</w:t>
      </w:r>
      <w:r w:rsidR="00BB7E03" w:rsidRPr="009761E8">
        <w:rPr>
          <w:rFonts w:ascii="Times New Roman" w:hAnsi="Times New Roman" w:cs="Times New Roman"/>
          <w:sz w:val="24"/>
          <w:szCs w:val="24"/>
        </w:rPr>
        <w:t xml:space="preserve">урными подразделениями.  При достижении </w:t>
      </w:r>
      <w:r w:rsidR="006760D3" w:rsidRPr="009761E8">
        <w:rPr>
          <w:rFonts w:ascii="Times New Roman" w:hAnsi="Times New Roman" w:cs="Times New Roman"/>
          <w:sz w:val="24"/>
          <w:szCs w:val="24"/>
        </w:rPr>
        <w:t xml:space="preserve">менеджерами высоких результатов, трансфертная цена </w:t>
      </w:r>
      <w:r w:rsidRPr="009761E8">
        <w:rPr>
          <w:rFonts w:ascii="Times New Roman" w:hAnsi="Times New Roman" w:cs="Times New Roman"/>
          <w:sz w:val="24"/>
          <w:szCs w:val="24"/>
        </w:rPr>
        <w:t xml:space="preserve">обеспечивает </w:t>
      </w:r>
      <w:r w:rsidRPr="009761E8">
        <w:rPr>
          <w:rFonts w:ascii="Times New Roman" w:hAnsi="Times New Roman" w:cs="Times New Roman"/>
          <w:sz w:val="24"/>
          <w:szCs w:val="24"/>
        </w:rPr>
        <w:lastRenderedPageBreak/>
        <w:t xml:space="preserve">определенную самостоятельность </w:t>
      </w:r>
      <w:r w:rsidR="006760D3" w:rsidRPr="009761E8">
        <w:rPr>
          <w:rFonts w:ascii="Times New Roman" w:hAnsi="Times New Roman" w:cs="Times New Roman"/>
          <w:sz w:val="24"/>
          <w:szCs w:val="24"/>
        </w:rPr>
        <w:t>внутрифирменных подразделений, наделяя руководство</w:t>
      </w:r>
      <w:r w:rsidRPr="009761E8">
        <w:rPr>
          <w:rFonts w:ascii="Times New Roman" w:hAnsi="Times New Roman" w:cs="Times New Roman"/>
          <w:sz w:val="24"/>
          <w:szCs w:val="24"/>
        </w:rPr>
        <w:t xml:space="preserve"> большей автономией </w:t>
      </w:r>
      <w:r w:rsidR="006760D3" w:rsidRPr="009761E8">
        <w:rPr>
          <w:rFonts w:ascii="Times New Roman" w:hAnsi="Times New Roman" w:cs="Times New Roman"/>
          <w:sz w:val="24"/>
          <w:szCs w:val="24"/>
        </w:rPr>
        <w:t xml:space="preserve">при дальнейшем осуществлении деятельности компании </w:t>
      </w:r>
    </w:p>
    <w:p w:rsidR="00EE7766" w:rsidRPr="009761E8" w:rsidRDefault="00EE7766"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xml:space="preserve">маркетинговой политики </w:t>
      </w:r>
    </w:p>
    <w:p w:rsidR="00EE7766" w:rsidRPr="009761E8" w:rsidRDefault="0046025C"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E7766" w:rsidRPr="009761E8">
        <w:rPr>
          <w:rFonts w:ascii="Times New Roman" w:hAnsi="Times New Roman" w:cs="Times New Roman"/>
          <w:sz w:val="24"/>
          <w:szCs w:val="24"/>
        </w:rPr>
        <w:t>ТЦО позволяет распределять рынки сбыта и сферы вл</w:t>
      </w:r>
      <w:r w:rsidR="00B92B5A" w:rsidRPr="009761E8">
        <w:rPr>
          <w:rFonts w:ascii="Times New Roman" w:hAnsi="Times New Roman" w:cs="Times New Roman"/>
          <w:sz w:val="24"/>
          <w:szCs w:val="24"/>
        </w:rPr>
        <w:t>ияния между подразделениями фирмы.</w:t>
      </w:r>
    </w:p>
    <w:p w:rsidR="004B514B" w:rsidRPr="009761E8" w:rsidRDefault="002E0321"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обход правил валютного контроля</w:t>
      </w:r>
      <w:r w:rsidR="00EE7766" w:rsidRPr="009761E8">
        <w:rPr>
          <w:rFonts w:ascii="Times New Roman" w:hAnsi="Times New Roman" w:cs="Times New Roman"/>
          <w:sz w:val="24"/>
          <w:szCs w:val="24"/>
        </w:rPr>
        <w:t xml:space="preserve"> (взвинчивание цены приобретения товаров или услуг из-за рубежа)</w:t>
      </w:r>
    </w:p>
    <w:p w:rsidR="004B514B" w:rsidRPr="009761E8" w:rsidRDefault="004B514B" w:rsidP="0030355C">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Говоря об это</w:t>
      </w:r>
      <w:r w:rsidR="005A4E6E" w:rsidRPr="009761E8">
        <w:rPr>
          <w:rFonts w:ascii="Times New Roman" w:hAnsi="Times New Roman" w:cs="Times New Roman"/>
          <w:sz w:val="24"/>
          <w:szCs w:val="24"/>
        </w:rPr>
        <w:t>м мотиве</w:t>
      </w:r>
      <w:r w:rsidRPr="009761E8">
        <w:rPr>
          <w:rFonts w:ascii="Times New Roman" w:hAnsi="Times New Roman" w:cs="Times New Roman"/>
          <w:sz w:val="24"/>
          <w:szCs w:val="24"/>
        </w:rPr>
        <w:t xml:space="preserve"> использования ТЦО</w:t>
      </w:r>
      <w:r w:rsidR="00D0439C" w:rsidRPr="009761E8">
        <w:rPr>
          <w:rFonts w:ascii="Times New Roman" w:hAnsi="Times New Roman" w:cs="Times New Roman"/>
          <w:sz w:val="24"/>
          <w:szCs w:val="24"/>
        </w:rPr>
        <w:t xml:space="preserve"> в контексте России</w:t>
      </w:r>
      <w:r w:rsidRPr="009761E8">
        <w:rPr>
          <w:rFonts w:ascii="Times New Roman" w:hAnsi="Times New Roman" w:cs="Times New Roman"/>
          <w:sz w:val="24"/>
          <w:szCs w:val="24"/>
        </w:rPr>
        <w:t>, стоит заметить, что в ближайшее время ее актуальнос</w:t>
      </w:r>
      <w:r w:rsidR="005A4E6E" w:rsidRPr="009761E8">
        <w:rPr>
          <w:rFonts w:ascii="Times New Roman" w:hAnsi="Times New Roman" w:cs="Times New Roman"/>
          <w:sz w:val="24"/>
          <w:szCs w:val="24"/>
        </w:rPr>
        <w:t>ть будет поставлена под вопрос</w:t>
      </w:r>
      <w:r w:rsidRPr="009761E8">
        <w:rPr>
          <w:rFonts w:ascii="Times New Roman" w:hAnsi="Times New Roman" w:cs="Times New Roman"/>
          <w:sz w:val="24"/>
          <w:szCs w:val="24"/>
        </w:rPr>
        <w:t xml:space="preserve">. Это связано с </w:t>
      </w:r>
      <w:r w:rsidR="00D0439C" w:rsidRPr="009761E8">
        <w:rPr>
          <w:rFonts w:ascii="Times New Roman" w:hAnsi="Times New Roman" w:cs="Times New Roman"/>
          <w:sz w:val="24"/>
          <w:szCs w:val="24"/>
        </w:rPr>
        <w:t xml:space="preserve">законопроектом, предусматривающим внесение коррективов в Федеральный закон от 10 декабря 2003 года № 173-ФЗ «О валютном регулировании и валютном контроле». До конца 2018 года планируется взять под контроль передачу товаров между отечественными компаниями, подразделения которых находятся за границей РФ, приобретение зарубежными филиалами, располагающихся на территории нашей страны, товаров, производимых российскими компаниями. Это означает, что отечественных фирм обязуют соблюдать исполнение правил относительно получения денежных средств на счета относительно совершаемых операций. Фактически </w:t>
      </w:r>
      <w:r w:rsidR="00F97E95" w:rsidRPr="009761E8">
        <w:rPr>
          <w:rFonts w:ascii="Times New Roman" w:hAnsi="Times New Roman" w:cs="Times New Roman"/>
          <w:sz w:val="24"/>
          <w:szCs w:val="24"/>
        </w:rPr>
        <w:t xml:space="preserve">предлагаемые поправки наложат запрет на взаимозачет встречных требований в рамках исполнения договора между </w:t>
      </w:r>
      <w:r w:rsidR="0071295A" w:rsidRPr="009761E8">
        <w:rPr>
          <w:rFonts w:ascii="Times New Roman" w:hAnsi="Times New Roman" w:cs="Times New Roman"/>
          <w:sz w:val="24"/>
          <w:szCs w:val="24"/>
        </w:rPr>
        <w:t xml:space="preserve">хозяйствующими </w:t>
      </w:r>
      <w:r w:rsidR="00F97E95" w:rsidRPr="009761E8">
        <w:rPr>
          <w:rFonts w:ascii="Times New Roman" w:hAnsi="Times New Roman" w:cs="Times New Roman"/>
          <w:sz w:val="24"/>
          <w:szCs w:val="24"/>
        </w:rPr>
        <w:t xml:space="preserve">субъектами. </w:t>
      </w:r>
    </w:p>
    <w:p w:rsidR="00F75FA0" w:rsidRPr="009761E8" w:rsidRDefault="0071295A" w:rsidP="0030355C">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Исходя из вышеперечисленных целей, можно выделить следующие задачи использования ТЦО</w:t>
      </w:r>
      <w:r w:rsidR="00F75FA0" w:rsidRPr="009761E8">
        <w:rPr>
          <w:rFonts w:ascii="Times New Roman" w:hAnsi="Times New Roman" w:cs="Times New Roman"/>
          <w:sz w:val="24"/>
          <w:szCs w:val="24"/>
        </w:rPr>
        <w:t>:</w:t>
      </w:r>
    </w:p>
    <w:p w:rsidR="0071295A" w:rsidRPr="009761E8" w:rsidRDefault="00780E82"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xml:space="preserve">использование цены в качестве регулятора </w:t>
      </w:r>
      <w:r w:rsidR="00942532" w:rsidRPr="009761E8">
        <w:rPr>
          <w:rFonts w:ascii="Times New Roman" w:hAnsi="Times New Roman" w:cs="Times New Roman"/>
          <w:sz w:val="24"/>
          <w:szCs w:val="24"/>
        </w:rPr>
        <w:t>спроса и предложения</w:t>
      </w:r>
      <w:r w:rsidR="00B92B5A" w:rsidRPr="009761E8">
        <w:rPr>
          <w:rFonts w:ascii="Times New Roman" w:hAnsi="Times New Roman" w:cs="Times New Roman"/>
          <w:sz w:val="24"/>
          <w:szCs w:val="24"/>
        </w:rPr>
        <w:t xml:space="preserve"> внутри фирмы</w:t>
      </w:r>
      <w:r w:rsidR="00942532" w:rsidRPr="009761E8">
        <w:rPr>
          <w:rFonts w:ascii="Times New Roman" w:hAnsi="Times New Roman" w:cs="Times New Roman"/>
          <w:sz w:val="24"/>
          <w:szCs w:val="24"/>
        </w:rPr>
        <w:t xml:space="preserve"> </w:t>
      </w:r>
    </w:p>
    <w:p w:rsidR="00C14F10" w:rsidRPr="009761E8" w:rsidRDefault="003F7CC6"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xml:space="preserve">создание и </w:t>
      </w:r>
      <w:r w:rsidR="00C14F10" w:rsidRPr="009761E8">
        <w:rPr>
          <w:rFonts w:ascii="Times New Roman" w:hAnsi="Times New Roman" w:cs="Times New Roman"/>
          <w:sz w:val="24"/>
          <w:szCs w:val="24"/>
        </w:rPr>
        <w:t xml:space="preserve">совершенствование </w:t>
      </w:r>
      <w:r w:rsidRPr="009761E8">
        <w:rPr>
          <w:rFonts w:ascii="Times New Roman" w:hAnsi="Times New Roman" w:cs="Times New Roman"/>
          <w:sz w:val="24"/>
          <w:szCs w:val="24"/>
        </w:rPr>
        <w:t>механизмов работы отдельно взятых подразделений для улучшения общих показателей фирмы</w:t>
      </w:r>
    </w:p>
    <w:p w:rsidR="003F7CC6" w:rsidRPr="009761E8" w:rsidRDefault="00B92B5A"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xml:space="preserve">использование ТЦО в качестве источника информации, необходимой руководству для принятия обоснованный решений </w:t>
      </w:r>
    </w:p>
    <w:p w:rsidR="00B92B5A" w:rsidRPr="009761E8" w:rsidRDefault="000D180A"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xml:space="preserve">наделение автономностью межфирменных субъектов </w:t>
      </w:r>
    </w:p>
    <w:p w:rsidR="000D180A" w:rsidRPr="009761E8" w:rsidRDefault="000D180A"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возможность проводить оценку деятельности компании в целом</w:t>
      </w:r>
    </w:p>
    <w:p w:rsidR="000D180A" w:rsidRPr="009761E8" w:rsidRDefault="000D180A"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служить инструментом налоговой оптимизации</w:t>
      </w:r>
    </w:p>
    <w:p w:rsidR="000D180A" w:rsidRPr="009761E8" w:rsidRDefault="000D180A"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обеспечивать согласованность действий компании</w:t>
      </w:r>
    </w:p>
    <w:p w:rsidR="008342BF" w:rsidRPr="009761E8" w:rsidRDefault="008342BF" w:rsidP="009761E8">
      <w:pPr>
        <w:pStyle w:val="a3"/>
        <w:numPr>
          <w:ilvl w:val="0"/>
          <w:numId w:val="5"/>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xml:space="preserve">оптимизация системы аллокации </w:t>
      </w:r>
      <w:r w:rsidR="007600ED" w:rsidRPr="009761E8">
        <w:rPr>
          <w:rFonts w:ascii="Times New Roman" w:hAnsi="Times New Roman" w:cs="Times New Roman"/>
          <w:sz w:val="24"/>
          <w:szCs w:val="24"/>
        </w:rPr>
        <w:t xml:space="preserve">финансовых </w:t>
      </w:r>
      <w:r w:rsidRPr="009761E8">
        <w:rPr>
          <w:rFonts w:ascii="Times New Roman" w:hAnsi="Times New Roman" w:cs="Times New Roman"/>
          <w:sz w:val="24"/>
          <w:szCs w:val="24"/>
        </w:rPr>
        <w:t>ресурсов</w:t>
      </w:r>
    </w:p>
    <w:p w:rsidR="00B0294A" w:rsidRPr="00E869D1" w:rsidRDefault="003D4B50" w:rsidP="0030355C">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Так как т</w:t>
      </w:r>
      <w:r w:rsidR="00F75FA0" w:rsidRPr="009761E8">
        <w:rPr>
          <w:rFonts w:ascii="Times New Roman" w:hAnsi="Times New Roman" w:cs="Times New Roman"/>
          <w:sz w:val="24"/>
          <w:szCs w:val="24"/>
        </w:rPr>
        <w:t>рансфертные цены</w:t>
      </w:r>
      <w:r w:rsidR="00F6170F" w:rsidRPr="009761E8">
        <w:rPr>
          <w:rFonts w:ascii="Times New Roman" w:hAnsi="Times New Roman" w:cs="Times New Roman"/>
          <w:sz w:val="24"/>
          <w:szCs w:val="24"/>
        </w:rPr>
        <w:t xml:space="preserve"> - </w:t>
      </w:r>
      <w:r w:rsidRPr="009761E8">
        <w:rPr>
          <w:rFonts w:ascii="Times New Roman" w:hAnsi="Times New Roman" w:cs="Times New Roman"/>
          <w:sz w:val="24"/>
          <w:szCs w:val="24"/>
        </w:rPr>
        <w:t xml:space="preserve"> результат внутрифирменных отношений между взаимозависимыми субъектами, то резонно, что</w:t>
      </w:r>
      <w:r w:rsidR="00F75FA0" w:rsidRPr="009761E8">
        <w:rPr>
          <w:rFonts w:ascii="Times New Roman" w:hAnsi="Times New Roman" w:cs="Times New Roman"/>
          <w:sz w:val="24"/>
          <w:szCs w:val="24"/>
        </w:rPr>
        <w:t xml:space="preserve"> </w:t>
      </w:r>
      <w:r w:rsidRPr="009761E8">
        <w:rPr>
          <w:rFonts w:ascii="Times New Roman" w:hAnsi="Times New Roman" w:cs="Times New Roman"/>
          <w:sz w:val="24"/>
          <w:szCs w:val="24"/>
        </w:rPr>
        <w:t xml:space="preserve">контролирующие органы заинтересованы </w:t>
      </w:r>
      <w:r w:rsidR="00113E42" w:rsidRPr="009761E8">
        <w:rPr>
          <w:rFonts w:ascii="Times New Roman" w:hAnsi="Times New Roman" w:cs="Times New Roman"/>
          <w:sz w:val="24"/>
          <w:szCs w:val="24"/>
        </w:rPr>
        <w:t xml:space="preserve">в том, чтобы компания не злоупотребляла этим механизмом, варьируя цены и искусственно </w:t>
      </w:r>
      <w:r w:rsidR="00113E42" w:rsidRPr="009761E8">
        <w:rPr>
          <w:rFonts w:ascii="Times New Roman" w:hAnsi="Times New Roman" w:cs="Times New Roman"/>
          <w:sz w:val="24"/>
          <w:szCs w:val="24"/>
        </w:rPr>
        <w:lastRenderedPageBreak/>
        <w:t>занижая полученную прибыль путем ее перераспределения в пользу юрисдикции, которая имеет определённые преимущества в сфере налогообложения. В связи со всеми вышеперечисленными причинами трансфертные цены выступают в качестве объекта, нуждающегося в пристальном внимании</w:t>
      </w:r>
      <w:r w:rsidR="00781EC4" w:rsidRPr="009761E8">
        <w:rPr>
          <w:rFonts w:ascii="Times New Roman" w:hAnsi="Times New Roman" w:cs="Times New Roman"/>
          <w:sz w:val="24"/>
          <w:szCs w:val="24"/>
        </w:rPr>
        <w:t xml:space="preserve"> и контроле фискальных органов различных государств. </w:t>
      </w:r>
    </w:p>
    <w:p w:rsidR="0081633A" w:rsidRPr="009761E8" w:rsidRDefault="0081633A" w:rsidP="009761E8">
      <w:pPr>
        <w:pStyle w:val="2"/>
        <w:spacing w:before="0" w:line="360" w:lineRule="auto"/>
        <w:jc w:val="center"/>
        <w:rPr>
          <w:rFonts w:ascii="Times New Roman" w:hAnsi="Times New Roman" w:cs="Times New Roman"/>
          <w:b/>
          <w:color w:val="auto"/>
          <w:sz w:val="24"/>
          <w:szCs w:val="24"/>
          <w:shd w:val="clear" w:color="auto" w:fill="FFFFFF"/>
        </w:rPr>
      </w:pPr>
    </w:p>
    <w:p w:rsidR="00EE7766" w:rsidRPr="00E869D1" w:rsidRDefault="00CA4F0D" w:rsidP="00E869D1">
      <w:pPr>
        <w:pStyle w:val="2"/>
        <w:spacing w:before="0" w:line="360" w:lineRule="auto"/>
        <w:jc w:val="center"/>
        <w:rPr>
          <w:rFonts w:ascii="Times New Roman" w:hAnsi="Times New Roman" w:cs="Times New Roman"/>
          <w:b/>
          <w:color w:val="auto"/>
          <w:sz w:val="24"/>
          <w:szCs w:val="24"/>
        </w:rPr>
      </w:pPr>
      <w:bookmarkStart w:id="4" w:name="_Toc513844330"/>
      <w:r w:rsidRPr="009761E8">
        <w:rPr>
          <w:rFonts w:ascii="Times New Roman" w:hAnsi="Times New Roman" w:cs="Times New Roman"/>
          <w:b/>
          <w:color w:val="auto"/>
          <w:sz w:val="24"/>
          <w:szCs w:val="24"/>
          <w:shd w:val="clear" w:color="auto" w:fill="FFFFFF"/>
        </w:rPr>
        <w:t>1.2 Международные принципы налогового регулирования трансфертного ценообразования</w:t>
      </w:r>
      <w:bookmarkEnd w:id="4"/>
      <w:r w:rsidRPr="009761E8">
        <w:rPr>
          <w:rFonts w:ascii="Times New Roman" w:hAnsi="Times New Roman" w:cs="Times New Roman"/>
          <w:b/>
          <w:color w:val="auto"/>
          <w:sz w:val="24"/>
          <w:szCs w:val="24"/>
          <w:shd w:val="clear" w:color="auto" w:fill="FFFFFF"/>
        </w:rPr>
        <w:t> </w:t>
      </w:r>
      <w:r w:rsidRPr="009761E8">
        <w:rPr>
          <w:rFonts w:ascii="Times New Roman" w:hAnsi="Times New Roman" w:cs="Times New Roman"/>
          <w:b/>
          <w:color w:val="auto"/>
          <w:sz w:val="24"/>
          <w:szCs w:val="24"/>
        </w:rPr>
        <w:br/>
      </w:r>
    </w:p>
    <w:p w:rsidR="002A3193" w:rsidRPr="009761E8" w:rsidRDefault="00B0294A"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9568D1" w:rsidRPr="009761E8">
        <w:rPr>
          <w:rFonts w:ascii="Times New Roman" w:hAnsi="Times New Roman" w:cs="Times New Roman"/>
          <w:sz w:val="24"/>
          <w:szCs w:val="24"/>
        </w:rPr>
        <w:t>Растущее влияние транснациональных корпораций побудило мировое экономическое сообщество создать единую базу директивов относительно трансфертного регулирования, которые в дальнейшем непосредственно должны были быть закреплены законом на государственном уровне. И уже в 1979 г. Комитет</w:t>
      </w:r>
      <w:r w:rsidR="008342BF" w:rsidRPr="009761E8">
        <w:rPr>
          <w:rFonts w:ascii="Times New Roman" w:hAnsi="Times New Roman" w:cs="Times New Roman"/>
          <w:sz w:val="24"/>
          <w:szCs w:val="24"/>
        </w:rPr>
        <w:t xml:space="preserve"> </w:t>
      </w:r>
      <w:r w:rsidR="00CC15FB" w:rsidRPr="009761E8">
        <w:rPr>
          <w:rFonts w:ascii="Times New Roman" w:hAnsi="Times New Roman" w:cs="Times New Roman"/>
          <w:sz w:val="24"/>
          <w:szCs w:val="24"/>
        </w:rPr>
        <w:t>Организации экономического сотрудничества и развития</w:t>
      </w:r>
      <w:r w:rsidR="009568D1" w:rsidRPr="009761E8">
        <w:rPr>
          <w:rFonts w:ascii="Times New Roman" w:hAnsi="Times New Roman" w:cs="Times New Roman"/>
          <w:sz w:val="24"/>
          <w:szCs w:val="24"/>
        </w:rPr>
        <w:t xml:space="preserve"> </w:t>
      </w:r>
      <w:r w:rsidR="00CC15FB" w:rsidRPr="009761E8">
        <w:rPr>
          <w:rFonts w:ascii="Times New Roman" w:hAnsi="Times New Roman" w:cs="Times New Roman"/>
          <w:sz w:val="24"/>
          <w:szCs w:val="24"/>
        </w:rPr>
        <w:t xml:space="preserve">(далее – ОЭСР) </w:t>
      </w:r>
      <w:r w:rsidR="009568D1" w:rsidRPr="009761E8">
        <w:rPr>
          <w:rFonts w:ascii="Times New Roman" w:hAnsi="Times New Roman" w:cs="Times New Roman"/>
          <w:sz w:val="24"/>
          <w:szCs w:val="24"/>
        </w:rPr>
        <w:t xml:space="preserve">по вопросам налогообложения разработал первые </w:t>
      </w:r>
      <w:r w:rsidR="008342BF" w:rsidRPr="009761E8">
        <w:rPr>
          <w:rFonts w:ascii="Times New Roman" w:hAnsi="Times New Roman" w:cs="Times New Roman"/>
          <w:sz w:val="24"/>
          <w:szCs w:val="24"/>
        </w:rPr>
        <w:t>рекомендации по транс</w:t>
      </w:r>
      <w:r w:rsidR="009568D1" w:rsidRPr="009761E8">
        <w:rPr>
          <w:rFonts w:ascii="Times New Roman" w:hAnsi="Times New Roman" w:cs="Times New Roman"/>
          <w:sz w:val="24"/>
          <w:szCs w:val="24"/>
        </w:rPr>
        <w:t xml:space="preserve">фертному ценообразованию для транснациональных корпораций, которые были зафиксированы в </w:t>
      </w:r>
      <w:r w:rsidR="008342BF" w:rsidRPr="009761E8">
        <w:rPr>
          <w:rFonts w:ascii="Times New Roman" w:hAnsi="Times New Roman" w:cs="Times New Roman"/>
          <w:sz w:val="24"/>
          <w:szCs w:val="24"/>
        </w:rPr>
        <w:t>документ</w:t>
      </w:r>
      <w:r w:rsidR="009568D1" w:rsidRPr="009761E8">
        <w:rPr>
          <w:rFonts w:ascii="Times New Roman" w:hAnsi="Times New Roman" w:cs="Times New Roman"/>
          <w:sz w:val="24"/>
          <w:szCs w:val="24"/>
        </w:rPr>
        <w:t>е</w:t>
      </w:r>
      <w:r w:rsidR="008342BF" w:rsidRPr="009761E8">
        <w:rPr>
          <w:rFonts w:ascii="Times New Roman" w:hAnsi="Times New Roman" w:cs="Times New Roman"/>
          <w:sz w:val="24"/>
          <w:szCs w:val="24"/>
        </w:rPr>
        <w:t xml:space="preserve"> “Трансфертное ценообразование и многонациональные предприятия”.</w:t>
      </w:r>
      <w:r w:rsidR="009568D1" w:rsidRPr="009761E8">
        <w:rPr>
          <w:rFonts w:ascii="Times New Roman" w:hAnsi="Times New Roman" w:cs="Times New Roman"/>
          <w:sz w:val="24"/>
          <w:szCs w:val="24"/>
        </w:rPr>
        <w:t xml:space="preserve"> В дальнейшем данный документ регулярно </w:t>
      </w:r>
      <w:r w:rsidR="006F26F8">
        <w:rPr>
          <w:rFonts w:ascii="Times New Roman" w:hAnsi="Times New Roman" w:cs="Times New Roman"/>
          <w:sz w:val="24"/>
          <w:szCs w:val="24"/>
        </w:rPr>
        <w:t>дополнялся</w:t>
      </w:r>
      <w:r w:rsidR="002A3193" w:rsidRPr="009761E8">
        <w:rPr>
          <w:rFonts w:ascii="Times New Roman" w:hAnsi="Times New Roman" w:cs="Times New Roman"/>
          <w:sz w:val="24"/>
          <w:szCs w:val="24"/>
        </w:rPr>
        <w:t>.</w:t>
      </w:r>
      <w:r w:rsidR="008342BF" w:rsidRPr="009761E8">
        <w:rPr>
          <w:rFonts w:ascii="Times New Roman" w:hAnsi="Times New Roman" w:cs="Times New Roman"/>
          <w:sz w:val="24"/>
          <w:szCs w:val="24"/>
        </w:rPr>
        <w:t xml:space="preserve"> В </w:t>
      </w:r>
      <w:r w:rsidR="002A3193" w:rsidRPr="009761E8">
        <w:rPr>
          <w:rFonts w:ascii="Times New Roman" w:hAnsi="Times New Roman" w:cs="Times New Roman"/>
          <w:sz w:val="24"/>
          <w:szCs w:val="24"/>
        </w:rPr>
        <w:t>1993 г. предписания</w:t>
      </w:r>
      <w:r w:rsidR="008342BF" w:rsidRPr="009761E8">
        <w:rPr>
          <w:rFonts w:ascii="Times New Roman" w:hAnsi="Times New Roman" w:cs="Times New Roman"/>
          <w:sz w:val="24"/>
          <w:szCs w:val="24"/>
        </w:rPr>
        <w:t xml:space="preserve"> был</w:t>
      </w:r>
      <w:r w:rsidR="002A3193" w:rsidRPr="009761E8">
        <w:rPr>
          <w:rFonts w:ascii="Times New Roman" w:hAnsi="Times New Roman" w:cs="Times New Roman"/>
          <w:sz w:val="24"/>
          <w:szCs w:val="24"/>
        </w:rPr>
        <w:t>и</w:t>
      </w:r>
      <w:r w:rsidR="008342BF" w:rsidRPr="009761E8">
        <w:rPr>
          <w:rFonts w:ascii="Times New Roman" w:hAnsi="Times New Roman" w:cs="Times New Roman"/>
          <w:sz w:val="24"/>
          <w:szCs w:val="24"/>
        </w:rPr>
        <w:t xml:space="preserve"> дополнен</w:t>
      </w:r>
      <w:r w:rsidR="002A3193" w:rsidRPr="009761E8">
        <w:rPr>
          <w:rFonts w:ascii="Times New Roman" w:hAnsi="Times New Roman" w:cs="Times New Roman"/>
          <w:sz w:val="24"/>
          <w:szCs w:val="24"/>
        </w:rPr>
        <w:t>ы «</w:t>
      </w:r>
      <w:r w:rsidR="008342BF" w:rsidRPr="009761E8">
        <w:rPr>
          <w:rFonts w:ascii="Times New Roman" w:hAnsi="Times New Roman" w:cs="Times New Roman"/>
          <w:sz w:val="24"/>
          <w:szCs w:val="24"/>
        </w:rPr>
        <w:t xml:space="preserve">Рекомендациями по трансфертным ценам </w:t>
      </w:r>
      <w:r w:rsidR="002A3193" w:rsidRPr="009761E8">
        <w:rPr>
          <w:rFonts w:ascii="Times New Roman" w:hAnsi="Times New Roman" w:cs="Times New Roman"/>
          <w:sz w:val="24"/>
          <w:szCs w:val="24"/>
        </w:rPr>
        <w:t>для ТНК и их налогообложению» Спустя два года Организацией экономического сотрудничества и развития</w:t>
      </w:r>
      <w:r w:rsidR="00CC15FB" w:rsidRPr="009761E8">
        <w:rPr>
          <w:rFonts w:ascii="Times New Roman" w:hAnsi="Times New Roman" w:cs="Times New Roman"/>
          <w:sz w:val="24"/>
          <w:szCs w:val="24"/>
        </w:rPr>
        <w:t xml:space="preserve"> </w:t>
      </w:r>
      <w:r w:rsidR="008342BF" w:rsidRPr="009761E8">
        <w:rPr>
          <w:rFonts w:ascii="Times New Roman" w:hAnsi="Times New Roman" w:cs="Times New Roman"/>
          <w:sz w:val="24"/>
          <w:szCs w:val="24"/>
        </w:rPr>
        <w:t xml:space="preserve">были утверждены </w:t>
      </w:r>
      <w:r w:rsidR="002A3193" w:rsidRPr="009761E8">
        <w:rPr>
          <w:rFonts w:ascii="Times New Roman" w:hAnsi="Times New Roman" w:cs="Times New Roman"/>
          <w:sz w:val="24"/>
          <w:szCs w:val="24"/>
        </w:rPr>
        <w:t>рестриктивные меры относительно</w:t>
      </w:r>
      <w:r w:rsidR="008342BF" w:rsidRPr="009761E8">
        <w:rPr>
          <w:rFonts w:ascii="Times New Roman" w:hAnsi="Times New Roman" w:cs="Times New Roman"/>
          <w:sz w:val="24"/>
          <w:szCs w:val="24"/>
        </w:rPr>
        <w:t xml:space="preserve"> </w:t>
      </w:r>
      <w:r w:rsidR="002A3193" w:rsidRPr="009761E8">
        <w:rPr>
          <w:rFonts w:ascii="Times New Roman" w:hAnsi="Times New Roman" w:cs="Times New Roman"/>
          <w:sz w:val="24"/>
          <w:szCs w:val="24"/>
        </w:rPr>
        <w:t>системы взимания</w:t>
      </w:r>
      <w:r w:rsidR="008342BF" w:rsidRPr="009761E8">
        <w:rPr>
          <w:rFonts w:ascii="Times New Roman" w:hAnsi="Times New Roman" w:cs="Times New Roman"/>
          <w:sz w:val="24"/>
          <w:szCs w:val="24"/>
        </w:rPr>
        <w:t xml:space="preserve"> </w:t>
      </w:r>
      <w:r w:rsidR="002A3193" w:rsidRPr="009761E8">
        <w:rPr>
          <w:rFonts w:ascii="Times New Roman" w:hAnsi="Times New Roman" w:cs="Times New Roman"/>
          <w:sz w:val="24"/>
          <w:szCs w:val="24"/>
        </w:rPr>
        <w:t xml:space="preserve">налогов с компаний, использующих трансфертные цены. </w:t>
      </w:r>
    </w:p>
    <w:p w:rsidR="00B43E75" w:rsidRDefault="002A3193" w:rsidP="00B43E75">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Этот документ был </w:t>
      </w:r>
      <w:r w:rsidR="009568D1" w:rsidRPr="009761E8">
        <w:rPr>
          <w:rFonts w:ascii="Times New Roman" w:hAnsi="Times New Roman" w:cs="Times New Roman"/>
          <w:sz w:val="24"/>
          <w:szCs w:val="24"/>
        </w:rPr>
        <w:t xml:space="preserve">первым </w:t>
      </w:r>
      <w:r w:rsidR="00784326" w:rsidRPr="009761E8">
        <w:rPr>
          <w:rFonts w:ascii="Times New Roman" w:hAnsi="Times New Roman" w:cs="Times New Roman"/>
          <w:sz w:val="24"/>
          <w:szCs w:val="24"/>
        </w:rPr>
        <w:t xml:space="preserve">предписанием, которое </w:t>
      </w:r>
      <w:r w:rsidRPr="009761E8">
        <w:rPr>
          <w:rFonts w:ascii="Times New Roman" w:hAnsi="Times New Roman" w:cs="Times New Roman"/>
          <w:sz w:val="24"/>
          <w:szCs w:val="24"/>
        </w:rPr>
        <w:t>и по сей день является каноническим в своем роде, наиболее совершенным, динамически ра</w:t>
      </w:r>
      <w:r w:rsidR="007600ED" w:rsidRPr="009761E8">
        <w:rPr>
          <w:rFonts w:ascii="Times New Roman" w:hAnsi="Times New Roman" w:cs="Times New Roman"/>
          <w:sz w:val="24"/>
          <w:szCs w:val="24"/>
        </w:rPr>
        <w:t xml:space="preserve">звивающимся </w:t>
      </w:r>
      <w:r w:rsidRPr="009761E8">
        <w:rPr>
          <w:rFonts w:ascii="Times New Roman" w:hAnsi="Times New Roman" w:cs="Times New Roman"/>
          <w:sz w:val="24"/>
          <w:szCs w:val="24"/>
        </w:rPr>
        <w:t xml:space="preserve">и относительно исчерпывающим. На </w:t>
      </w:r>
      <w:r w:rsidR="00CC15FB" w:rsidRPr="009761E8">
        <w:rPr>
          <w:rFonts w:ascii="Times New Roman" w:hAnsi="Times New Roman" w:cs="Times New Roman"/>
          <w:sz w:val="24"/>
          <w:szCs w:val="24"/>
        </w:rPr>
        <w:t>сегодняшний день большое количество стран</w:t>
      </w:r>
      <w:r w:rsidRPr="009761E8">
        <w:rPr>
          <w:rFonts w:ascii="Times New Roman" w:hAnsi="Times New Roman" w:cs="Times New Roman"/>
          <w:sz w:val="24"/>
          <w:szCs w:val="24"/>
        </w:rPr>
        <w:t xml:space="preserve"> использует его в качестве законодательной базы в области т</w:t>
      </w:r>
      <w:r w:rsidR="00CC15FB" w:rsidRPr="009761E8">
        <w:rPr>
          <w:rFonts w:ascii="Times New Roman" w:hAnsi="Times New Roman" w:cs="Times New Roman"/>
          <w:sz w:val="24"/>
          <w:szCs w:val="24"/>
        </w:rPr>
        <w:t xml:space="preserve">рансфертного ценообразования. Исключения составляют некоторые государства (например, Дания, Франция), чье законодательство </w:t>
      </w:r>
      <w:r w:rsidR="008342BF" w:rsidRPr="009761E8">
        <w:rPr>
          <w:rFonts w:ascii="Times New Roman" w:hAnsi="Times New Roman" w:cs="Times New Roman"/>
          <w:sz w:val="24"/>
          <w:szCs w:val="24"/>
        </w:rPr>
        <w:t>не</w:t>
      </w:r>
      <w:r w:rsidR="00784326" w:rsidRPr="009761E8">
        <w:rPr>
          <w:rFonts w:ascii="Times New Roman" w:hAnsi="Times New Roman" w:cs="Times New Roman"/>
          <w:sz w:val="24"/>
          <w:szCs w:val="24"/>
        </w:rPr>
        <w:t xml:space="preserve"> </w:t>
      </w:r>
      <w:r w:rsidR="00CC15FB" w:rsidRPr="009761E8">
        <w:rPr>
          <w:rFonts w:ascii="Times New Roman" w:hAnsi="Times New Roman" w:cs="Times New Roman"/>
          <w:sz w:val="24"/>
          <w:szCs w:val="24"/>
        </w:rPr>
        <w:t xml:space="preserve">предусматривает ограничительные меры в сфере ТЦО, а также зоны с низконалоговым режимом (Люксембург, Нидерланды), где данные нормы имеют место быть, но не используются по </w:t>
      </w:r>
      <w:r w:rsidR="00784326" w:rsidRPr="009761E8">
        <w:rPr>
          <w:rFonts w:ascii="Times New Roman" w:hAnsi="Times New Roman" w:cs="Times New Roman"/>
          <w:sz w:val="24"/>
          <w:szCs w:val="24"/>
        </w:rPr>
        <w:t>определённым</w:t>
      </w:r>
      <w:r w:rsidR="00CC15FB" w:rsidRPr="009761E8">
        <w:rPr>
          <w:rFonts w:ascii="Times New Roman" w:hAnsi="Times New Roman" w:cs="Times New Roman"/>
          <w:sz w:val="24"/>
          <w:szCs w:val="24"/>
        </w:rPr>
        <w:t xml:space="preserve"> причинам.</w:t>
      </w:r>
    </w:p>
    <w:p w:rsidR="00CE6E89" w:rsidRDefault="00B43E75"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C15FB" w:rsidRPr="009761E8">
        <w:rPr>
          <w:rFonts w:ascii="Times New Roman" w:hAnsi="Times New Roman" w:cs="Times New Roman"/>
          <w:sz w:val="24"/>
          <w:szCs w:val="24"/>
        </w:rPr>
        <w:t xml:space="preserve">ОЭСР предложил следующую трактовку понятия </w:t>
      </w:r>
      <w:r w:rsidR="00CA4F0D" w:rsidRPr="009761E8">
        <w:rPr>
          <w:rFonts w:ascii="Times New Roman" w:hAnsi="Times New Roman" w:cs="Times New Roman"/>
          <w:sz w:val="24"/>
          <w:szCs w:val="24"/>
        </w:rPr>
        <w:t xml:space="preserve">трансфертного ценообразования: «трансфертное ценообразование состоит в манипулировании и перераспределении расходами, доходами и затратами в сделках между связанными лицами способом, отличным от тех, которые были бы использованы в операциях, совершенных на </w:t>
      </w:r>
      <w:r w:rsidR="00CA4F0D" w:rsidRPr="009761E8">
        <w:rPr>
          <w:rFonts w:ascii="Times New Roman" w:hAnsi="Times New Roman" w:cs="Times New Roman"/>
          <w:sz w:val="24"/>
          <w:szCs w:val="24"/>
        </w:rPr>
        <w:lastRenderedPageBreak/>
        <w:t>нормальных рыночных условиях, с цель</w:t>
      </w:r>
      <w:r w:rsidR="00415175" w:rsidRPr="009761E8">
        <w:rPr>
          <w:rFonts w:ascii="Times New Roman" w:hAnsi="Times New Roman" w:cs="Times New Roman"/>
          <w:sz w:val="24"/>
          <w:szCs w:val="24"/>
        </w:rPr>
        <w:t>ю получения налоговой выгоды»</w:t>
      </w:r>
      <w:r w:rsidR="00D335AF">
        <w:rPr>
          <w:rStyle w:val="ac"/>
          <w:rFonts w:ascii="Times New Roman" w:hAnsi="Times New Roman" w:cs="Times New Roman"/>
          <w:sz w:val="24"/>
          <w:szCs w:val="24"/>
        </w:rPr>
        <w:footnoteReference w:id="1"/>
      </w:r>
      <w:r w:rsidR="00CA4F0D" w:rsidRPr="009761E8">
        <w:rPr>
          <w:rFonts w:ascii="Times New Roman" w:hAnsi="Times New Roman" w:cs="Times New Roman"/>
          <w:sz w:val="24"/>
          <w:szCs w:val="24"/>
        </w:rPr>
        <w:t>.</w:t>
      </w:r>
      <w:r w:rsidR="00784326" w:rsidRPr="009761E8">
        <w:rPr>
          <w:rFonts w:ascii="Times New Roman" w:hAnsi="Times New Roman" w:cs="Times New Roman"/>
          <w:sz w:val="24"/>
          <w:szCs w:val="24"/>
        </w:rPr>
        <w:t xml:space="preserve"> В случае несоблюдения налогоплательщиком установленных правил</w:t>
      </w:r>
      <w:r w:rsidR="00615153" w:rsidRPr="009761E8">
        <w:rPr>
          <w:rFonts w:ascii="Times New Roman" w:hAnsi="Times New Roman" w:cs="Times New Roman"/>
          <w:sz w:val="24"/>
          <w:szCs w:val="24"/>
        </w:rPr>
        <w:t xml:space="preserve"> ценообразования </w:t>
      </w:r>
      <w:r w:rsidR="00784326" w:rsidRPr="009761E8">
        <w:rPr>
          <w:rFonts w:ascii="Times New Roman" w:hAnsi="Times New Roman" w:cs="Times New Roman"/>
          <w:sz w:val="24"/>
          <w:szCs w:val="24"/>
        </w:rPr>
        <w:t>в действие вступают предписанные меры</w:t>
      </w:r>
      <w:r w:rsidR="00CA4F0D" w:rsidRPr="009761E8">
        <w:rPr>
          <w:rFonts w:ascii="Times New Roman" w:hAnsi="Times New Roman" w:cs="Times New Roman"/>
          <w:sz w:val="24"/>
          <w:szCs w:val="24"/>
        </w:rPr>
        <w:t xml:space="preserve">, </w:t>
      </w:r>
      <w:r w:rsidR="00784326" w:rsidRPr="009761E8">
        <w:rPr>
          <w:rFonts w:ascii="Times New Roman" w:hAnsi="Times New Roman" w:cs="Times New Roman"/>
          <w:sz w:val="24"/>
          <w:szCs w:val="24"/>
        </w:rPr>
        <w:t xml:space="preserve">которые призваны </w:t>
      </w:r>
      <w:r w:rsidR="00615153" w:rsidRPr="009761E8">
        <w:rPr>
          <w:rFonts w:ascii="Times New Roman" w:hAnsi="Times New Roman" w:cs="Times New Roman"/>
          <w:sz w:val="24"/>
          <w:szCs w:val="24"/>
        </w:rPr>
        <w:t>решать</w:t>
      </w:r>
      <w:r w:rsidR="00784326" w:rsidRPr="009761E8">
        <w:rPr>
          <w:rFonts w:ascii="Times New Roman" w:hAnsi="Times New Roman" w:cs="Times New Roman"/>
          <w:sz w:val="24"/>
          <w:szCs w:val="24"/>
        </w:rPr>
        <w:t xml:space="preserve"> вопросы трансфертного ценообразования, или же другие </w:t>
      </w:r>
      <w:r w:rsidR="00CA4F0D" w:rsidRPr="009761E8">
        <w:rPr>
          <w:rFonts w:ascii="Times New Roman" w:hAnsi="Times New Roman" w:cs="Times New Roman"/>
          <w:sz w:val="24"/>
          <w:szCs w:val="24"/>
        </w:rPr>
        <w:t>инструменты</w:t>
      </w:r>
      <w:r w:rsidR="00784326" w:rsidRPr="009761E8">
        <w:rPr>
          <w:rFonts w:ascii="Times New Roman" w:hAnsi="Times New Roman" w:cs="Times New Roman"/>
          <w:sz w:val="24"/>
          <w:szCs w:val="24"/>
        </w:rPr>
        <w:t xml:space="preserve"> правового регулирования</w:t>
      </w:r>
      <w:r w:rsidR="00CA4F0D" w:rsidRPr="009761E8">
        <w:rPr>
          <w:rFonts w:ascii="Times New Roman" w:hAnsi="Times New Roman" w:cs="Times New Roman"/>
          <w:sz w:val="24"/>
          <w:szCs w:val="24"/>
        </w:rPr>
        <w:t xml:space="preserve">, </w:t>
      </w:r>
      <w:r w:rsidR="001B1E78" w:rsidRPr="009761E8">
        <w:rPr>
          <w:rFonts w:ascii="Times New Roman" w:hAnsi="Times New Roman" w:cs="Times New Roman"/>
          <w:sz w:val="24"/>
          <w:szCs w:val="24"/>
        </w:rPr>
        <w:t>на основании</w:t>
      </w:r>
      <w:r w:rsidR="00CA4F0D" w:rsidRPr="009761E8">
        <w:rPr>
          <w:rFonts w:ascii="Times New Roman" w:hAnsi="Times New Roman" w:cs="Times New Roman"/>
          <w:sz w:val="24"/>
          <w:szCs w:val="24"/>
        </w:rPr>
        <w:t xml:space="preserve"> которых </w:t>
      </w:r>
      <w:r w:rsidR="00615153" w:rsidRPr="009761E8">
        <w:rPr>
          <w:rFonts w:ascii="Times New Roman" w:hAnsi="Times New Roman" w:cs="Times New Roman"/>
          <w:sz w:val="24"/>
          <w:szCs w:val="24"/>
        </w:rPr>
        <w:t>контролирующие органы имеют право пересмотреть</w:t>
      </w:r>
      <w:r w:rsidR="00CA4F0D" w:rsidRPr="009761E8">
        <w:rPr>
          <w:rFonts w:ascii="Times New Roman" w:hAnsi="Times New Roman" w:cs="Times New Roman"/>
          <w:sz w:val="24"/>
          <w:szCs w:val="24"/>
        </w:rPr>
        <w:t xml:space="preserve"> налоговые обязанности</w:t>
      </w:r>
      <w:r w:rsidR="00615153" w:rsidRPr="009761E8">
        <w:rPr>
          <w:rFonts w:ascii="Times New Roman" w:hAnsi="Times New Roman" w:cs="Times New Roman"/>
          <w:sz w:val="24"/>
          <w:szCs w:val="24"/>
        </w:rPr>
        <w:t xml:space="preserve"> компании с целью установления на рынке справедливых условий</w:t>
      </w:r>
      <w:r w:rsidR="00CA4F0D" w:rsidRPr="009761E8">
        <w:rPr>
          <w:rFonts w:ascii="Times New Roman" w:hAnsi="Times New Roman" w:cs="Times New Roman"/>
          <w:sz w:val="24"/>
          <w:szCs w:val="24"/>
        </w:rPr>
        <w:t xml:space="preserve">. </w:t>
      </w:r>
      <w:r w:rsidR="00615153" w:rsidRPr="009761E8">
        <w:rPr>
          <w:rFonts w:ascii="Times New Roman" w:hAnsi="Times New Roman" w:cs="Times New Roman"/>
          <w:sz w:val="24"/>
          <w:szCs w:val="24"/>
        </w:rPr>
        <w:t>Вопрос о манипулировании ценами является в особенности актуальным</w:t>
      </w:r>
      <w:r w:rsidR="00CA4F0D" w:rsidRPr="009761E8">
        <w:rPr>
          <w:rFonts w:ascii="Times New Roman" w:hAnsi="Times New Roman" w:cs="Times New Roman"/>
          <w:sz w:val="24"/>
          <w:szCs w:val="24"/>
        </w:rPr>
        <w:t xml:space="preserve"> в </w:t>
      </w:r>
      <w:r w:rsidR="00615153" w:rsidRPr="009761E8">
        <w:rPr>
          <w:rFonts w:ascii="Times New Roman" w:hAnsi="Times New Roman" w:cs="Times New Roman"/>
          <w:sz w:val="24"/>
          <w:szCs w:val="24"/>
        </w:rPr>
        <w:t>странах третьего мира, так как именно в таких государствах</w:t>
      </w:r>
      <w:r w:rsidR="00CA4F0D" w:rsidRPr="009761E8">
        <w:rPr>
          <w:rFonts w:ascii="Times New Roman" w:hAnsi="Times New Roman" w:cs="Times New Roman"/>
          <w:sz w:val="24"/>
          <w:szCs w:val="24"/>
        </w:rPr>
        <w:t xml:space="preserve"> </w:t>
      </w:r>
      <w:r w:rsidR="00615153" w:rsidRPr="009761E8">
        <w:rPr>
          <w:rFonts w:ascii="Times New Roman" w:hAnsi="Times New Roman" w:cs="Times New Roman"/>
          <w:sz w:val="24"/>
          <w:szCs w:val="24"/>
        </w:rPr>
        <w:t xml:space="preserve">компании имеют большие возможности </w:t>
      </w:r>
      <w:r w:rsidR="006E1D99" w:rsidRPr="009761E8">
        <w:rPr>
          <w:rFonts w:ascii="Times New Roman" w:hAnsi="Times New Roman" w:cs="Times New Roman"/>
          <w:sz w:val="24"/>
          <w:szCs w:val="24"/>
        </w:rPr>
        <w:t>управлять ценой минуя наказание, так как риск быть</w:t>
      </w:r>
      <w:r w:rsidR="00615153" w:rsidRPr="009761E8">
        <w:rPr>
          <w:rFonts w:ascii="Times New Roman" w:hAnsi="Times New Roman" w:cs="Times New Roman"/>
          <w:sz w:val="24"/>
          <w:szCs w:val="24"/>
        </w:rPr>
        <w:t xml:space="preserve"> обнаруженным</w:t>
      </w:r>
      <w:r w:rsidR="006E1D99" w:rsidRPr="009761E8">
        <w:rPr>
          <w:rFonts w:ascii="Times New Roman" w:hAnsi="Times New Roman" w:cs="Times New Roman"/>
          <w:sz w:val="24"/>
          <w:szCs w:val="24"/>
        </w:rPr>
        <w:t xml:space="preserve"> д</w:t>
      </w:r>
      <w:r w:rsidR="00615153" w:rsidRPr="009761E8">
        <w:rPr>
          <w:rFonts w:ascii="Times New Roman" w:hAnsi="Times New Roman" w:cs="Times New Roman"/>
          <w:sz w:val="24"/>
          <w:szCs w:val="24"/>
        </w:rPr>
        <w:t>остаточно невелик.</w:t>
      </w:r>
      <w:r w:rsidR="00CA4F0D" w:rsidRPr="009761E8">
        <w:rPr>
          <w:rFonts w:ascii="Times New Roman" w:hAnsi="Times New Roman" w:cs="Times New Roman"/>
          <w:sz w:val="24"/>
          <w:szCs w:val="24"/>
        </w:rPr>
        <w:t xml:space="preserve"> </w:t>
      </w:r>
      <w:r w:rsidR="006E1D99" w:rsidRPr="009761E8">
        <w:rPr>
          <w:rFonts w:ascii="Times New Roman" w:hAnsi="Times New Roman" w:cs="Times New Roman"/>
          <w:sz w:val="24"/>
          <w:szCs w:val="24"/>
        </w:rPr>
        <w:t>Тем не менее это не свидетельствует об отсутствии рассматриваемой проблемы</w:t>
      </w:r>
      <w:r w:rsidR="00CA4F0D" w:rsidRPr="009761E8">
        <w:rPr>
          <w:rFonts w:ascii="Times New Roman" w:hAnsi="Times New Roman" w:cs="Times New Roman"/>
          <w:sz w:val="24"/>
          <w:szCs w:val="24"/>
        </w:rPr>
        <w:t xml:space="preserve"> в развитых странах. </w:t>
      </w:r>
      <w:r w:rsidR="00841C01" w:rsidRPr="009761E8">
        <w:rPr>
          <w:rFonts w:ascii="Times New Roman" w:hAnsi="Times New Roman" w:cs="Times New Roman"/>
          <w:sz w:val="24"/>
          <w:szCs w:val="24"/>
        </w:rPr>
        <w:t xml:space="preserve">В законодательстве </w:t>
      </w:r>
      <w:r w:rsidR="00CA4F0D" w:rsidRPr="009761E8">
        <w:rPr>
          <w:rFonts w:ascii="Times New Roman" w:hAnsi="Times New Roman" w:cs="Times New Roman"/>
          <w:sz w:val="24"/>
          <w:szCs w:val="24"/>
        </w:rPr>
        <w:t>Соединенных Шта</w:t>
      </w:r>
      <w:r w:rsidR="00841C01" w:rsidRPr="009761E8">
        <w:rPr>
          <w:rFonts w:ascii="Times New Roman" w:hAnsi="Times New Roman" w:cs="Times New Roman"/>
          <w:sz w:val="24"/>
          <w:szCs w:val="24"/>
        </w:rPr>
        <w:t>тов Америки (далее – США), существует принцип «вытянутой руки», который применяется с целью предотвращения ситуаций, в которых налогоплательщик уклоняется от уплаты налогов,</w:t>
      </w:r>
      <w:r w:rsidR="00CA4F0D" w:rsidRPr="009761E8">
        <w:rPr>
          <w:rFonts w:ascii="Times New Roman" w:hAnsi="Times New Roman" w:cs="Times New Roman"/>
          <w:sz w:val="24"/>
          <w:szCs w:val="24"/>
        </w:rPr>
        <w:t xml:space="preserve"> </w:t>
      </w:r>
      <w:r w:rsidR="00841C01" w:rsidRPr="009761E8">
        <w:rPr>
          <w:rFonts w:ascii="Times New Roman" w:hAnsi="Times New Roman" w:cs="Times New Roman"/>
          <w:sz w:val="24"/>
          <w:szCs w:val="24"/>
        </w:rPr>
        <w:t>а также правильного отражения доходов</w:t>
      </w:r>
      <w:r w:rsidR="00CA4F0D" w:rsidRPr="009761E8">
        <w:rPr>
          <w:rFonts w:ascii="Times New Roman" w:hAnsi="Times New Roman" w:cs="Times New Roman"/>
          <w:sz w:val="24"/>
          <w:szCs w:val="24"/>
        </w:rPr>
        <w:t xml:space="preserve"> </w:t>
      </w:r>
      <w:r w:rsidR="00841C01" w:rsidRPr="009761E8">
        <w:rPr>
          <w:rFonts w:ascii="Times New Roman" w:hAnsi="Times New Roman" w:cs="Times New Roman"/>
          <w:sz w:val="24"/>
          <w:szCs w:val="24"/>
        </w:rPr>
        <w:t>взаимосвязанных лиц</w:t>
      </w:r>
      <w:r w:rsidR="00CE6E89">
        <w:rPr>
          <w:rFonts w:ascii="Times New Roman" w:hAnsi="Times New Roman" w:cs="Times New Roman"/>
          <w:sz w:val="24"/>
          <w:szCs w:val="24"/>
        </w:rPr>
        <w:t>.</w:t>
      </w:r>
    </w:p>
    <w:p w:rsidR="00CA4F0D" w:rsidRPr="009761E8" w:rsidRDefault="00841C01" w:rsidP="00CE6E89">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Сущность данного принципа состоит в следующем</w:t>
      </w:r>
      <w:r w:rsidR="00CA4F0D" w:rsidRPr="009761E8">
        <w:rPr>
          <w:rFonts w:ascii="Times New Roman" w:hAnsi="Times New Roman" w:cs="Times New Roman"/>
          <w:sz w:val="24"/>
          <w:szCs w:val="24"/>
        </w:rPr>
        <w:t>: «когда между двумя ассоциированными предприятиями устанавливаются или навязываются условия в области торговых и финансовых отношений, отличные от условий, которые бы сложились между независимыми предприятиями, тогда любая прибыль, которая в указанных условиях относилась бы на одно из предприятий, но по причине указанных условий не относится на его счет, может быть включена в состав прибыли этого предприятия и, соответстве</w:t>
      </w:r>
      <w:r w:rsidRPr="009761E8">
        <w:rPr>
          <w:rFonts w:ascii="Times New Roman" w:hAnsi="Times New Roman" w:cs="Times New Roman"/>
          <w:sz w:val="24"/>
          <w:szCs w:val="24"/>
        </w:rPr>
        <w:t>нно, подлежать налогообложению»</w:t>
      </w:r>
      <w:r w:rsidR="00D335AF">
        <w:rPr>
          <w:rStyle w:val="ac"/>
          <w:rFonts w:ascii="Times New Roman" w:hAnsi="Times New Roman" w:cs="Times New Roman"/>
          <w:sz w:val="24"/>
          <w:szCs w:val="24"/>
        </w:rPr>
        <w:footnoteReference w:id="2"/>
      </w:r>
      <w:r w:rsidR="00E869D1">
        <w:rPr>
          <w:rFonts w:ascii="Times New Roman" w:hAnsi="Times New Roman" w:cs="Times New Roman"/>
          <w:sz w:val="24"/>
          <w:szCs w:val="24"/>
        </w:rPr>
        <w:t xml:space="preserve">. </w:t>
      </w:r>
      <w:r w:rsidRPr="009761E8">
        <w:rPr>
          <w:rFonts w:ascii="Times New Roman" w:hAnsi="Times New Roman" w:cs="Times New Roman"/>
          <w:sz w:val="24"/>
          <w:szCs w:val="24"/>
        </w:rPr>
        <w:t>То есть связанные между собой лица в процессе товарообмена используют цены, которые отличаются от рыночных, таким образом перераспределяя доходы с целью искусственного занижения прибыли и уменьшении налогового бремени</w:t>
      </w:r>
      <w:r w:rsidR="00CA4F0D" w:rsidRPr="009761E8">
        <w:rPr>
          <w:rFonts w:ascii="Times New Roman" w:hAnsi="Times New Roman" w:cs="Times New Roman"/>
          <w:sz w:val="24"/>
          <w:szCs w:val="24"/>
        </w:rPr>
        <w:t xml:space="preserve">. Принцип </w:t>
      </w:r>
      <w:r w:rsidRPr="009761E8">
        <w:rPr>
          <w:rFonts w:ascii="Times New Roman" w:hAnsi="Times New Roman" w:cs="Times New Roman"/>
          <w:sz w:val="24"/>
          <w:szCs w:val="24"/>
        </w:rPr>
        <w:t xml:space="preserve">«на расстоянии </w:t>
      </w:r>
      <w:r w:rsidR="00CA4F0D" w:rsidRPr="009761E8">
        <w:rPr>
          <w:rFonts w:ascii="Times New Roman" w:hAnsi="Times New Roman" w:cs="Times New Roman"/>
          <w:sz w:val="24"/>
          <w:szCs w:val="24"/>
        </w:rPr>
        <w:t>вытянутой руки</w:t>
      </w:r>
      <w:r w:rsidRPr="009761E8">
        <w:rPr>
          <w:rFonts w:ascii="Times New Roman" w:hAnsi="Times New Roman" w:cs="Times New Roman"/>
          <w:sz w:val="24"/>
          <w:szCs w:val="24"/>
        </w:rPr>
        <w:t>», гласит</w:t>
      </w:r>
      <w:r w:rsidR="00CA4F0D" w:rsidRPr="009761E8">
        <w:rPr>
          <w:rFonts w:ascii="Times New Roman" w:hAnsi="Times New Roman" w:cs="Times New Roman"/>
          <w:sz w:val="24"/>
          <w:szCs w:val="24"/>
        </w:rPr>
        <w:t xml:space="preserve">, что </w:t>
      </w:r>
      <w:r w:rsidRPr="009761E8">
        <w:rPr>
          <w:rFonts w:ascii="Times New Roman" w:hAnsi="Times New Roman" w:cs="Times New Roman"/>
          <w:sz w:val="24"/>
          <w:szCs w:val="24"/>
        </w:rPr>
        <w:t>компании избегают двойного налогообложе</w:t>
      </w:r>
      <w:r w:rsidR="00BB0DD1" w:rsidRPr="009761E8">
        <w:rPr>
          <w:rFonts w:ascii="Times New Roman" w:hAnsi="Times New Roman" w:cs="Times New Roman"/>
          <w:sz w:val="24"/>
          <w:szCs w:val="24"/>
        </w:rPr>
        <w:t xml:space="preserve">ния, тем самым </w:t>
      </w:r>
      <w:r w:rsidRPr="009761E8">
        <w:rPr>
          <w:rFonts w:ascii="Times New Roman" w:hAnsi="Times New Roman" w:cs="Times New Roman"/>
          <w:sz w:val="24"/>
          <w:szCs w:val="24"/>
        </w:rPr>
        <w:t xml:space="preserve">сокращая </w:t>
      </w:r>
      <w:r w:rsidR="00E15A44" w:rsidRPr="009761E8">
        <w:rPr>
          <w:rFonts w:ascii="Times New Roman" w:hAnsi="Times New Roman" w:cs="Times New Roman"/>
          <w:sz w:val="24"/>
          <w:szCs w:val="24"/>
        </w:rPr>
        <w:t>налоговые вы</w:t>
      </w:r>
      <w:r w:rsidR="00BB0DD1" w:rsidRPr="009761E8">
        <w:rPr>
          <w:rFonts w:ascii="Times New Roman" w:hAnsi="Times New Roman" w:cs="Times New Roman"/>
          <w:sz w:val="24"/>
          <w:szCs w:val="24"/>
        </w:rPr>
        <w:t>п</w:t>
      </w:r>
      <w:r w:rsidR="00E15A44" w:rsidRPr="009761E8">
        <w:rPr>
          <w:rFonts w:ascii="Times New Roman" w:hAnsi="Times New Roman" w:cs="Times New Roman"/>
          <w:sz w:val="24"/>
          <w:szCs w:val="24"/>
        </w:rPr>
        <w:t>латы</w:t>
      </w:r>
      <w:r w:rsidR="00CA4F0D" w:rsidRPr="009761E8">
        <w:rPr>
          <w:rFonts w:ascii="Times New Roman" w:hAnsi="Times New Roman" w:cs="Times New Roman"/>
          <w:sz w:val="24"/>
          <w:szCs w:val="24"/>
        </w:rPr>
        <w:t xml:space="preserve"> </w:t>
      </w:r>
      <w:r w:rsidR="00BB0DD1" w:rsidRPr="009761E8">
        <w:rPr>
          <w:rFonts w:ascii="Times New Roman" w:hAnsi="Times New Roman" w:cs="Times New Roman"/>
          <w:sz w:val="24"/>
          <w:szCs w:val="24"/>
        </w:rPr>
        <w:t>таким способом</w:t>
      </w:r>
      <w:r w:rsidR="00CA4F0D" w:rsidRPr="009761E8">
        <w:rPr>
          <w:rFonts w:ascii="Times New Roman" w:hAnsi="Times New Roman" w:cs="Times New Roman"/>
          <w:sz w:val="24"/>
          <w:szCs w:val="24"/>
        </w:rPr>
        <w:t xml:space="preserve">, как если бы </w:t>
      </w:r>
      <w:r w:rsidR="00BB0DD1" w:rsidRPr="009761E8">
        <w:rPr>
          <w:rFonts w:ascii="Times New Roman" w:hAnsi="Times New Roman" w:cs="Times New Roman"/>
          <w:sz w:val="24"/>
          <w:szCs w:val="24"/>
        </w:rPr>
        <w:t xml:space="preserve">фирмы не были взаимосвязаны, то есть </w:t>
      </w:r>
      <w:r w:rsidR="00CA4F0D" w:rsidRPr="009761E8">
        <w:rPr>
          <w:rFonts w:ascii="Times New Roman" w:hAnsi="Times New Roman" w:cs="Times New Roman"/>
          <w:sz w:val="24"/>
          <w:szCs w:val="24"/>
        </w:rPr>
        <w:t>находились</w:t>
      </w:r>
      <w:r w:rsidR="00BB0DD1" w:rsidRPr="009761E8">
        <w:rPr>
          <w:rFonts w:ascii="Times New Roman" w:hAnsi="Times New Roman" w:cs="Times New Roman"/>
          <w:sz w:val="24"/>
          <w:szCs w:val="24"/>
        </w:rPr>
        <w:t xml:space="preserve"> друг от друга</w:t>
      </w:r>
      <w:r w:rsidR="00CA4F0D" w:rsidRPr="009761E8">
        <w:rPr>
          <w:rFonts w:ascii="Times New Roman" w:hAnsi="Times New Roman" w:cs="Times New Roman"/>
          <w:sz w:val="24"/>
          <w:szCs w:val="24"/>
        </w:rPr>
        <w:t xml:space="preserve"> </w:t>
      </w:r>
      <w:r w:rsidRPr="009761E8">
        <w:rPr>
          <w:rFonts w:ascii="Times New Roman" w:hAnsi="Times New Roman" w:cs="Times New Roman"/>
          <w:sz w:val="24"/>
          <w:szCs w:val="24"/>
        </w:rPr>
        <w:t>на расстоянии «вытянутой руки»</w:t>
      </w:r>
      <w:r w:rsidR="00BB0DD1" w:rsidRPr="009761E8">
        <w:rPr>
          <w:rFonts w:ascii="Times New Roman" w:hAnsi="Times New Roman" w:cs="Times New Roman"/>
          <w:sz w:val="24"/>
          <w:szCs w:val="24"/>
        </w:rPr>
        <w:t>.</w:t>
      </w:r>
    </w:p>
    <w:p w:rsidR="007600ED" w:rsidRPr="009761E8" w:rsidRDefault="00BB0DD1"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7600ED" w:rsidRPr="009761E8">
        <w:rPr>
          <w:rFonts w:ascii="Times New Roman" w:hAnsi="Times New Roman" w:cs="Times New Roman"/>
          <w:sz w:val="24"/>
          <w:szCs w:val="24"/>
        </w:rPr>
        <w:t>Итак, в</w:t>
      </w:r>
      <w:r w:rsidRPr="009761E8">
        <w:rPr>
          <w:rFonts w:ascii="Times New Roman" w:hAnsi="Times New Roman" w:cs="Times New Roman"/>
          <w:sz w:val="24"/>
          <w:szCs w:val="24"/>
        </w:rPr>
        <w:t xml:space="preserve"> </w:t>
      </w:r>
      <w:r w:rsidR="00CA4F0D" w:rsidRPr="009761E8">
        <w:rPr>
          <w:rFonts w:ascii="Times New Roman" w:hAnsi="Times New Roman" w:cs="Times New Roman"/>
          <w:sz w:val="24"/>
          <w:szCs w:val="24"/>
        </w:rPr>
        <w:t>1960</w:t>
      </w:r>
      <w:r w:rsidRPr="009761E8">
        <w:rPr>
          <w:rFonts w:ascii="Times New Roman" w:hAnsi="Times New Roman" w:cs="Times New Roman"/>
          <w:sz w:val="24"/>
          <w:szCs w:val="24"/>
        </w:rPr>
        <w:t>-х годах США стало</w:t>
      </w:r>
      <w:r w:rsidR="00CA4F0D" w:rsidRPr="009761E8">
        <w:rPr>
          <w:rFonts w:ascii="Times New Roman" w:hAnsi="Times New Roman" w:cs="Times New Roman"/>
          <w:sz w:val="24"/>
          <w:szCs w:val="24"/>
        </w:rPr>
        <w:t xml:space="preserve"> </w:t>
      </w:r>
      <w:r w:rsidRPr="009761E8">
        <w:rPr>
          <w:rFonts w:ascii="Times New Roman" w:hAnsi="Times New Roman" w:cs="Times New Roman"/>
          <w:sz w:val="24"/>
          <w:szCs w:val="24"/>
        </w:rPr>
        <w:t>первым государством, которое в рамках своего законодательства приняло специальные детализированные правила</w:t>
      </w:r>
      <w:r w:rsidR="00CA4F0D" w:rsidRPr="009761E8">
        <w:rPr>
          <w:rFonts w:ascii="Times New Roman" w:hAnsi="Times New Roman" w:cs="Times New Roman"/>
          <w:sz w:val="24"/>
          <w:szCs w:val="24"/>
        </w:rPr>
        <w:t xml:space="preserve">, </w:t>
      </w:r>
      <w:r w:rsidRPr="009761E8">
        <w:rPr>
          <w:rFonts w:ascii="Times New Roman" w:hAnsi="Times New Roman" w:cs="Times New Roman"/>
          <w:sz w:val="24"/>
          <w:szCs w:val="24"/>
        </w:rPr>
        <w:t>призванные регулировать вопросы трансфертного ценообразования</w:t>
      </w:r>
      <w:r w:rsidR="00CA4F0D" w:rsidRPr="009761E8">
        <w:rPr>
          <w:rFonts w:ascii="Times New Roman" w:hAnsi="Times New Roman" w:cs="Times New Roman"/>
          <w:sz w:val="24"/>
          <w:szCs w:val="24"/>
        </w:rPr>
        <w:t>.</w:t>
      </w:r>
      <w:r w:rsidR="00A67CFB" w:rsidRPr="009761E8">
        <w:rPr>
          <w:rFonts w:ascii="Times New Roman" w:hAnsi="Times New Roman" w:cs="Times New Roman"/>
          <w:sz w:val="24"/>
          <w:szCs w:val="24"/>
        </w:rPr>
        <w:t xml:space="preserve"> США являлось лидером по </w:t>
      </w:r>
      <w:r w:rsidR="00A67CFB" w:rsidRPr="009761E8">
        <w:rPr>
          <w:rFonts w:ascii="Times New Roman" w:hAnsi="Times New Roman" w:cs="Times New Roman"/>
          <w:sz w:val="24"/>
          <w:szCs w:val="24"/>
        </w:rPr>
        <w:lastRenderedPageBreak/>
        <w:t>количеству ТНК, а также страной, чье законодательство существенно рознится относительно других государств, целью которых также являлась регулирование норм ТЦО. Это стало своеобразным толчком для большинства стран прибегнуть к поиску единых принципов и приемов регулирования ТЦО, которые могли бы отвечать интересам всех сторон.</w:t>
      </w:r>
    </w:p>
    <w:p w:rsidR="00CA4F0D" w:rsidRPr="009761E8" w:rsidRDefault="007600ED"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CA4F0D" w:rsidRPr="009761E8">
        <w:rPr>
          <w:rFonts w:ascii="Times New Roman" w:hAnsi="Times New Roman" w:cs="Times New Roman"/>
          <w:sz w:val="24"/>
          <w:szCs w:val="24"/>
        </w:rPr>
        <w:t>Н</w:t>
      </w:r>
      <w:r w:rsidRPr="009761E8">
        <w:rPr>
          <w:rFonts w:ascii="Times New Roman" w:hAnsi="Times New Roman" w:cs="Times New Roman"/>
          <w:sz w:val="24"/>
          <w:szCs w:val="24"/>
        </w:rPr>
        <w:t>а сегодняшний день помимо руководства ОЭСР существует еще один документ, который также имее</w:t>
      </w:r>
      <w:r w:rsidR="00FC3DF2" w:rsidRPr="009761E8">
        <w:rPr>
          <w:rFonts w:ascii="Times New Roman" w:hAnsi="Times New Roman" w:cs="Times New Roman"/>
          <w:sz w:val="24"/>
          <w:szCs w:val="24"/>
        </w:rPr>
        <w:t>т рекомендательный характер</w:t>
      </w:r>
      <w:r w:rsidRPr="009761E8">
        <w:rPr>
          <w:rFonts w:ascii="Times New Roman" w:hAnsi="Times New Roman" w:cs="Times New Roman"/>
          <w:sz w:val="24"/>
          <w:szCs w:val="24"/>
        </w:rPr>
        <w:t>, т.е. его практическое применение не является обязательным, разработанный</w:t>
      </w:r>
      <w:r w:rsidR="00FC3DF2" w:rsidRPr="009761E8">
        <w:rPr>
          <w:rFonts w:ascii="Times New Roman" w:hAnsi="Times New Roman" w:cs="Times New Roman"/>
          <w:sz w:val="24"/>
          <w:szCs w:val="24"/>
        </w:rPr>
        <w:t xml:space="preserve"> </w:t>
      </w:r>
      <w:r w:rsidR="00CA4F0D" w:rsidRPr="009761E8">
        <w:rPr>
          <w:rFonts w:ascii="Times New Roman" w:hAnsi="Times New Roman" w:cs="Times New Roman"/>
          <w:sz w:val="24"/>
          <w:szCs w:val="24"/>
        </w:rPr>
        <w:t>Европейским Союзом (далее – ЕС)</w:t>
      </w:r>
      <w:r w:rsidR="00FC3DF2" w:rsidRPr="009761E8">
        <w:rPr>
          <w:rFonts w:ascii="Times New Roman" w:hAnsi="Times New Roman" w:cs="Times New Roman"/>
          <w:sz w:val="24"/>
          <w:szCs w:val="24"/>
        </w:rPr>
        <w:t xml:space="preserve">. Государства, являющиеся членами </w:t>
      </w:r>
      <w:r w:rsidRPr="009761E8">
        <w:rPr>
          <w:rFonts w:ascii="Times New Roman" w:hAnsi="Times New Roman" w:cs="Times New Roman"/>
          <w:sz w:val="24"/>
          <w:szCs w:val="24"/>
        </w:rPr>
        <w:t>ЕС и ОЭСР</w:t>
      </w:r>
      <w:r w:rsidR="00FC3DF2" w:rsidRPr="009761E8">
        <w:rPr>
          <w:rFonts w:ascii="Times New Roman" w:hAnsi="Times New Roman" w:cs="Times New Roman"/>
          <w:sz w:val="24"/>
          <w:szCs w:val="24"/>
        </w:rPr>
        <w:t>, в праве закреплять на уровне законе те правила, которые, по их мнению, являются наиболее подходящими в рамках осуществляемой государст</w:t>
      </w:r>
      <w:r w:rsidRPr="009761E8">
        <w:rPr>
          <w:rFonts w:ascii="Times New Roman" w:hAnsi="Times New Roman" w:cs="Times New Roman"/>
          <w:sz w:val="24"/>
          <w:szCs w:val="24"/>
        </w:rPr>
        <w:t>венной политики, учитывающие</w:t>
      </w:r>
      <w:r w:rsidR="00FC3DF2" w:rsidRPr="009761E8">
        <w:rPr>
          <w:rFonts w:ascii="Times New Roman" w:hAnsi="Times New Roman" w:cs="Times New Roman"/>
          <w:sz w:val="24"/>
          <w:szCs w:val="24"/>
        </w:rPr>
        <w:t xml:space="preserve"> национальные особенности существующей налоговой системы. </w:t>
      </w:r>
      <w:r w:rsidRPr="009761E8">
        <w:rPr>
          <w:rFonts w:ascii="Times New Roman" w:hAnsi="Times New Roman" w:cs="Times New Roman"/>
          <w:sz w:val="24"/>
          <w:szCs w:val="24"/>
        </w:rPr>
        <w:t xml:space="preserve">Налоговыми юрисдикциями </w:t>
      </w:r>
      <w:r w:rsidR="00FC3DF2" w:rsidRPr="009761E8">
        <w:rPr>
          <w:rFonts w:ascii="Times New Roman" w:hAnsi="Times New Roman" w:cs="Times New Roman"/>
          <w:sz w:val="24"/>
          <w:szCs w:val="24"/>
        </w:rPr>
        <w:t xml:space="preserve">государств, входящий в ЕС, были приняты </w:t>
      </w:r>
      <w:r w:rsidR="00CA4F0D" w:rsidRPr="009761E8">
        <w:rPr>
          <w:rFonts w:ascii="Times New Roman" w:hAnsi="Times New Roman" w:cs="Times New Roman"/>
          <w:sz w:val="24"/>
          <w:szCs w:val="24"/>
        </w:rPr>
        <w:t xml:space="preserve">правила </w:t>
      </w:r>
      <w:r w:rsidR="00FC3DF2" w:rsidRPr="009761E8">
        <w:rPr>
          <w:rFonts w:ascii="Times New Roman" w:hAnsi="Times New Roman" w:cs="Times New Roman"/>
          <w:sz w:val="24"/>
          <w:szCs w:val="24"/>
        </w:rPr>
        <w:t>ТЦО,</w:t>
      </w:r>
      <w:r w:rsidR="00CA4F0D" w:rsidRPr="009761E8">
        <w:rPr>
          <w:rFonts w:ascii="Times New Roman" w:hAnsi="Times New Roman" w:cs="Times New Roman"/>
          <w:sz w:val="24"/>
          <w:szCs w:val="24"/>
        </w:rPr>
        <w:t xml:space="preserve"> которые</w:t>
      </w:r>
      <w:r w:rsidR="00FC3DF2" w:rsidRPr="009761E8">
        <w:rPr>
          <w:rFonts w:ascii="Times New Roman" w:hAnsi="Times New Roman" w:cs="Times New Roman"/>
          <w:sz w:val="24"/>
          <w:szCs w:val="24"/>
        </w:rPr>
        <w:t xml:space="preserve"> по своей сущности очень схожи с идеей ОЭСР</w:t>
      </w:r>
      <w:r w:rsidR="00CA4F0D" w:rsidRPr="009761E8">
        <w:rPr>
          <w:rFonts w:ascii="Times New Roman" w:hAnsi="Times New Roman" w:cs="Times New Roman"/>
          <w:sz w:val="24"/>
          <w:szCs w:val="24"/>
        </w:rPr>
        <w:t xml:space="preserve">. </w:t>
      </w:r>
      <w:r w:rsidR="00FC3DF2" w:rsidRPr="009761E8">
        <w:rPr>
          <w:rFonts w:ascii="Times New Roman" w:hAnsi="Times New Roman" w:cs="Times New Roman"/>
          <w:sz w:val="24"/>
          <w:szCs w:val="24"/>
        </w:rPr>
        <w:t xml:space="preserve">Основополагающей принципом также является «на расстоянии вытянутой руки», подразумевающий, что внутрифирменные сделки должны осуществлять по цене, которая была бы установлена между невзаимосвязанными лицами в аналогичном положении. </w:t>
      </w:r>
      <w:r w:rsidR="00FB1D1C" w:rsidRPr="009761E8">
        <w:rPr>
          <w:rFonts w:ascii="Times New Roman" w:hAnsi="Times New Roman" w:cs="Times New Roman"/>
          <w:sz w:val="24"/>
          <w:szCs w:val="24"/>
        </w:rPr>
        <w:t>Примечательно, что основные принципы, установленные ОЭСР и ЕС, были приняты всеми странами-членами организаций, но тем не менее трактовка и применение этих рекомендаций зачастую варьируется</w:t>
      </w:r>
      <w:r w:rsidR="00CA4F0D" w:rsidRPr="009761E8">
        <w:rPr>
          <w:rFonts w:ascii="Times New Roman" w:hAnsi="Times New Roman" w:cs="Times New Roman"/>
          <w:sz w:val="24"/>
          <w:szCs w:val="24"/>
        </w:rPr>
        <w:t xml:space="preserve">. </w:t>
      </w:r>
      <w:r w:rsidR="00FB1D1C" w:rsidRPr="009761E8">
        <w:rPr>
          <w:rFonts w:ascii="Times New Roman" w:hAnsi="Times New Roman" w:cs="Times New Roman"/>
          <w:sz w:val="24"/>
          <w:szCs w:val="24"/>
        </w:rPr>
        <w:t xml:space="preserve">Прежде всего это связно с различными толкованиями, которые в частых случаях приводят к </w:t>
      </w:r>
      <w:r w:rsidR="00CA4F0D" w:rsidRPr="009761E8">
        <w:rPr>
          <w:rFonts w:ascii="Times New Roman" w:hAnsi="Times New Roman" w:cs="Times New Roman"/>
          <w:sz w:val="24"/>
          <w:szCs w:val="24"/>
        </w:rPr>
        <w:t xml:space="preserve">неопределенности для налогоплательщиков, </w:t>
      </w:r>
      <w:r w:rsidR="00FB1D1C" w:rsidRPr="009761E8">
        <w:rPr>
          <w:rFonts w:ascii="Times New Roman" w:hAnsi="Times New Roman" w:cs="Times New Roman"/>
          <w:sz w:val="24"/>
          <w:szCs w:val="24"/>
        </w:rPr>
        <w:t>более того</w:t>
      </w:r>
      <w:r w:rsidR="00CA4F0D" w:rsidRPr="009761E8">
        <w:rPr>
          <w:rFonts w:ascii="Times New Roman" w:hAnsi="Times New Roman" w:cs="Times New Roman"/>
          <w:sz w:val="24"/>
          <w:szCs w:val="24"/>
        </w:rPr>
        <w:t xml:space="preserve"> </w:t>
      </w:r>
      <w:r w:rsidR="00FB1D1C" w:rsidRPr="009761E8">
        <w:rPr>
          <w:rFonts w:ascii="Times New Roman" w:hAnsi="Times New Roman" w:cs="Times New Roman"/>
          <w:sz w:val="24"/>
          <w:szCs w:val="24"/>
        </w:rPr>
        <w:t xml:space="preserve">может оказать существенное влияние </w:t>
      </w:r>
      <w:r w:rsidR="00CA4F0D" w:rsidRPr="009761E8">
        <w:rPr>
          <w:rFonts w:ascii="Times New Roman" w:hAnsi="Times New Roman" w:cs="Times New Roman"/>
          <w:sz w:val="24"/>
          <w:szCs w:val="24"/>
        </w:rPr>
        <w:t xml:space="preserve">на </w:t>
      </w:r>
      <w:r w:rsidR="00FB1D1C" w:rsidRPr="009761E8">
        <w:rPr>
          <w:rFonts w:ascii="Times New Roman" w:hAnsi="Times New Roman" w:cs="Times New Roman"/>
          <w:sz w:val="24"/>
          <w:szCs w:val="24"/>
        </w:rPr>
        <w:t>механизм функционирования</w:t>
      </w:r>
      <w:r w:rsidR="00CA4F0D" w:rsidRPr="009761E8">
        <w:rPr>
          <w:rFonts w:ascii="Times New Roman" w:hAnsi="Times New Roman" w:cs="Times New Roman"/>
          <w:sz w:val="24"/>
          <w:szCs w:val="24"/>
        </w:rPr>
        <w:t xml:space="preserve"> внутреннего рынка</w:t>
      </w:r>
      <w:r w:rsidR="00FB1D1C" w:rsidRPr="009761E8">
        <w:rPr>
          <w:rFonts w:ascii="Times New Roman" w:hAnsi="Times New Roman" w:cs="Times New Roman"/>
          <w:sz w:val="24"/>
          <w:szCs w:val="24"/>
        </w:rPr>
        <w:t>, а именно: полученная</w:t>
      </w:r>
      <w:r w:rsidR="00CA4F0D" w:rsidRPr="009761E8">
        <w:rPr>
          <w:rFonts w:ascii="Times New Roman" w:hAnsi="Times New Roman" w:cs="Times New Roman"/>
          <w:sz w:val="24"/>
          <w:szCs w:val="24"/>
        </w:rPr>
        <w:t xml:space="preserve"> </w:t>
      </w:r>
      <w:r w:rsidR="00FB1D1C" w:rsidRPr="009761E8">
        <w:rPr>
          <w:rFonts w:ascii="Times New Roman" w:hAnsi="Times New Roman" w:cs="Times New Roman"/>
          <w:sz w:val="24"/>
          <w:szCs w:val="24"/>
        </w:rPr>
        <w:t xml:space="preserve">компаниями </w:t>
      </w:r>
      <w:r w:rsidR="00CA4F0D" w:rsidRPr="009761E8">
        <w:rPr>
          <w:rFonts w:ascii="Times New Roman" w:hAnsi="Times New Roman" w:cs="Times New Roman"/>
          <w:sz w:val="24"/>
          <w:szCs w:val="24"/>
        </w:rPr>
        <w:t>прибыль может</w:t>
      </w:r>
      <w:r w:rsidR="00FB1D1C" w:rsidRPr="009761E8">
        <w:rPr>
          <w:rFonts w:ascii="Times New Roman" w:hAnsi="Times New Roman" w:cs="Times New Roman"/>
          <w:sz w:val="24"/>
          <w:szCs w:val="24"/>
        </w:rPr>
        <w:t xml:space="preserve"> быть стать жертвой «двойного налогообложении»</w:t>
      </w:r>
      <w:r w:rsidR="00CA4F0D" w:rsidRPr="009761E8">
        <w:rPr>
          <w:rFonts w:ascii="Times New Roman" w:hAnsi="Times New Roman" w:cs="Times New Roman"/>
          <w:sz w:val="24"/>
          <w:szCs w:val="24"/>
        </w:rPr>
        <w:t xml:space="preserve">. </w:t>
      </w:r>
      <w:r w:rsidRPr="009761E8">
        <w:rPr>
          <w:rFonts w:ascii="Times New Roman" w:hAnsi="Times New Roman" w:cs="Times New Roman"/>
          <w:sz w:val="24"/>
          <w:szCs w:val="24"/>
        </w:rPr>
        <w:t xml:space="preserve">В связи с этим </w:t>
      </w:r>
      <w:r w:rsidR="00FB1D1C" w:rsidRPr="009761E8">
        <w:rPr>
          <w:rFonts w:ascii="Times New Roman" w:hAnsi="Times New Roman" w:cs="Times New Roman"/>
          <w:sz w:val="24"/>
          <w:szCs w:val="24"/>
        </w:rPr>
        <w:t xml:space="preserve">в соответствии с национальными различиями в большинстве государств по практическому </w:t>
      </w:r>
      <w:r w:rsidR="00365C06" w:rsidRPr="009761E8">
        <w:rPr>
          <w:rFonts w:ascii="Times New Roman" w:hAnsi="Times New Roman" w:cs="Times New Roman"/>
          <w:sz w:val="24"/>
          <w:szCs w:val="24"/>
        </w:rPr>
        <w:t xml:space="preserve">соблюдению налогового законодательства можно выделить три базисных составляющих: </w:t>
      </w:r>
    </w:p>
    <w:p w:rsidR="00CA4F0D" w:rsidRPr="00CE6E89" w:rsidRDefault="00365C06" w:rsidP="00CE6E89">
      <w:pPr>
        <w:pStyle w:val="a3"/>
        <w:numPr>
          <w:ilvl w:val="0"/>
          <w:numId w:val="12"/>
        </w:numPr>
        <w:spacing w:after="0" w:line="360" w:lineRule="auto"/>
        <w:jc w:val="both"/>
        <w:rPr>
          <w:rFonts w:ascii="Times New Roman" w:hAnsi="Times New Roman" w:cs="Times New Roman"/>
          <w:sz w:val="24"/>
          <w:szCs w:val="24"/>
        </w:rPr>
      </w:pPr>
      <w:r w:rsidRPr="00CE6E89">
        <w:rPr>
          <w:rFonts w:ascii="Times New Roman" w:hAnsi="Times New Roman" w:cs="Times New Roman"/>
          <w:sz w:val="24"/>
          <w:szCs w:val="24"/>
        </w:rPr>
        <w:t xml:space="preserve">создание налоговой системы, позволяющей </w:t>
      </w:r>
      <w:r w:rsidR="007600ED" w:rsidRPr="00CE6E89">
        <w:rPr>
          <w:rFonts w:ascii="Times New Roman" w:hAnsi="Times New Roman" w:cs="Times New Roman"/>
          <w:sz w:val="24"/>
          <w:szCs w:val="24"/>
        </w:rPr>
        <w:t>минимизировать риск</w:t>
      </w:r>
      <w:r w:rsidRPr="00CE6E89">
        <w:rPr>
          <w:rFonts w:ascii="Times New Roman" w:hAnsi="Times New Roman" w:cs="Times New Roman"/>
          <w:sz w:val="24"/>
          <w:szCs w:val="24"/>
        </w:rPr>
        <w:t xml:space="preserve"> уклонения от </w:t>
      </w:r>
      <w:r w:rsidR="00CA4F0D" w:rsidRPr="00CE6E89">
        <w:rPr>
          <w:rFonts w:ascii="Times New Roman" w:hAnsi="Times New Roman" w:cs="Times New Roman"/>
          <w:sz w:val="24"/>
          <w:szCs w:val="24"/>
        </w:rPr>
        <w:t>налогов</w:t>
      </w:r>
      <w:r w:rsidRPr="00CE6E89">
        <w:rPr>
          <w:rFonts w:ascii="Times New Roman" w:hAnsi="Times New Roman" w:cs="Times New Roman"/>
          <w:sz w:val="24"/>
          <w:szCs w:val="24"/>
        </w:rPr>
        <w:t>ых выплат</w:t>
      </w:r>
      <w:r w:rsidR="00CA4F0D" w:rsidRPr="00CE6E89">
        <w:rPr>
          <w:rFonts w:ascii="Times New Roman" w:hAnsi="Times New Roman" w:cs="Times New Roman"/>
          <w:sz w:val="24"/>
          <w:szCs w:val="24"/>
        </w:rPr>
        <w:t xml:space="preserve"> (например, </w:t>
      </w:r>
      <w:r w:rsidRPr="00CE6E89">
        <w:rPr>
          <w:rFonts w:ascii="Times New Roman" w:hAnsi="Times New Roman" w:cs="Times New Roman"/>
          <w:sz w:val="24"/>
          <w:szCs w:val="24"/>
        </w:rPr>
        <w:t>введение требований жесткой отчетности</w:t>
      </w:r>
      <w:r w:rsidR="00CA4F0D" w:rsidRPr="00CE6E89">
        <w:rPr>
          <w:rFonts w:ascii="Times New Roman" w:hAnsi="Times New Roman" w:cs="Times New Roman"/>
          <w:sz w:val="24"/>
          <w:szCs w:val="24"/>
        </w:rPr>
        <w:t xml:space="preserve">); </w:t>
      </w:r>
    </w:p>
    <w:p w:rsidR="00CA4F0D" w:rsidRPr="00CE6E89" w:rsidRDefault="00365C06" w:rsidP="00CE6E89">
      <w:pPr>
        <w:pStyle w:val="a3"/>
        <w:numPr>
          <w:ilvl w:val="0"/>
          <w:numId w:val="12"/>
        </w:numPr>
        <w:spacing w:after="0" w:line="360" w:lineRule="auto"/>
        <w:jc w:val="both"/>
        <w:rPr>
          <w:rFonts w:ascii="Times New Roman" w:hAnsi="Times New Roman" w:cs="Times New Roman"/>
          <w:sz w:val="24"/>
          <w:szCs w:val="24"/>
        </w:rPr>
      </w:pPr>
      <w:r w:rsidRPr="00CE6E89">
        <w:rPr>
          <w:rFonts w:ascii="Times New Roman" w:hAnsi="Times New Roman" w:cs="Times New Roman"/>
          <w:sz w:val="24"/>
          <w:szCs w:val="24"/>
        </w:rPr>
        <w:t>проведение мероприятий, оказывающих помощь</w:t>
      </w:r>
      <w:r w:rsidR="00CA4F0D" w:rsidRPr="00CE6E89">
        <w:rPr>
          <w:rFonts w:ascii="Times New Roman" w:hAnsi="Times New Roman" w:cs="Times New Roman"/>
          <w:sz w:val="24"/>
          <w:szCs w:val="24"/>
        </w:rPr>
        <w:t xml:space="preserve"> </w:t>
      </w:r>
      <w:r w:rsidRPr="00CE6E89">
        <w:rPr>
          <w:rFonts w:ascii="Times New Roman" w:hAnsi="Times New Roman" w:cs="Times New Roman"/>
          <w:sz w:val="24"/>
          <w:szCs w:val="24"/>
        </w:rPr>
        <w:t xml:space="preserve">налогоплательщикам, повышение осведомленности и компетентности </w:t>
      </w:r>
      <w:r w:rsidR="00CA4F0D" w:rsidRPr="00CE6E89">
        <w:rPr>
          <w:rFonts w:ascii="Times New Roman" w:hAnsi="Times New Roman" w:cs="Times New Roman"/>
          <w:sz w:val="24"/>
          <w:szCs w:val="24"/>
        </w:rPr>
        <w:t>(</w:t>
      </w:r>
      <w:r w:rsidRPr="00CE6E89">
        <w:rPr>
          <w:rFonts w:ascii="Times New Roman" w:hAnsi="Times New Roman" w:cs="Times New Roman"/>
          <w:sz w:val="24"/>
          <w:szCs w:val="24"/>
        </w:rPr>
        <w:t>например, информируя и обучая их</w:t>
      </w:r>
      <w:r w:rsidR="00CA4F0D" w:rsidRPr="00CE6E89">
        <w:rPr>
          <w:rFonts w:ascii="Times New Roman" w:hAnsi="Times New Roman" w:cs="Times New Roman"/>
          <w:sz w:val="24"/>
          <w:szCs w:val="24"/>
        </w:rPr>
        <w:t xml:space="preserve">); </w:t>
      </w:r>
    </w:p>
    <w:p w:rsidR="00365C06" w:rsidRPr="00CE6E89" w:rsidRDefault="00365C06" w:rsidP="00CE6E89">
      <w:pPr>
        <w:pStyle w:val="a3"/>
        <w:numPr>
          <w:ilvl w:val="0"/>
          <w:numId w:val="12"/>
        </w:numPr>
        <w:spacing w:after="0" w:line="360" w:lineRule="auto"/>
        <w:jc w:val="both"/>
        <w:rPr>
          <w:rFonts w:ascii="Times New Roman" w:hAnsi="Times New Roman" w:cs="Times New Roman"/>
          <w:sz w:val="24"/>
          <w:szCs w:val="24"/>
        </w:rPr>
      </w:pPr>
      <w:r w:rsidRPr="00CE6E89">
        <w:rPr>
          <w:rFonts w:ascii="Times New Roman" w:hAnsi="Times New Roman" w:cs="Times New Roman"/>
          <w:sz w:val="24"/>
          <w:szCs w:val="24"/>
        </w:rPr>
        <w:t>применение негативных</w:t>
      </w:r>
      <w:r w:rsidR="00CA4F0D" w:rsidRPr="00CE6E89">
        <w:rPr>
          <w:rFonts w:ascii="Times New Roman" w:hAnsi="Times New Roman" w:cs="Times New Roman"/>
          <w:sz w:val="24"/>
          <w:szCs w:val="24"/>
        </w:rPr>
        <w:t xml:space="preserve"> санкций</w:t>
      </w:r>
      <w:r w:rsidRPr="00CE6E89">
        <w:rPr>
          <w:rFonts w:ascii="Times New Roman" w:hAnsi="Times New Roman" w:cs="Times New Roman"/>
          <w:sz w:val="24"/>
          <w:szCs w:val="24"/>
        </w:rPr>
        <w:t xml:space="preserve"> относительно лиц, не уплачивающих налоги</w:t>
      </w:r>
      <w:r w:rsidR="00CE6E89" w:rsidRPr="00CE6E89">
        <w:rPr>
          <w:rFonts w:ascii="Times New Roman" w:hAnsi="Times New Roman" w:cs="Times New Roman"/>
          <w:sz w:val="24"/>
          <w:szCs w:val="24"/>
        </w:rPr>
        <w:t>.</w:t>
      </w:r>
    </w:p>
    <w:p w:rsidR="00CA4F0D" w:rsidRPr="009761E8" w:rsidRDefault="00365C06"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Возможность выбора </w:t>
      </w:r>
      <w:r w:rsidR="00CA4F0D" w:rsidRPr="009761E8">
        <w:rPr>
          <w:rFonts w:ascii="Times New Roman" w:hAnsi="Times New Roman" w:cs="Times New Roman"/>
          <w:sz w:val="24"/>
          <w:szCs w:val="24"/>
        </w:rPr>
        <w:t xml:space="preserve">практических процедур </w:t>
      </w:r>
      <w:r w:rsidRPr="009761E8">
        <w:rPr>
          <w:rFonts w:ascii="Times New Roman" w:hAnsi="Times New Roman" w:cs="Times New Roman"/>
          <w:sz w:val="24"/>
          <w:szCs w:val="24"/>
        </w:rPr>
        <w:t>является областью компетенции стран-участниц, что сохраняет суверенность государств, а также учитывает национальные особенности экономической политики</w:t>
      </w:r>
      <w:r w:rsidR="00CA4F0D" w:rsidRPr="009761E8">
        <w:rPr>
          <w:rFonts w:ascii="Times New Roman" w:hAnsi="Times New Roman" w:cs="Times New Roman"/>
          <w:sz w:val="24"/>
          <w:szCs w:val="24"/>
        </w:rPr>
        <w:t xml:space="preserve">. </w:t>
      </w:r>
      <w:r w:rsidR="007600ED" w:rsidRPr="009761E8">
        <w:rPr>
          <w:rFonts w:ascii="Times New Roman" w:hAnsi="Times New Roman" w:cs="Times New Roman"/>
          <w:sz w:val="24"/>
          <w:szCs w:val="24"/>
        </w:rPr>
        <w:tab/>
      </w:r>
      <w:r w:rsidRPr="009761E8">
        <w:rPr>
          <w:rFonts w:ascii="Times New Roman" w:hAnsi="Times New Roman" w:cs="Times New Roman"/>
          <w:sz w:val="24"/>
          <w:szCs w:val="24"/>
        </w:rPr>
        <w:t xml:space="preserve">Неизменен остается тот факт, что использование правила «на расстоянии вытянутой руки» </w:t>
      </w:r>
      <w:r w:rsidR="00AD23EB" w:rsidRPr="009761E8">
        <w:rPr>
          <w:rFonts w:ascii="Times New Roman" w:hAnsi="Times New Roman" w:cs="Times New Roman"/>
          <w:sz w:val="24"/>
          <w:szCs w:val="24"/>
        </w:rPr>
        <w:t xml:space="preserve">является неприменимым при отсутствии четких, систематизированных процессуальных норм. Именно поэтому существует необходимость </w:t>
      </w:r>
      <w:r w:rsidR="00AD23EB" w:rsidRPr="009761E8">
        <w:rPr>
          <w:rFonts w:ascii="Times New Roman" w:hAnsi="Times New Roman" w:cs="Times New Roman"/>
          <w:sz w:val="24"/>
          <w:szCs w:val="24"/>
        </w:rPr>
        <w:lastRenderedPageBreak/>
        <w:t>в создании трактовок</w:t>
      </w:r>
      <w:r w:rsidR="00CA4F0D" w:rsidRPr="009761E8">
        <w:rPr>
          <w:rFonts w:ascii="Times New Roman" w:hAnsi="Times New Roman" w:cs="Times New Roman"/>
          <w:sz w:val="24"/>
          <w:szCs w:val="24"/>
        </w:rPr>
        <w:t>,</w:t>
      </w:r>
      <w:r w:rsidR="00AD23EB" w:rsidRPr="009761E8">
        <w:rPr>
          <w:rFonts w:ascii="Times New Roman" w:hAnsi="Times New Roman" w:cs="Times New Roman"/>
          <w:sz w:val="24"/>
          <w:szCs w:val="24"/>
        </w:rPr>
        <w:t xml:space="preserve"> однозначно определяющих нормы ТЦО, обеспечивающих</w:t>
      </w:r>
      <w:r w:rsidR="00CA4F0D" w:rsidRPr="009761E8">
        <w:rPr>
          <w:rFonts w:ascii="Times New Roman" w:hAnsi="Times New Roman" w:cs="Times New Roman"/>
          <w:sz w:val="24"/>
          <w:szCs w:val="24"/>
        </w:rPr>
        <w:t xml:space="preserve"> </w:t>
      </w:r>
      <w:r w:rsidR="00AD23EB" w:rsidRPr="009761E8">
        <w:rPr>
          <w:rFonts w:ascii="Times New Roman" w:hAnsi="Times New Roman" w:cs="Times New Roman"/>
          <w:sz w:val="24"/>
          <w:szCs w:val="24"/>
        </w:rPr>
        <w:t>обоюдную защиту как интересов государства, так и лиц, выплачивающий налоги</w:t>
      </w:r>
      <w:r w:rsidR="00CA4F0D" w:rsidRPr="009761E8">
        <w:rPr>
          <w:rFonts w:ascii="Times New Roman" w:hAnsi="Times New Roman" w:cs="Times New Roman"/>
          <w:sz w:val="24"/>
          <w:szCs w:val="24"/>
        </w:rPr>
        <w:t xml:space="preserve">. </w:t>
      </w:r>
      <w:r w:rsidR="00AD23EB" w:rsidRPr="009761E8">
        <w:rPr>
          <w:rFonts w:ascii="Times New Roman" w:hAnsi="Times New Roman" w:cs="Times New Roman"/>
          <w:sz w:val="24"/>
          <w:szCs w:val="24"/>
        </w:rPr>
        <w:t>Еще одним инструментом регулирования международных решений относительно ТЦО является запрос налоговыми органами</w:t>
      </w:r>
      <w:r w:rsidR="00CA4F0D" w:rsidRPr="009761E8">
        <w:rPr>
          <w:rFonts w:ascii="Times New Roman" w:hAnsi="Times New Roman" w:cs="Times New Roman"/>
          <w:sz w:val="24"/>
          <w:szCs w:val="24"/>
        </w:rPr>
        <w:t xml:space="preserve"> </w:t>
      </w:r>
      <w:r w:rsidR="00AD23EB" w:rsidRPr="009761E8">
        <w:rPr>
          <w:rFonts w:ascii="Times New Roman" w:hAnsi="Times New Roman" w:cs="Times New Roman"/>
          <w:sz w:val="24"/>
          <w:szCs w:val="24"/>
        </w:rPr>
        <w:t>подробной документации</w:t>
      </w:r>
      <w:r w:rsidR="00CA4F0D" w:rsidRPr="009761E8">
        <w:rPr>
          <w:rFonts w:ascii="Times New Roman" w:hAnsi="Times New Roman" w:cs="Times New Roman"/>
          <w:sz w:val="24"/>
          <w:szCs w:val="24"/>
        </w:rPr>
        <w:t xml:space="preserve">, </w:t>
      </w:r>
      <w:r w:rsidR="00AD23EB" w:rsidRPr="009761E8">
        <w:rPr>
          <w:rFonts w:ascii="Times New Roman" w:hAnsi="Times New Roman" w:cs="Times New Roman"/>
          <w:sz w:val="24"/>
          <w:szCs w:val="24"/>
        </w:rPr>
        <w:t>которая может относиться к операциям, проводимых в международном контексте в рамках группы заинтересованных лиц. С целью упразднения</w:t>
      </w:r>
      <w:r w:rsidR="00CA4F0D" w:rsidRPr="009761E8">
        <w:rPr>
          <w:rFonts w:ascii="Times New Roman" w:hAnsi="Times New Roman" w:cs="Times New Roman"/>
          <w:sz w:val="24"/>
          <w:szCs w:val="24"/>
        </w:rPr>
        <w:t xml:space="preserve"> </w:t>
      </w:r>
      <w:r w:rsidR="00AD23EB" w:rsidRPr="009761E8">
        <w:rPr>
          <w:rFonts w:ascii="Times New Roman" w:hAnsi="Times New Roman" w:cs="Times New Roman"/>
          <w:sz w:val="24"/>
          <w:szCs w:val="24"/>
        </w:rPr>
        <w:t>системы документооборота,</w:t>
      </w:r>
      <w:r w:rsidR="00CA4F0D" w:rsidRPr="009761E8">
        <w:rPr>
          <w:rFonts w:ascii="Times New Roman" w:hAnsi="Times New Roman" w:cs="Times New Roman"/>
          <w:sz w:val="24"/>
          <w:szCs w:val="24"/>
        </w:rPr>
        <w:t xml:space="preserve"> </w:t>
      </w:r>
      <w:r w:rsidR="00AD23EB" w:rsidRPr="009761E8">
        <w:rPr>
          <w:rFonts w:ascii="Times New Roman" w:hAnsi="Times New Roman" w:cs="Times New Roman"/>
          <w:sz w:val="24"/>
          <w:szCs w:val="24"/>
        </w:rPr>
        <w:t>а также затрат, которые несет ТНК в процессе подготовки документации</w:t>
      </w:r>
      <w:r w:rsidR="00CA4F0D" w:rsidRPr="009761E8">
        <w:rPr>
          <w:rFonts w:ascii="Times New Roman" w:hAnsi="Times New Roman" w:cs="Times New Roman"/>
          <w:sz w:val="24"/>
          <w:szCs w:val="24"/>
        </w:rPr>
        <w:t xml:space="preserve">, </w:t>
      </w:r>
      <w:r w:rsidR="00580B02" w:rsidRPr="009761E8">
        <w:rPr>
          <w:rFonts w:ascii="Times New Roman" w:hAnsi="Times New Roman" w:cs="Times New Roman"/>
          <w:sz w:val="24"/>
          <w:szCs w:val="24"/>
        </w:rPr>
        <w:t>Европейской комиссией был предложен</w:t>
      </w:r>
      <w:r w:rsidR="001D220C" w:rsidRPr="009761E8">
        <w:rPr>
          <w:rFonts w:ascii="Times New Roman" w:hAnsi="Times New Roman" w:cs="Times New Roman"/>
          <w:sz w:val="24"/>
          <w:szCs w:val="24"/>
        </w:rPr>
        <w:t xml:space="preserve"> единый подход к установлению стандартного пакета документов на всей территории Европейского Союза. Именно так был разработан Кодекс Поведения, которым регламентировалось эффективное применение</w:t>
      </w:r>
      <w:r w:rsidR="00CA4F0D" w:rsidRPr="009761E8">
        <w:rPr>
          <w:rFonts w:ascii="Times New Roman" w:hAnsi="Times New Roman" w:cs="Times New Roman"/>
          <w:sz w:val="24"/>
          <w:szCs w:val="24"/>
        </w:rPr>
        <w:t xml:space="preserve"> Конвенции об изб</w:t>
      </w:r>
      <w:r w:rsidR="001D220C" w:rsidRPr="009761E8">
        <w:rPr>
          <w:rFonts w:ascii="Times New Roman" w:hAnsi="Times New Roman" w:cs="Times New Roman"/>
          <w:sz w:val="24"/>
          <w:szCs w:val="24"/>
        </w:rPr>
        <w:t>ежании двойного налогообложения</w:t>
      </w:r>
      <w:r w:rsidR="00CA4F0D" w:rsidRPr="009761E8">
        <w:rPr>
          <w:rFonts w:ascii="Times New Roman" w:hAnsi="Times New Roman" w:cs="Times New Roman"/>
          <w:sz w:val="24"/>
          <w:szCs w:val="24"/>
        </w:rPr>
        <w:t xml:space="preserve"> (далее – Кодекс поведения). Положения</w:t>
      </w:r>
      <w:r w:rsidR="001D220C" w:rsidRPr="009761E8">
        <w:rPr>
          <w:rFonts w:ascii="Times New Roman" w:hAnsi="Times New Roman" w:cs="Times New Roman"/>
          <w:sz w:val="24"/>
          <w:szCs w:val="24"/>
        </w:rPr>
        <w:t xml:space="preserve">, содержащиеся в Кодексе поведения, также выступают в качестве «руководства к применению» и являются лишь рекомендациями. Страны-члены, согласно концепции ЕС, </w:t>
      </w:r>
      <w:r w:rsidR="00CA4F0D" w:rsidRPr="009761E8">
        <w:rPr>
          <w:rFonts w:ascii="Times New Roman" w:hAnsi="Times New Roman" w:cs="Times New Roman"/>
          <w:sz w:val="24"/>
          <w:szCs w:val="24"/>
        </w:rPr>
        <w:t xml:space="preserve">не </w:t>
      </w:r>
      <w:r w:rsidR="001D220C" w:rsidRPr="009761E8">
        <w:rPr>
          <w:rFonts w:ascii="Times New Roman" w:hAnsi="Times New Roman" w:cs="Times New Roman"/>
          <w:sz w:val="24"/>
          <w:szCs w:val="24"/>
        </w:rPr>
        <w:t>должны</w:t>
      </w:r>
      <w:r w:rsidR="00CA4F0D" w:rsidRPr="009761E8">
        <w:rPr>
          <w:rFonts w:ascii="Times New Roman" w:hAnsi="Times New Roman" w:cs="Times New Roman"/>
          <w:sz w:val="24"/>
          <w:szCs w:val="24"/>
        </w:rPr>
        <w:t xml:space="preserve"> вести документацию по </w:t>
      </w:r>
      <w:r w:rsidR="001D220C" w:rsidRPr="009761E8">
        <w:rPr>
          <w:rFonts w:ascii="Times New Roman" w:hAnsi="Times New Roman" w:cs="Times New Roman"/>
          <w:sz w:val="24"/>
          <w:szCs w:val="24"/>
        </w:rPr>
        <w:t>ТЦО в обязательном порядке</w:t>
      </w:r>
      <w:r w:rsidR="00CA4F0D" w:rsidRPr="009761E8">
        <w:rPr>
          <w:rFonts w:ascii="Times New Roman" w:hAnsi="Times New Roman" w:cs="Times New Roman"/>
          <w:sz w:val="24"/>
          <w:szCs w:val="24"/>
        </w:rPr>
        <w:t xml:space="preserve">. </w:t>
      </w:r>
      <w:r w:rsidR="00C955EE" w:rsidRPr="009761E8">
        <w:rPr>
          <w:rFonts w:ascii="Times New Roman" w:hAnsi="Times New Roman" w:cs="Times New Roman"/>
          <w:sz w:val="24"/>
          <w:szCs w:val="24"/>
        </w:rPr>
        <w:t>Одновременно с этим, членами</w:t>
      </w:r>
      <w:r w:rsidR="001D220C" w:rsidRPr="009761E8">
        <w:rPr>
          <w:rFonts w:ascii="Times New Roman" w:hAnsi="Times New Roman" w:cs="Times New Roman"/>
          <w:sz w:val="24"/>
          <w:szCs w:val="24"/>
        </w:rPr>
        <w:t xml:space="preserve"> ЕС </w:t>
      </w:r>
      <w:r w:rsidR="00C955EE" w:rsidRPr="009761E8">
        <w:rPr>
          <w:rFonts w:ascii="Times New Roman" w:hAnsi="Times New Roman" w:cs="Times New Roman"/>
          <w:sz w:val="24"/>
          <w:szCs w:val="24"/>
        </w:rPr>
        <w:t>должны</w:t>
      </w:r>
      <w:r w:rsidR="00CA4F0D" w:rsidRPr="009761E8">
        <w:rPr>
          <w:rFonts w:ascii="Times New Roman" w:hAnsi="Times New Roman" w:cs="Times New Roman"/>
          <w:sz w:val="24"/>
          <w:szCs w:val="24"/>
        </w:rPr>
        <w:t xml:space="preserve"> поощрять</w:t>
      </w:r>
      <w:r w:rsidR="00C955EE" w:rsidRPr="009761E8">
        <w:rPr>
          <w:rFonts w:ascii="Times New Roman" w:hAnsi="Times New Roman" w:cs="Times New Roman"/>
          <w:sz w:val="24"/>
          <w:szCs w:val="24"/>
        </w:rPr>
        <w:t>ся соблюдение Кодекса</w:t>
      </w:r>
      <w:r w:rsidR="00CA4F0D" w:rsidRPr="009761E8">
        <w:rPr>
          <w:rFonts w:ascii="Times New Roman" w:hAnsi="Times New Roman" w:cs="Times New Roman"/>
          <w:sz w:val="24"/>
          <w:szCs w:val="24"/>
        </w:rPr>
        <w:t xml:space="preserve"> </w:t>
      </w:r>
      <w:r w:rsidR="00C955EE" w:rsidRPr="009761E8">
        <w:rPr>
          <w:rFonts w:ascii="Times New Roman" w:hAnsi="Times New Roman" w:cs="Times New Roman"/>
          <w:sz w:val="24"/>
          <w:szCs w:val="24"/>
        </w:rPr>
        <w:t xml:space="preserve">с целью осуществления </w:t>
      </w:r>
      <w:r w:rsidR="00CA4F0D" w:rsidRPr="009761E8">
        <w:rPr>
          <w:rFonts w:ascii="Times New Roman" w:hAnsi="Times New Roman" w:cs="Times New Roman"/>
          <w:sz w:val="24"/>
          <w:szCs w:val="24"/>
        </w:rPr>
        <w:t xml:space="preserve">единой ценовой политики. Положения Кодекса поведения </w:t>
      </w:r>
      <w:r w:rsidR="00C955EE" w:rsidRPr="009761E8">
        <w:rPr>
          <w:rFonts w:ascii="Times New Roman" w:hAnsi="Times New Roman" w:cs="Times New Roman"/>
          <w:sz w:val="24"/>
          <w:szCs w:val="24"/>
        </w:rPr>
        <w:t>призваны устанавливать баланс</w:t>
      </w:r>
      <w:r w:rsidR="00CA4F0D" w:rsidRPr="009761E8">
        <w:rPr>
          <w:rFonts w:ascii="Times New Roman" w:hAnsi="Times New Roman" w:cs="Times New Roman"/>
          <w:sz w:val="24"/>
          <w:szCs w:val="24"/>
        </w:rPr>
        <w:t xml:space="preserve"> между налоговыми </w:t>
      </w:r>
      <w:r w:rsidR="00C955EE" w:rsidRPr="009761E8">
        <w:rPr>
          <w:rFonts w:ascii="Times New Roman" w:hAnsi="Times New Roman" w:cs="Times New Roman"/>
          <w:sz w:val="24"/>
          <w:szCs w:val="24"/>
        </w:rPr>
        <w:t>органами</w:t>
      </w:r>
      <w:r w:rsidR="00CA4F0D" w:rsidRPr="009761E8">
        <w:rPr>
          <w:rFonts w:ascii="Times New Roman" w:hAnsi="Times New Roman" w:cs="Times New Roman"/>
          <w:sz w:val="24"/>
          <w:szCs w:val="24"/>
        </w:rPr>
        <w:t xml:space="preserve"> и налогоплательщика</w:t>
      </w:r>
      <w:r w:rsidR="00016542" w:rsidRPr="009761E8">
        <w:rPr>
          <w:rFonts w:ascii="Times New Roman" w:hAnsi="Times New Roman" w:cs="Times New Roman"/>
          <w:sz w:val="24"/>
          <w:szCs w:val="24"/>
        </w:rPr>
        <w:t>ми в случае реализации права государства</w:t>
      </w:r>
      <w:r w:rsidR="00CA4F0D" w:rsidRPr="009761E8">
        <w:rPr>
          <w:rFonts w:ascii="Times New Roman" w:hAnsi="Times New Roman" w:cs="Times New Roman"/>
          <w:sz w:val="24"/>
          <w:szCs w:val="24"/>
        </w:rPr>
        <w:t xml:space="preserve"> на получение необходимой информации для оценки </w:t>
      </w:r>
      <w:r w:rsidR="0002074A" w:rsidRPr="009761E8">
        <w:rPr>
          <w:rFonts w:ascii="Times New Roman" w:hAnsi="Times New Roman" w:cs="Times New Roman"/>
          <w:sz w:val="24"/>
          <w:szCs w:val="24"/>
        </w:rPr>
        <w:t>ТЦО</w:t>
      </w:r>
      <w:r w:rsidR="003540FB" w:rsidRPr="009761E8">
        <w:rPr>
          <w:rFonts w:ascii="Times New Roman" w:hAnsi="Times New Roman" w:cs="Times New Roman"/>
          <w:sz w:val="24"/>
          <w:szCs w:val="24"/>
        </w:rPr>
        <w:t xml:space="preserve"> и его правомерности</w:t>
      </w:r>
      <w:r w:rsidR="00CA4F0D" w:rsidRPr="009761E8">
        <w:rPr>
          <w:rFonts w:ascii="Times New Roman" w:hAnsi="Times New Roman" w:cs="Times New Roman"/>
          <w:sz w:val="24"/>
          <w:szCs w:val="24"/>
        </w:rPr>
        <w:t>. Концепция, содержащаяся в Кодексе поведения, состоит из двух основных элементов:</w:t>
      </w:r>
    </w:p>
    <w:p w:rsidR="003540FB" w:rsidRPr="009761E8" w:rsidRDefault="003540FB" w:rsidP="008A2D2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1. «Справочная документация», содержащая в себе общую, стандартную</w:t>
      </w:r>
      <w:r w:rsidR="00CA4F0D" w:rsidRPr="009761E8">
        <w:rPr>
          <w:rFonts w:ascii="Times New Roman" w:hAnsi="Times New Roman" w:cs="Times New Roman"/>
          <w:sz w:val="24"/>
          <w:szCs w:val="24"/>
        </w:rPr>
        <w:t xml:space="preserve"> информацию</w:t>
      </w:r>
      <w:r w:rsidRPr="009761E8">
        <w:rPr>
          <w:rFonts w:ascii="Times New Roman" w:hAnsi="Times New Roman" w:cs="Times New Roman"/>
          <w:sz w:val="24"/>
          <w:szCs w:val="24"/>
        </w:rPr>
        <w:t xml:space="preserve"> описывающую бизнес в ЕС, связанные с ним операции</w:t>
      </w:r>
      <w:r w:rsidR="00CA4F0D" w:rsidRPr="009761E8">
        <w:rPr>
          <w:rFonts w:ascii="Times New Roman" w:hAnsi="Times New Roman" w:cs="Times New Roman"/>
          <w:sz w:val="24"/>
          <w:szCs w:val="24"/>
        </w:rPr>
        <w:t xml:space="preserve"> </w:t>
      </w:r>
      <w:r w:rsidRPr="009761E8">
        <w:rPr>
          <w:rFonts w:ascii="Times New Roman" w:hAnsi="Times New Roman" w:cs="Times New Roman"/>
          <w:sz w:val="24"/>
          <w:szCs w:val="24"/>
        </w:rPr>
        <w:t xml:space="preserve">и т.д. Данная документация актуальна </w:t>
      </w:r>
      <w:r w:rsidR="00CA4F0D" w:rsidRPr="009761E8">
        <w:rPr>
          <w:rFonts w:ascii="Times New Roman" w:hAnsi="Times New Roman" w:cs="Times New Roman"/>
          <w:sz w:val="24"/>
          <w:szCs w:val="24"/>
        </w:rPr>
        <w:t xml:space="preserve">для </w:t>
      </w:r>
      <w:r w:rsidRPr="009761E8">
        <w:rPr>
          <w:rFonts w:ascii="Times New Roman" w:hAnsi="Times New Roman" w:cs="Times New Roman"/>
          <w:sz w:val="24"/>
          <w:szCs w:val="24"/>
        </w:rPr>
        <w:t>ассоциированных предприятий государств-членов ЕС, то есть имеет всеобщий характер.</w:t>
      </w:r>
    </w:p>
    <w:p w:rsidR="007600ED" w:rsidRPr="009761E8" w:rsidRDefault="00CA4F0D" w:rsidP="008A2D2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2.</w:t>
      </w:r>
      <w:r w:rsidR="003540FB" w:rsidRPr="009761E8">
        <w:rPr>
          <w:rFonts w:ascii="Times New Roman" w:hAnsi="Times New Roman" w:cs="Times New Roman"/>
          <w:sz w:val="24"/>
          <w:szCs w:val="24"/>
        </w:rPr>
        <w:t xml:space="preserve"> «Документы конкретной страны», включающие</w:t>
      </w:r>
      <w:r w:rsidRPr="009761E8">
        <w:rPr>
          <w:rFonts w:ascii="Times New Roman" w:hAnsi="Times New Roman" w:cs="Times New Roman"/>
          <w:sz w:val="24"/>
          <w:szCs w:val="24"/>
        </w:rPr>
        <w:t xml:space="preserve"> в себя </w:t>
      </w:r>
      <w:r w:rsidR="003540FB" w:rsidRPr="009761E8">
        <w:rPr>
          <w:rFonts w:ascii="Times New Roman" w:hAnsi="Times New Roman" w:cs="Times New Roman"/>
          <w:sz w:val="24"/>
          <w:szCs w:val="24"/>
        </w:rPr>
        <w:t>информацию</w:t>
      </w:r>
      <w:r w:rsidRPr="009761E8">
        <w:rPr>
          <w:rFonts w:ascii="Times New Roman" w:hAnsi="Times New Roman" w:cs="Times New Roman"/>
          <w:sz w:val="24"/>
          <w:szCs w:val="24"/>
        </w:rPr>
        <w:t xml:space="preserve"> по каждому</w:t>
      </w:r>
      <w:r w:rsidR="003540FB" w:rsidRPr="009761E8">
        <w:rPr>
          <w:rFonts w:ascii="Times New Roman" w:hAnsi="Times New Roman" w:cs="Times New Roman"/>
          <w:sz w:val="24"/>
          <w:szCs w:val="24"/>
        </w:rPr>
        <w:t xml:space="preserve"> конкретному ассоциированном предприятию, располагающегося на территории ЕС</w:t>
      </w:r>
      <w:r w:rsidRPr="009761E8">
        <w:rPr>
          <w:rFonts w:ascii="Times New Roman" w:hAnsi="Times New Roman" w:cs="Times New Roman"/>
          <w:sz w:val="24"/>
          <w:szCs w:val="24"/>
        </w:rPr>
        <w:t xml:space="preserve">, а также </w:t>
      </w:r>
      <w:r w:rsidR="003540FB" w:rsidRPr="009761E8">
        <w:rPr>
          <w:rFonts w:ascii="Times New Roman" w:hAnsi="Times New Roman" w:cs="Times New Roman"/>
          <w:sz w:val="24"/>
          <w:szCs w:val="24"/>
        </w:rPr>
        <w:t>особенности ТЦО в отдельно взятой стране-участнице</w:t>
      </w:r>
      <w:r w:rsidRPr="009761E8">
        <w:rPr>
          <w:rFonts w:ascii="Times New Roman" w:hAnsi="Times New Roman" w:cs="Times New Roman"/>
          <w:sz w:val="24"/>
          <w:szCs w:val="24"/>
        </w:rPr>
        <w:t xml:space="preserve">. </w:t>
      </w:r>
    </w:p>
    <w:p w:rsidR="00E869D1" w:rsidRPr="00E869D1" w:rsidRDefault="007600ED" w:rsidP="00E869D1">
      <w:pPr>
        <w:spacing w:after="0" w:line="360" w:lineRule="auto"/>
        <w:jc w:val="both"/>
        <w:rPr>
          <w:rStyle w:val="10"/>
          <w:rFonts w:ascii="Times New Roman" w:eastAsiaTheme="minorHAnsi" w:hAnsi="Times New Roman" w:cs="Times New Roman"/>
          <w:color w:val="auto"/>
          <w:sz w:val="24"/>
          <w:szCs w:val="24"/>
        </w:rPr>
      </w:pPr>
      <w:r w:rsidRPr="009761E8">
        <w:rPr>
          <w:rFonts w:ascii="Times New Roman" w:hAnsi="Times New Roman" w:cs="Times New Roman"/>
          <w:sz w:val="24"/>
          <w:szCs w:val="24"/>
        </w:rPr>
        <w:tab/>
      </w:r>
      <w:r w:rsidR="003540FB" w:rsidRPr="009761E8">
        <w:rPr>
          <w:rFonts w:ascii="Times New Roman" w:hAnsi="Times New Roman" w:cs="Times New Roman"/>
          <w:sz w:val="24"/>
          <w:szCs w:val="24"/>
        </w:rPr>
        <w:t>На сегодняшний день</w:t>
      </w:r>
      <w:r w:rsidR="00CA4F0D" w:rsidRPr="009761E8">
        <w:rPr>
          <w:rFonts w:ascii="Times New Roman" w:hAnsi="Times New Roman" w:cs="Times New Roman"/>
          <w:sz w:val="24"/>
          <w:szCs w:val="24"/>
        </w:rPr>
        <w:t xml:space="preserve"> </w:t>
      </w:r>
      <w:r w:rsidR="00D8707D" w:rsidRPr="009761E8">
        <w:rPr>
          <w:rFonts w:ascii="Times New Roman" w:hAnsi="Times New Roman" w:cs="Times New Roman"/>
          <w:sz w:val="24"/>
          <w:szCs w:val="24"/>
        </w:rPr>
        <w:t>диапазон перечня</w:t>
      </w:r>
      <w:r w:rsidR="003540FB" w:rsidRPr="009761E8">
        <w:rPr>
          <w:rFonts w:ascii="Times New Roman" w:hAnsi="Times New Roman" w:cs="Times New Roman"/>
          <w:sz w:val="24"/>
          <w:szCs w:val="24"/>
        </w:rPr>
        <w:t xml:space="preserve"> документов </w:t>
      </w:r>
      <w:r w:rsidR="00D8707D" w:rsidRPr="009761E8">
        <w:rPr>
          <w:rFonts w:ascii="Times New Roman" w:hAnsi="Times New Roman" w:cs="Times New Roman"/>
          <w:sz w:val="24"/>
          <w:szCs w:val="24"/>
        </w:rPr>
        <w:t>довольно велик и может сильно варьироваться в разных государствах</w:t>
      </w:r>
      <w:r w:rsidR="00CA4F0D" w:rsidRPr="009761E8">
        <w:rPr>
          <w:rFonts w:ascii="Times New Roman" w:hAnsi="Times New Roman" w:cs="Times New Roman"/>
          <w:sz w:val="24"/>
          <w:szCs w:val="24"/>
        </w:rPr>
        <w:t xml:space="preserve">. Ассоциированные предприятия, </w:t>
      </w:r>
      <w:r w:rsidR="00AC6992" w:rsidRPr="009761E8">
        <w:rPr>
          <w:rFonts w:ascii="Times New Roman" w:hAnsi="Times New Roman" w:cs="Times New Roman"/>
          <w:sz w:val="24"/>
          <w:szCs w:val="24"/>
        </w:rPr>
        <w:t>которые работают на европейском рынке</w:t>
      </w:r>
      <w:r w:rsidR="00CA4F0D" w:rsidRPr="009761E8">
        <w:rPr>
          <w:rFonts w:ascii="Times New Roman" w:hAnsi="Times New Roman" w:cs="Times New Roman"/>
          <w:sz w:val="24"/>
          <w:szCs w:val="24"/>
        </w:rPr>
        <w:t xml:space="preserve">, </w:t>
      </w:r>
      <w:r w:rsidR="00AC6992" w:rsidRPr="009761E8">
        <w:rPr>
          <w:rFonts w:ascii="Times New Roman" w:hAnsi="Times New Roman" w:cs="Times New Roman"/>
          <w:sz w:val="24"/>
          <w:szCs w:val="24"/>
        </w:rPr>
        <w:t>в обязательном порядке подготавливают</w:t>
      </w:r>
      <w:r w:rsidR="00CA4F0D" w:rsidRPr="009761E8">
        <w:rPr>
          <w:rFonts w:ascii="Times New Roman" w:hAnsi="Times New Roman" w:cs="Times New Roman"/>
          <w:sz w:val="24"/>
          <w:szCs w:val="24"/>
        </w:rPr>
        <w:t xml:space="preserve"> </w:t>
      </w:r>
      <w:r w:rsidR="00AC6992" w:rsidRPr="009761E8">
        <w:rPr>
          <w:rFonts w:ascii="Times New Roman" w:hAnsi="Times New Roman" w:cs="Times New Roman"/>
          <w:sz w:val="24"/>
          <w:szCs w:val="24"/>
        </w:rPr>
        <w:t>большое количество документации для</w:t>
      </w:r>
      <w:r w:rsidR="00CA4F0D" w:rsidRPr="009761E8">
        <w:rPr>
          <w:rFonts w:ascii="Times New Roman" w:hAnsi="Times New Roman" w:cs="Times New Roman"/>
          <w:sz w:val="24"/>
          <w:szCs w:val="24"/>
        </w:rPr>
        <w:t xml:space="preserve"> </w:t>
      </w:r>
      <w:r w:rsidR="00AC6992" w:rsidRPr="009761E8">
        <w:rPr>
          <w:rFonts w:ascii="Times New Roman" w:hAnsi="Times New Roman" w:cs="Times New Roman"/>
          <w:sz w:val="24"/>
          <w:szCs w:val="24"/>
        </w:rPr>
        <w:t>всех стран-участниц</w:t>
      </w:r>
      <w:r w:rsidR="00CA4F0D" w:rsidRPr="009761E8">
        <w:rPr>
          <w:rFonts w:ascii="Times New Roman" w:hAnsi="Times New Roman" w:cs="Times New Roman"/>
          <w:sz w:val="24"/>
          <w:szCs w:val="24"/>
        </w:rPr>
        <w:t>, что в итоге не способствует снижению расходов со стороны соответствую</w:t>
      </w:r>
      <w:r w:rsidR="00AC6992" w:rsidRPr="009761E8">
        <w:rPr>
          <w:rFonts w:ascii="Times New Roman" w:hAnsi="Times New Roman" w:cs="Times New Roman"/>
          <w:sz w:val="24"/>
          <w:szCs w:val="24"/>
        </w:rPr>
        <w:t>щих ассоциированных предприятий</w:t>
      </w:r>
      <w:r w:rsidR="00CA4F0D" w:rsidRPr="009761E8">
        <w:rPr>
          <w:rFonts w:ascii="Times New Roman" w:hAnsi="Times New Roman" w:cs="Times New Roman"/>
          <w:sz w:val="24"/>
          <w:szCs w:val="24"/>
        </w:rPr>
        <w:t xml:space="preserve">. Концепция общего рынка ЕС означает устранение всех условий, препятствующих свободному перемещению товаров, выполнению работ, оказанию услуг. </w:t>
      </w:r>
      <w:r w:rsidR="00730612" w:rsidRPr="009761E8">
        <w:rPr>
          <w:rFonts w:ascii="Times New Roman" w:hAnsi="Times New Roman" w:cs="Times New Roman"/>
          <w:sz w:val="24"/>
          <w:szCs w:val="24"/>
        </w:rPr>
        <w:t>Присущая ЕС, финансовый дисбаланс порождает все новые</w:t>
      </w:r>
      <w:r w:rsidR="00CA4F0D" w:rsidRPr="009761E8">
        <w:rPr>
          <w:rFonts w:ascii="Times New Roman" w:hAnsi="Times New Roman" w:cs="Times New Roman"/>
          <w:sz w:val="24"/>
          <w:szCs w:val="24"/>
        </w:rPr>
        <w:t xml:space="preserve"> схем</w:t>
      </w:r>
      <w:r w:rsidR="00730612" w:rsidRPr="009761E8">
        <w:rPr>
          <w:rFonts w:ascii="Times New Roman" w:hAnsi="Times New Roman" w:cs="Times New Roman"/>
          <w:sz w:val="24"/>
          <w:szCs w:val="24"/>
        </w:rPr>
        <w:t>ы</w:t>
      </w:r>
      <w:r w:rsidR="00CA4F0D" w:rsidRPr="009761E8">
        <w:rPr>
          <w:rFonts w:ascii="Times New Roman" w:hAnsi="Times New Roman" w:cs="Times New Roman"/>
          <w:sz w:val="24"/>
          <w:szCs w:val="24"/>
        </w:rPr>
        <w:t xml:space="preserve"> ухода от </w:t>
      </w:r>
      <w:r w:rsidR="00730612" w:rsidRPr="009761E8">
        <w:rPr>
          <w:rFonts w:ascii="Times New Roman" w:hAnsi="Times New Roman" w:cs="Times New Roman"/>
          <w:sz w:val="24"/>
          <w:szCs w:val="24"/>
        </w:rPr>
        <w:t xml:space="preserve">уплаты налогов, а в следствии к неполучению государством полного </w:t>
      </w:r>
      <w:r w:rsidR="00730612" w:rsidRPr="009761E8">
        <w:rPr>
          <w:rFonts w:ascii="Times New Roman" w:hAnsi="Times New Roman" w:cs="Times New Roman"/>
          <w:sz w:val="24"/>
          <w:szCs w:val="24"/>
        </w:rPr>
        <w:lastRenderedPageBreak/>
        <w:t>объема денежных средств, «проседанию» государственного бюджета стран, входящих в состав ЕС</w:t>
      </w:r>
      <w:r w:rsidR="0098239A" w:rsidRPr="009761E8">
        <w:rPr>
          <w:rFonts w:ascii="Times New Roman" w:hAnsi="Times New Roman" w:cs="Times New Roman"/>
          <w:sz w:val="24"/>
          <w:szCs w:val="24"/>
        </w:rPr>
        <w:t>.</w:t>
      </w:r>
    </w:p>
    <w:p w:rsidR="009F0001" w:rsidRDefault="009F0001">
      <w:pPr>
        <w:rPr>
          <w:rStyle w:val="10"/>
          <w:rFonts w:ascii="Times New Roman" w:hAnsi="Times New Roman" w:cs="Times New Roman"/>
          <w:b/>
          <w:color w:val="auto"/>
          <w:sz w:val="28"/>
          <w:szCs w:val="28"/>
        </w:rPr>
      </w:pPr>
      <w:r>
        <w:rPr>
          <w:rStyle w:val="10"/>
          <w:rFonts w:ascii="Times New Roman" w:hAnsi="Times New Roman" w:cs="Times New Roman"/>
          <w:b/>
          <w:color w:val="auto"/>
          <w:sz w:val="28"/>
          <w:szCs w:val="28"/>
        </w:rPr>
        <w:br w:type="page"/>
      </w:r>
    </w:p>
    <w:p w:rsidR="00EC00F3" w:rsidRPr="008F32E0" w:rsidRDefault="00EC00F3" w:rsidP="009761E8">
      <w:pPr>
        <w:spacing w:after="0" w:line="360" w:lineRule="auto"/>
        <w:ind w:firstLine="851"/>
        <w:contextualSpacing/>
        <w:jc w:val="center"/>
        <w:rPr>
          <w:rStyle w:val="10"/>
          <w:rFonts w:ascii="Times New Roman" w:hAnsi="Times New Roman" w:cs="Times New Roman"/>
          <w:color w:val="auto"/>
          <w:sz w:val="28"/>
          <w:szCs w:val="28"/>
        </w:rPr>
      </w:pPr>
      <w:bookmarkStart w:id="5" w:name="_Toc513844331"/>
      <w:r w:rsidRPr="008F32E0">
        <w:rPr>
          <w:rStyle w:val="10"/>
          <w:rFonts w:ascii="Times New Roman" w:hAnsi="Times New Roman" w:cs="Times New Roman"/>
          <w:b/>
          <w:color w:val="auto"/>
          <w:sz w:val="28"/>
          <w:szCs w:val="28"/>
        </w:rPr>
        <w:lastRenderedPageBreak/>
        <w:t>Глава 2. Трансфертное ценообразование в России: общие положения, проблемы, риски</w:t>
      </w:r>
      <w:bookmarkEnd w:id="5"/>
    </w:p>
    <w:p w:rsidR="00EC00F3" w:rsidRPr="009761E8" w:rsidRDefault="00EC00F3" w:rsidP="00E869D1">
      <w:pPr>
        <w:pStyle w:val="2"/>
        <w:spacing w:before="0" w:line="360" w:lineRule="auto"/>
        <w:contextualSpacing/>
        <w:jc w:val="center"/>
        <w:rPr>
          <w:rFonts w:ascii="Times New Roman" w:hAnsi="Times New Roman" w:cs="Times New Roman"/>
          <w:b/>
          <w:sz w:val="24"/>
          <w:szCs w:val="24"/>
        </w:rPr>
      </w:pPr>
      <w:r w:rsidRPr="009761E8">
        <w:rPr>
          <w:rStyle w:val="10"/>
          <w:rFonts w:ascii="Times New Roman" w:hAnsi="Times New Roman" w:cs="Times New Roman"/>
          <w:sz w:val="24"/>
          <w:szCs w:val="24"/>
        </w:rPr>
        <w:br/>
      </w:r>
      <w:bookmarkStart w:id="6" w:name="_Toc513844332"/>
      <w:r w:rsidRPr="009761E8">
        <w:rPr>
          <w:rFonts w:ascii="Times New Roman" w:hAnsi="Times New Roman" w:cs="Times New Roman"/>
          <w:b/>
          <w:color w:val="auto"/>
          <w:sz w:val="24"/>
          <w:szCs w:val="24"/>
          <w:shd w:val="clear" w:color="auto" w:fill="FFFFFF"/>
        </w:rPr>
        <w:t>2.1 Исследование принципов трансфертного ценообразования в РФ</w:t>
      </w:r>
      <w:bookmarkEnd w:id="6"/>
      <w:r w:rsidR="00C73EA0" w:rsidRPr="009761E8">
        <w:rPr>
          <w:rFonts w:ascii="Times New Roman" w:hAnsi="Times New Roman" w:cs="Times New Roman"/>
          <w:b/>
          <w:color w:val="auto"/>
          <w:sz w:val="24"/>
          <w:szCs w:val="24"/>
        </w:rPr>
        <w:t xml:space="preserve"> </w:t>
      </w:r>
      <w:r w:rsidRPr="009761E8">
        <w:rPr>
          <w:rFonts w:ascii="Times New Roman" w:hAnsi="Times New Roman" w:cs="Times New Roman"/>
          <w:b/>
          <w:color w:val="auto"/>
          <w:sz w:val="24"/>
          <w:szCs w:val="24"/>
        </w:rPr>
        <w:br/>
      </w:r>
    </w:p>
    <w:p w:rsidR="00DA56A7" w:rsidRPr="009761E8" w:rsidRDefault="00DA56A7"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В Р</w:t>
      </w:r>
      <w:r w:rsidR="007F058A" w:rsidRPr="009761E8">
        <w:rPr>
          <w:rFonts w:ascii="Times New Roman" w:hAnsi="Times New Roman"/>
          <w:sz w:val="24"/>
          <w:szCs w:val="24"/>
        </w:rPr>
        <w:t>Ф</w:t>
      </w:r>
      <w:r w:rsidRPr="009761E8">
        <w:rPr>
          <w:rFonts w:ascii="Times New Roman" w:hAnsi="Times New Roman"/>
          <w:sz w:val="24"/>
          <w:szCs w:val="24"/>
        </w:rPr>
        <w:t xml:space="preserve"> </w:t>
      </w:r>
      <w:r w:rsidR="007F058A" w:rsidRPr="009761E8">
        <w:rPr>
          <w:rFonts w:ascii="Times New Roman" w:hAnsi="Times New Roman"/>
          <w:sz w:val="24"/>
          <w:szCs w:val="24"/>
        </w:rPr>
        <w:t>проблема ТЦО</w:t>
      </w:r>
      <w:r w:rsidRPr="009761E8">
        <w:rPr>
          <w:rFonts w:ascii="Times New Roman" w:hAnsi="Times New Roman"/>
          <w:sz w:val="24"/>
          <w:szCs w:val="24"/>
        </w:rPr>
        <w:t xml:space="preserve"> стал</w:t>
      </w:r>
      <w:r w:rsidR="007F058A" w:rsidRPr="009761E8">
        <w:rPr>
          <w:rFonts w:ascii="Times New Roman" w:hAnsi="Times New Roman"/>
          <w:sz w:val="24"/>
          <w:szCs w:val="24"/>
        </w:rPr>
        <w:t>а наиболее актуальна в 90-х годах</w:t>
      </w:r>
      <w:r w:rsidRPr="009761E8">
        <w:rPr>
          <w:rFonts w:ascii="Times New Roman" w:hAnsi="Times New Roman"/>
          <w:sz w:val="24"/>
          <w:szCs w:val="24"/>
        </w:rPr>
        <w:t xml:space="preserve"> 20вв. </w:t>
      </w:r>
      <w:r w:rsidR="007F058A" w:rsidRPr="009761E8">
        <w:rPr>
          <w:rFonts w:ascii="Times New Roman" w:hAnsi="Times New Roman"/>
          <w:sz w:val="24"/>
          <w:szCs w:val="24"/>
        </w:rPr>
        <w:t xml:space="preserve">На тот момент в рамках российского законодательства существовали правила, в соответствии с которыми продажа </w:t>
      </w:r>
      <w:r w:rsidR="00126CC1" w:rsidRPr="009761E8">
        <w:rPr>
          <w:rFonts w:ascii="Times New Roman" w:hAnsi="Times New Roman"/>
          <w:sz w:val="24"/>
          <w:szCs w:val="24"/>
        </w:rPr>
        <w:t>товаров</w:t>
      </w:r>
      <w:r w:rsidR="007F058A" w:rsidRPr="009761E8">
        <w:rPr>
          <w:rFonts w:ascii="Times New Roman" w:hAnsi="Times New Roman"/>
          <w:sz w:val="24"/>
          <w:szCs w:val="24"/>
        </w:rPr>
        <w:t xml:space="preserve"> по цене ниже себестоимости была невозможна без последующего вмешательства налоговых органов и негативных санкций для налогооблагаемого лица</w:t>
      </w:r>
      <w:r w:rsidRPr="009761E8">
        <w:rPr>
          <w:rFonts w:ascii="Times New Roman" w:hAnsi="Times New Roman"/>
          <w:sz w:val="24"/>
          <w:szCs w:val="24"/>
        </w:rPr>
        <w:t xml:space="preserve">. </w:t>
      </w:r>
      <w:r w:rsidR="007F058A" w:rsidRPr="009761E8">
        <w:rPr>
          <w:rFonts w:ascii="Times New Roman" w:hAnsi="Times New Roman"/>
          <w:sz w:val="24"/>
          <w:szCs w:val="24"/>
        </w:rPr>
        <w:t>Несколько позже в статье</w:t>
      </w:r>
      <w:r w:rsidRPr="009761E8">
        <w:rPr>
          <w:rFonts w:ascii="Times New Roman" w:hAnsi="Times New Roman"/>
          <w:sz w:val="24"/>
          <w:szCs w:val="24"/>
        </w:rPr>
        <w:t xml:space="preserve"> 40 Налогового Кодекса (далее – НК) Российской Федерации (далее – РФ) был</w:t>
      </w:r>
      <w:r w:rsidR="007F058A" w:rsidRPr="009761E8">
        <w:rPr>
          <w:rFonts w:ascii="Times New Roman" w:hAnsi="Times New Roman"/>
          <w:sz w:val="24"/>
          <w:szCs w:val="24"/>
        </w:rPr>
        <w:t>и внесены поправки, которые допускают не более 20% отклонения</w:t>
      </w:r>
      <w:r w:rsidRPr="009761E8">
        <w:rPr>
          <w:rFonts w:ascii="Times New Roman" w:hAnsi="Times New Roman"/>
          <w:sz w:val="24"/>
          <w:szCs w:val="24"/>
        </w:rPr>
        <w:t xml:space="preserve"> от рыночной </w:t>
      </w:r>
      <w:r w:rsidR="007F058A" w:rsidRPr="009761E8">
        <w:rPr>
          <w:rFonts w:ascii="Times New Roman" w:hAnsi="Times New Roman"/>
          <w:sz w:val="24"/>
          <w:szCs w:val="24"/>
        </w:rPr>
        <w:t>цены</w:t>
      </w:r>
      <w:r w:rsidRPr="009761E8">
        <w:rPr>
          <w:rFonts w:ascii="Times New Roman" w:hAnsi="Times New Roman"/>
          <w:sz w:val="24"/>
          <w:szCs w:val="24"/>
        </w:rPr>
        <w:t xml:space="preserve">. </w:t>
      </w:r>
      <w:r w:rsidR="007F058A" w:rsidRPr="009761E8">
        <w:rPr>
          <w:rFonts w:ascii="Times New Roman" w:hAnsi="Times New Roman"/>
          <w:sz w:val="24"/>
          <w:szCs w:val="24"/>
        </w:rPr>
        <w:t>Иных</w:t>
      </w:r>
      <w:r w:rsidR="007E456D" w:rsidRPr="009761E8">
        <w:rPr>
          <w:rFonts w:ascii="Times New Roman" w:hAnsi="Times New Roman"/>
          <w:sz w:val="24"/>
          <w:szCs w:val="24"/>
        </w:rPr>
        <w:t xml:space="preserve"> </w:t>
      </w:r>
      <w:r w:rsidR="007F058A" w:rsidRPr="009761E8">
        <w:rPr>
          <w:rFonts w:ascii="Times New Roman" w:hAnsi="Times New Roman"/>
          <w:sz w:val="24"/>
          <w:szCs w:val="24"/>
        </w:rPr>
        <w:t xml:space="preserve">закрепленных законом </w:t>
      </w:r>
      <w:r w:rsidRPr="009761E8">
        <w:rPr>
          <w:rFonts w:ascii="Times New Roman" w:hAnsi="Times New Roman"/>
          <w:sz w:val="24"/>
          <w:szCs w:val="24"/>
        </w:rPr>
        <w:t>ограничений</w:t>
      </w:r>
      <w:r w:rsidR="007F058A" w:rsidRPr="009761E8">
        <w:rPr>
          <w:rFonts w:ascii="Times New Roman" w:hAnsi="Times New Roman"/>
          <w:sz w:val="24"/>
          <w:szCs w:val="24"/>
        </w:rPr>
        <w:t>, которые могли бы диктовать правила назначения цены, по которой происходит внутрифирменный обмен, не предусмотрено. Следовательно, руководство компании могут сами выбирать метод, по которому они будут рассчитывать</w:t>
      </w:r>
      <w:r w:rsidR="00126CC1" w:rsidRPr="009761E8">
        <w:rPr>
          <w:rFonts w:ascii="Times New Roman" w:hAnsi="Times New Roman"/>
          <w:sz w:val="24"/>
          <w:szCs w:val="24"/>
        </w:rPr>
        <w:t xml:space="preserve"> трансфертные цены, опираясь на индивидуальные условия и цели</w:t>
      </w:r>
      <w:r w:rsidRPr="009761E8">
        <w:rPr>
          <w:rFonts w:ascii="Times New Roman" w:hAnsi="Times New Roman"/>
          <w:sz w:val="24"/>
          <w:szCs w:val="24"/>
        </w:rPr>
        <w:t xml:space="preserve"> </w:t>
      </w:r>
      <w:r w:rsidR="00126CC1" w:rsidRPr="009761E8">
        <w:rPr>
          <w:rFonts w:ascii="Times New Roman" w:hAnsi="Times New Roman"/>
          <w:sz w:val="24"/>
          <w:szCs w:val="24"/>
        </w:rPr>
        <w:t>заключения сделки.</w:t>
      </w:r>
    </w:p>
    <w:p w:rsidR="00EC00F3" w:rsidRPr="009761E8" w:rsidRDefault="00241772"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В Российской Федерации </w:t>
      </w:r>
      <w:r w:rsidR="00EC00F3" w:rsidRPr="009761E8">
        <w:rPr>
          <w:rFonts w:ascii="Times New Roman" w:hAnsi="Times New Roman"/>
          <w:sz w:val="24"/>
          <w:szCs w:val="24"/>
        </w:rPr>
        <w:t>разработ</w:t>
      </w:r>
      <w:r w:rsidRPr="009761E8">
        <w:rPr>
          <w:rFonts w:ascii="Times New Roman" w:hAnsi="Times New Roman"/>
          <w:sz w:val="24"/>
          <w:szCs w:val="24"/>
        </w:rPr>
        <w:t xml:space="preserve">ка законодательства по вопросам </w:t>
      </w:r>
      <w:r w:rsidR="00126CC1" w:rsidRPr="009761E8">
        <w:rPr>
          <w:rFonts w:ascii="Times New Roman" w:hAnsi="Times New Roman"/>
          <w:sz w:val="24"/>
          <w:szCs w:val="24"/>
        </w:rPr>
        <w:t>ТЦО</w:t>
      </w:r>
      <w:r w:rsidRPr="009761E8">
        <w:rPr>
          <w:rFonts w:ascii="Times New Roman" w:hAnsi="Times New Roman"/>
          <w:sz w:val="24"/>
          <w:szCs w:val="24"/>
        </w:rPr>
        <w:t xml:space="preserve"> производилась на базе международного опыта. В качестве основы были взяты рекомендации, изложенные в документе ОЭСР с поправкой на </w:t>
      </w:r>
      <w:r w:rsidR="00DA56A7" w:rsidRPr="009761E8">
        <w:rPr>
          <w:rFonts w:ascii="Times New Roman" w:hAnsi="Times New Roman"/>
          <w:sz w:val="24"/>
          <w:szCs w:val="24"/>
        </w:rPr>
        <w:t xml:space="preserve">особенности и </w:t>
      </w:r>
      <w:r w:rsidRPr="009761E8">
        <w:rPr>
          <w:rFonts w:ascii="Times New Roman" w:hAnsi="Times New Roman"/>
          <w:sz w:val="24"/>
          <w:szCs w:val="24"/>
        </w:rPr>
        <w:t>специфику ро</w:t>
      </w:r>
      <w:r w:rsidR="00DA56A7" w:rsidRPr="009761E8">
        <w:rPr>
          <w:rFonts w:ascii="Times New Roman" w:hAnsi="Times New Roman"/>
          <w:sz w:val="24"/>
          <w:szCs w:val="24"/>
        </w:rPr>
        <w:t>ссийского экономического уклада.</w:t>
      </w:r>
    </w:p>
    <w:p w:rsidR="00ED0E11" w:rsidRPr="009761E8" w:rsidRDefault="007E456D"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Итогом реализации налоговой политики России стало совершенствование налогового законодательства по регулированию ценообразования в целях налогообложения, в том числе ТЦО. Часть первая НК РФ дополнена новым разд. V.1, </w:t>
      </w:r>
      <w:r w:rsidR="00126CC1" w:rsidRPr="009761E8">
        <w:rPr>
          <w:rFonts w:ascii="Times New Roman" w:hAnsi="Times New Roman"/>
          <w:sz w:val="24"/>
          <w:szCs w:val="24"/>
        </w:rPr>
        <w:t>призванным регулировать</w:t>
      </w:r>
      <w:r w:rsidRPr="009761E8">
        <w:rPr>
          <w:rFonts w:ascii="Times New Roman" w:hAnsi="Times New Roman"/>
          <w:sz w:val="24"/>
          <w:szCs w:val="24"/>
        </w:rPr>
        <w:t xml:space="preserve"> вопросы</w:t>
      </w:r>
      <w:r w:rsidR="00126CC1" w:rsidRPr="009761E8">
        <w:rPr>
          <w:rFonts w:ascii="Times New Roman" w:hAnsi="Times New Roman"/>
          <w:sz w:val="24"/>
          <w:szCs w:val="24"/>
        </w:rPr>
        <w:t xml:space="preserve"> касательно взаимозависимых</w:t>
      </w:r>
      <w:r w:rsidRPr="009761E8">
        <w:rPr>
          <w:rFonts w:ascii="Times New Roman" w:hAnsi="Times New Roman"/>
          <w:sz w:val="24"/>
          <w:szCs w:val="24"/>
        </w:rPr>
        <w:t xml:space="preserve"> лиц для целей налогообложения. </w:t>
      </w:r>
      <w:r w:rsidR="00EC00F3" w:rsidRPr="009761E8">
        <w:rPr>
          <w:rFonts w:ascii="Times New Roman" w:hAnsi="Times New Roman"/>
          <w:sz w:val="24"/>
          <w:szCs w:val="24"/>
        </w:rPr>
        <w:t>Изменения, внесенные законом № 227-ФЗ в НК РФ, значительны как для налоговых органов, так и для органи</w:t>
      </w:r>
      <w:r w:rsidR="00ED0E11" w:rsidRPr="009761E8">
        <w:rPr>
          <w:rFonts w:ascii="Times New Roman" w:hAnsi="Times New Roman"/>
          <w:sz w:val="24"/>
          <w:szCs w:val="24"/>
        </w:rPr>
        <w:t xml:space="preserve">заций. </w:t>
      </w:r>
      <w:r w:rsidR="00126CC1" w:rsidRPr="009761E8">
        <w:rPr>
          <w:rFonts w:ascii="Times New Roman" w:hAnsi="Times New Roman"/>
          <w:sz w:val="24"/>
          <w:szCs w:val="24"/>
        </w:rPr>
        <w:t xml:space="preserve">К наиболее важным коррективам можно отнести: </w:t>
      </w:r>
    </w:p>
    <w:p w:rsidR="00AA7BEB" w:rsidRPr="00CE6E89" w:rsidRDefault="00126CC1" w:rsidP="00CE6E89">
      <w:pPr>
        <w:pStyle w:val="a3"/>
        <w:numPr>
          <w:ilvl w:val="0"/>
          <w:numId w:val="14"/>
        </w:numPr>
        <w:spacing w:after="0" w:line="360" w:lineRule="auto"/>
        <w:jc w:val="both"/>
        <w:rPr>
          <w:rFonts w:ascii="Times New Roman" w:hAnsi="Times New Roman"/>
          <w:sz w:val="24"/>
          <w:szCs w:val="24"/>
        </w:rPr>
      </w:pPr>
      <w:r w:rsidRPr="00CE6E89">
        <w:rPr>
          <w:rFonts w:ascii="Times New Roman" w:hAnsi="Times New Roman"/>
          <w:sz w:val="24"/>
          <w:szCs w:val="24"/>
        </w:rPr>
        <w:t>новая оценка</w:t>
      </w:r>
      <w:r w:rsidR="00EC00F3" w:rsidRPr="00CE6E89">
        <w:rPr>
          <w:rFonts w:ascii="Times New Roman" w:hAnsi="Times New Roman"/>
          <w:sz w:val="24"/>
          <w:szCs w:val="24"/>
        </w:rPr>
        <w:t xml:space="preserve"> </w:t>
      </w:r>
      <w:r w:rsidR="00AA7BEB" w:rsidRPr="00CE6E89">
        <w:rPr>
          <w:rFonts w:ascii="Times New Roman" w:hAnsi="Times New Roman"/>
          <w:sz w:val="24"/>
          <w:szCs w:val="24"/>
        </w:rPr>
        <w:t>перечня</w:t>
      </w:r>
      <w:r w:rsidR="00EC00F3" w:rsidRPr="00CE6E89">
        <w:rPr>
          <w:rFonts w:ascii="Times New Roman" w:hAnsi="Times New Roman"/>
          <w:sz w:val="24"/>
          <w:szCs w:val="24"/>
        </w:rPr>
        <w:t xml:space="preserve"> </w:t>
      </w:r>
      <w:r w:rsidR="00AA7BEB" w:rsidRPr="00CE6E89">
        <w:rPr>
          <w:rFonts w:ascii="Times New Roman" w:hAnsi="Times New Roman"/>
          <w:sz w:val="24"/>
          <w:szCs w:val="24"/>
        </w:rPr>
        <w:t>контролируемых сделок</w:t>
      </w:r>
    </w:p>
    <w:p w:rsidR="00ED0E11" w:rsidRPr="00CE6E89" w:rsidRDefault="00AA7BEB" w:rsidP="00CE6E89">
      <w:pPr>
        <w:pStyle w:val="a3"/>
        <w:numPr>
          <w:ilvl w:val="0"/>
          <w:numId w:val="14"/>
        </w:numPr>
        <w:spacing w:after="0" w:line="360" w:lineRule="auto"/>
        <w:jc w:val="both"/>
        <w:rPr>
          <w:rFonts w:ascii="Times New Roman" w:hAnsi="Times New Roman"/>
          <w:sz w:val="24"/>
          <w:szCs w:val="24"/>
        </w:rPr>
      </w:pPr>
      <w:r w:rsidRPr="00CE6E89">
        <w:rPr>
          <w:rFonts w:ascii="Times New Roman" w:hAnsi="Times New Roman"/>
          <w:sz w:val="24"/>
          <w:szCs w:val="24"/>
        </w:rPr>
        <w:t>расширение круга</w:t>
      </w:r>
      <w:r w:rsidR="00ED0E11" w:rsidRPr="00CE6E89">
        <w:rPr>
          <w:rFonts w:ascii="Times New Roman" w:hAnsi="Times New Roman"/>
          <w:sz w:val="24"/>
          <w:szCs w:val="24"/>
        </w:rPr>
        <w:t xml:space="preserve"> </w:t>
      </w:r>
      <w:r w:rsidR="00126CC1" w:rsidRPr="00CE6E89">
        <w:rPr>
          <w:rFonts w:ascii="Times New Roman" w:hAnsi="Times New Roman"/>
          <w:sz w:val="24"/>
          <w:szCs w:val="24"/>
        </w:rPr>
        <w:t>«</w:t>
      </w:r>
      <w:r w:rsidRPr="00CE6E89">
        <w:rPr>
          <w:rFonts w:ascii="Times New Roman" w:hAnsi="Times New Roman"/>
          <w:sz w:val="24"/>
          <w:szCs w:val="24"/>
        </w:rPr>
        <w:t>взаимосвязанных лиц</w:t>
      </w:r>
      <w:r w:rsidR="00126CC1" w:rsidRPr="00CE6E89">
        <w:rPr>
          <w:rFonts w:ascii="Times New Roman" w:hAnsi="Times New Roman"/>
          <w:sz w:val="24"/>
          <w:szCs w:val="24"/>
        </w:rPr>
        <w:t>»</w:t>
      </w:r>
    </w:p>
    <w:p w:rsidR="00ED0E11" w:rsidRPr="00CE6E89" w:rsidRDefault="00AA7BEB" w:rsidP="00CE6E89">
      <w:pPr>
        <w:pStyle w:val="a3"/>
        <w:numPr>
          <w:ilvl w:val="0"/>
          <w:numId w:val="14"/>
        </w:numPr>
        <w:spacing w:after="0" w:line="360" w:lineRule="auto"/>
        <w:jc w:val="both"/>
        <w:rPr>
          <w:rFonts w:ascii="Times New Roman" w:hAnsi="Times New Roman"/>
          <w:sz w:val="24"/>
          <w:szCs w:val="24"/>
        </w:rPr>
      </w:pPr>
      <w:r w:rsidRPr="00CE6E89">
        <w:rPr>
          <w:rFonts w:ascii="Times New Roman" w:hAnsi="Times New Roman"/>
          <w:sz w:val="24"/>
          <w:szCs w:val="24"/>
        </w:rPr>
        <w:t xml:space="preserve">отмена 20%-ного отклонения, </w:t>
      </w:r>
      <w:r w:rsidR="00EC00F3" w:rsidRPr="00CE6E89">
        <w:rPr>
          <w:rFonts w:ascii="Times New Roman" w:hAnsi="Times New Roman"/>
          <w:sz w:val="24"/>
          <w:szCs w:val="24"/>
        </w:rPr>
        <w:t xml:space="preserve">введение </w:t>
      </w:r>
      <w:r w:rsidRPr="00CE6E89">
        <w:rPr>
          <w:rFonts w:ascii="Times New Roman" w:hAnsi="Times New Roman"/>
          <w:sz w:val="24"/>
          <w:szCs w:val="24"/>
        </w:rPr>
        <w:t xml:space="preserve">термина «интервал </w:t>
      </w:r>
      <w:r w:rsidR="00EC00F3" w:rsidRPr="00CE6E89">
        <w:rPr>
          <w:rFonts w:ascii="Times New Roman" w:hAnsi="Times New Roman"/>
          <w:sz w:val="24"/>
          <w:szCs w:val="24"/>
        </w:rPr>
        <w:t>рыночных цен</w:t>
      </w:r>
      <w:r w:rsidRPr="00CE6E89">
        <w:rPr>
          <w:rFonts w:ascii="Times New Roman" w:hAnsi="Times New Roman"/>
          <w:sz w:val="24"/>
          <w:szCs w:val="24"/>
        </w:rPr>
        <w:t>»</w:t>
      </w:r>
      <w:r w:rsidR="00EC00F3" w:rsidRPr="00CE6E89">
        <w:rPr>
          <w:rFonts w:ascii="Times New Roman" w:hAnsi="Times New Roman"/>
          <w:sz w:val="24"/>
          <w:szCs w:val="24"/>
        </w:rPr>
        <w:t xml:space="preserve"> </w:t>
      </w:r>
    </w:p>
    <w:p w:rsidR="00AA7BEB" w:rsidRPr="00CE6E89" w:rsidRDefault="00AA7BEB" w:rsidP="00CE6E89">
      <w:pPr>
        <w:pStyle w:val="a3"/>
        <w:numPr>
          <w:ilvl w:val="0"/>
          <w:numId w:val="14"/>
        </w:numPr>
        <w:spacing w:after="0" w:line="360" w:lineRule="auto"/>
        <w:jc w:val="both"/>
        <w:rPr>
          <w:rFonts w:ascii="Times New Roman" w:hAnsi="Times New Roman"/>
          <w:sz w:val="24"/>
          <w:szCs w:val="24"/>
        </w:rPr>
      </w:pPr>
      <w:r w:rsidRPr="00CE6E89">
        <w:rPr>
          <w:rFonts w:ascii="Times New Roman" w:hAnsi="Times New Roman"/>
          <w:sz w:val="24"/>
          <w:szCs w:val="24"/>
        </w:rPr>
        <w:t>дополнение методов, используемых при определении трансфертной цены</w:t>
      </w:r>
    </w:p>
    <w:p w:rsidR="00644365" w:rsidRPr="00CE6E89" w:rsidRDefault="00644365" w:rsidP="00CE6E89">
      <w:pPr>
        <w:pStyle w:val="a3"/>
        <w:numPr>
          <w:ilvl w:val="0"/>
          <w:numId w:val="14"/>
        </w:numPr>
        <w:spacing w:after="0" w:line="360" w:lineRule="auto"/>
        <w:jc w:val="both"/>
        <w:rPr>
          <w:rFonts w:ascii="Times New Roman" w:hAnsi="Times New Roman"/>
          <w:sz w:val="24"/>
          <w:szCs w:val="24"/>
        </w:rPr>
      </w:pPr>
      <w:r w:rsidRPr="00CE6E89">
        <w:rPr>
          <w:rFonts w:ascii="Times New Roman" w:hAnsi="Times New Roman"/>
          <w:sz w:val="24"/>
          <w:szCs w:val="24"/>
        </w:rPr>
        <w:t>расширение</w:t>
      </w:r>
      <w:r w:rsidR="00EC00F3" w:rsidRPr="00CE6E89">
        <w:rPr>
          <w:rFonts w:ascii="Times New Roman" w:hAnsi="Times New Roman"/>
          <w:sz w:val="24"/>
          <w:szCs w:val="24"/>
        </w:rPr>
        <w:t xml:space="preserve"> </w:t>
      </w:r>
      <w:r w:rsidRPr="00CE6E89">
        <w:rPr>
          <w:rFonts w:ascii="Times New Roman" w:hAnsi="Times New Roman"/>
          <w:sz w:val="24"/>
          <w:szCs w:val="24"/>
        </w:rPr>
        <w:t>перечня документации</w:t>
      </w:r>
      <w:r w:rsidR="00EC00F3" w:rsidRPr="00CE6E89">
        <w:rPr>
          <w:rFonts w:ascii="Times New Roman" w:hAnsi="Times New Roman"/>
          <w:sz w:val="24"/>
          <w:szCs w:val="24"/>
        </w:rPr>
        <w:t xml:space="preserve"> о контролируемых сделках и </w:t>
      </w:r>
      <w:r w:rsidRPr="00CE6E89">
        <w:rPr>
          <w:rFonts w:ascii="Times New Roman" w:hAnsi="Times New Roman"/>
          <w:sz w:val="24"/>
          <w:szCs w:val="24"/>
        </w:rPr>
        <w:t>ТЦО</w:t>
      </w:r>
    </w:p>
    <w:p w:rsidR="008909B1" w:rsidRPr="00CE6E89" w:rsidRDefault="00644365" w:rsidP="00CE6E89">
      <w:pPr>
        <w:pStyle w:val="a3"/>
        <w:numPr>
          <w:ilvl w:val="0"/>
          <w:numId w:val="14"/>
        </w:numPr>
        <w:spacing w:after="0" w:line="360" w:lineRule="auto"/>
        <w:jc w:val="both"/>
        <w:rPr>
          <w:rFonts w:ascii="Times New Roman" w:hAnsi="Times New Roman"/>
          <w:sz w:val="24"/>
          <w:szCs w:val="24"/>
        </w:rPr>
      </w:pPr>
      <w:r w:rsidRPr="00CE6E89">
        <w:rPr>
          <w:rFonts w:ascii="Times New Roman" w:hAnsi="Times New Roman"/>
          <w:sz w:val="24"/>
          <w:szCs w:val="24"/>
        </w:rPr>
        <w:t>введение новых штрафов за нарушение законодательства</w:t>
      </w:r>
    </w:p>
    <w:p w:rsidR="00EC00F3" w:rsidRPr="009761E8" w:rsidRDefault="008909B1"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lastRenderedPageBreak/>
        <w:t>Статья</w:t>
      </w:r>
      <w:r w:rsidR="00EC00F3" w:rsidRPr="009761E8">
        <w:rPr>
          <w:rFonts w:ascii="Times New Roman" w:hAnsi="Times New Roman"/>
          <w:sz w:val="24"/>
          <w:szCs w:val="24"/>
        </w:rPr>
        <w:t xml:space="preserve"> 105.14 НК РФ</w:t>
      </w:r>
      <w:r w:rsidRPr="009761E8">
        <w:rPr>
          <w:rFonts w:ascii="Times New Roman" w:hAnsi="Times New Roman"/>
          <w:sz w:val="24"/>
          <w:szCs w:val="24"/>
        </w:rPr>
        <w:t xml:space="preserve"> определяет перечень контролируемых сделок</w:t>
      </w:r>
      <w:r w:rsidR="00EC00F3" w:rsidRPr="009761E8">
        <w:rPr>
          <w:rFonts w:ascii="Times New Roman" w:hAnsi="Times New Roman"/>
          <w:sz w:val="24"/>
          <w:szCs w:val="24"/>
        </w:rPr>
        <w:t xml:space="preserve">. </w:t>
      </w:r>
      <w:r w:rsidRPr="009761E8">
        <w:rPr>
          <w:rFonts w:ascii="Times New Roman" w:hAnsi="Times New Roman"/>
          <w:sz w:val="24"/>
          <w:szCs w:val="24"/>
        </w:rPr>
        <w:t xml:space="preserve">Важно заметить, что контролю подлежат не только </w:t>
      </w:r>
      <w:r w:rsidR="00EC00F3" w:rsidRPr="009761E8">
        <w:rPr>
          <w:rFonts w:ascii="Times New Roman" w:hAnsi="Times New Roman"/>
          <w:sz w:val="24"/>
          <w:szCs w:val="24"/>
        </w:rPr>
        <w:t>сд</w:t>
      </w:r>
      <w:r w:rsidRPr="009761E8">
        <w:rPr>
          <w:rFonts w:ascii="Times New Roman" w:hAnsi="Times New Roman"/>
          <w:sz w:val="24"/>
          <w:szCs w:val="24"/>
        </w:rPr>
        <w:t>елки с взаимозависимыми лицами, но и</w:t>
      </w:r>
      <w:r w:rsidR="00EC00F3" w:rsidRPr="009761E8">
        <w:rPr>
          <w:rFonts w:ascii="Times New Roman" w:hAnsi="Times New Roman"/>
          <w:sz w:val="24"/>
          <w:szCs w:val="24"/>
        </w:rPr>
        <w:t xml:space="preserve"> сделки, </w:t>
      </w:r>
      <w:r w:rsidRPr="009761E8">
        <w:rPr>
          <w:rFonts w:ascii="Times New Roman" w:hAnsi="Times New Roman"/>
          <w:sz w:val="24"/>
          <w:szCs w:val="24"/>
        </w:rPr>
        <w:t>которые могут быть приравнены</w:t>
      </w:r>
      <w:r w:rsidR="00EC00F3" w:rsidRPr="009761E8">
        <w:rPr>
          <w:rFonts w:ascii="Times New Roman" w:hAnsi="Times New Roman"/>
          <w:sz w:val="24"/>
          <w:szCs w:val="24"/>
        </w:rPr>
        <w:t xml:space="preserve"> к сделкам с взаимозависимыми лицами.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На </w:t>
      </w:r>
      <w:r w:rsidR="008909B1" w:rsidRPr="009761E8">
        <w:rPr>
          <w:rFonts w:ascii="Times New Roman" w:hAnsi="Times New Roman"/>
          <w:sz w:val="24"/>
          <w:szCs w:val="24"/>
        </w:rPr>
        <w:t xml:space="preserve">основании вышеназванной статьи к внутренним сделкам </w:t>
      </w:r>
      <w:r w:rsidRPr="009761E8">
        <w:rPr>
          <w:rFonts w:ascii="Times New Roman" w:hAnsi="Times New Roman"/>
          <w:sz w:val="24"/>
          <w:szCs w:val="24"/>
        </w:rPr>
        <w:t>между взаимозависимыми лицами</w:t>
      </w:r>
      <w:r w:rsidR="008909B1" w:rsidRPr="009761E8">
        <w:rPr>
          <w:rFonts w:ascii="Times New Roman" w:hAnsi="Times New Roman"/>
          <w:sz w:val="24"/>
          <w:szCs w:val="24"/>
        </w:rPr>
        <w:t xml:space="preserve"> относят следующие операции</w:t>
      </w:r>
      <w:r w:rsidRPr="009761E8">
        <w:rPr>
          <w:rFonts w:ascii="Times New Roman" w:hAnsi="Times New Roman"/>
          <w:sz w:val="24"/>
          <w:szCs w:val="24"/>
        </w:rPr>
        <w:t xml:space="preserve">: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1) сделки, </w:t>
      </w:r>
      <w:r w:rsidR="008909B1" w:rsidRPr="009761E8">
        <w:rPr>
          <w:rFonts w:ascii="Times New Roman" w:hAnsi="Times New Roman"/>
          <w:sz w:val="24"/>
          <w:szCs w:val="24"/>
        </w:rPr>
        <w:t>суммарная цена которых за календарный год превышает</w:t>
      </w:r>
      <w:r w:rsidRPr="009761E8">
        <w:rPr>
          <w:rFonts w:ascii="Times New Roman" w:hAnsi="Times New Roman"/>
          <w:sz w:val="24"/>
          <w:szCs w:val="24"/>
        </w:rPr>
        <w:t xml:space="preserve"> 1 млрд. руб.;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2) </w:t>
      </w:r>
      <w:r w:rsidR="008909B1" w:rsidRPr="009761E8">
        <w:rPr>
          <w:rFonts w:ascii="Times New Roman" w:hAnsi="Times New Roman"/>
          <w:sz w:val="24"/>
          <w:szCs w:val="24"/>
        </w:rPr>
        <w:t>сделки,</w:t>
      </w:r>
      <w:r w:rsidRPr="009761E8">
        <w:rPr>
          <w:rFonts w:ascii="Times New Roman" w:hAnsi="Times New Roman"/>
          <w:sz w:val="24"/>
          <w:szCs w:val="24"/>
        </w:rPr>
        <w:t xml:space="preserve"> </w:t>
      </w:r>
      <w:r w:rsidR="008909B1" w:rsidRPr="009761E8">
        <w:rPr>
          <w:rFonts w:ascii="Times New Roman" w:hAnsi="Times New Roman"/>
          <w:sz w:val="24"/>
          <w:szCs w:val="24"/>
        </w:rPr>
        <w:t xml:space="preserve">связанные </w:t>
      </w:r>
      <w:r w:rsidRPr="009761E8">
        <w:rPr>
          <w:rFonts w:ascii="Times New Roman" w:hAnsi="Times New Roman"/>
          <w:sz w:val="24"/>
          <w:szCs w:val="24"/>
        </w:rPr>
        <w:t xml:space="preserve">с </w:t>
      </w:r>
      <w:r w:rsidR="008909B1" w:rsidRPr="009761E8">
        <w:rPr>
          <w:rFonts w:ascii="Times New Roman" w:hAnsi="Times New Roman"/>
          <w:sz w:val="24"/>
          <w:szCs w:val="24"/>
        </w:rPr>
        <w:t>добычей полезных ископаемых,</w:t>
      </w:r>
      <w:r w:rsidRPr="009761E8">
        <w:rPr>
          <w:rFonts w:ascii="Times New Roman" w:hAnsi="Times New Roman"/>
          <w:sz w:val="24"/>
          <w:szCs w:val="24"/>
        </w:rPr>
        <w:t xml:space="preserve"> </w:t>
      </w:r>
      <w:r w:rsidR="00CE6E89">
        <w:rPr>
          <w:rFonts w:ascii="Times New Roman" w:hAnsi="Times New Roman"/>
          <w:sz w:val="24"/>
          <w:szCs w:val="24"/>
        </w:rPr>
        <w:t>котор</w:t>
      </w:r>
      <w:r w:rsidR="008909B1" w:rsidRPr="009761E8">
        <w:rPr>
          <w:rFonts w:ascii="Times New Roman" w:hAnsi="Times New Roman"/>
          <w:sz w:val="24"/>
          <w:szCs w:val="24"/>
        </w:rPr>
        <w:t xml:space="preserve">ые </w:t>
      </w:r>
      <w:r w:rsidRPr="009761E8">
        <w:rPr>
          <w:rFonts w:ascii="Times New Roman" w:hAnsi="Times New Roman"/>
          <w:sz w:val="24"/>
          <w:szCs w:val="24"/>
        </w:rPr>
        <w:t>об</w:t>
      </w:r>
      <w:r w:rsidR="008909B1" w:rsidRPr="009761E8">
        <w:rPr>
          <w:rFonts w:ascii="Times New Roman" w:hAnsi="Times New Roman"/>
          <w:sz w:val="24"/>
          <w:szCs w:val="24"/>
        </w:rPr>
        <w:t>лагаю</w:t>
      </w:r>
      <w:r w:rsidRPr="009761E8">
        <w:rPr>
          <w:rFonts w:ascii="Times New Roman" w:hAnsi="Times New Roman"/>
          <w:sz w:val="24"/>
          <w:szCs w:val="24"/>
        </w:rPr>
        <w:t xml:space="preserve">тся налогом на добычу полезных ископаемы (далее – НДПИ) по адвалорной ставке (в процентах от стоимости), </w:t>
      </w:r>
      <w:r w:rsidR="008909B1" w:rsidRPr="009761E8">
        <w:rPr>
          <w:rFonts w:ascii="Times New Roman" w:hAnsi="Times New Roman"/>
          <w:sz w:val="24"/>
          <w:szCs w:val="24"/>
        </w:rPr>
        <w:t xml:space="preserve">в случае если суммарный доход двух сторон от совершения сделки превышает порог в </w:t>
      </w:r>
      <w:r w:rsidRPr="009761E8">
        <w:rPr>
          <w:rFonts w:ascii="Times New Roman" w:hAnsi="Times New Roman"/>
          <w:sz w:val="24"/>
          <w:szCs w:val="24"/>
        </w:rPr>
        <w:t xml:space="preserve">60 млн. руб. за год;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3) сделки, в которых одна </w:t>
      </w:r>
      <w:r w:rsidR="008909B1" w:rsidRPr="009761E8">
        <w:rPr>
          <w:rFonts w:ascii="Times New Roman" w:hAnsi="Times New Roman"/>
          <w:sz w:val="24"/>
          <w:szCs w:val="24"/>
        </w:rPr>
        <w:t>попадает под категорию лиц, уплачивающих</w:t>
      </w:r>
      <w:r w:rsidRPr="009761E8">
        <w:rPr>
          <w:rFonts w:ascii="Times New Roman" w:hAnsi="Times New Roman"/>
          <w:sz w:val="24"/>
          <w:szCs w:val="24"/>
        </w:rPr>
        <w:t xml:space="preserve"> единый налог на вмененный доход (далее – ЕНВД) или единый сельскохозяйственны</w:t>
      </w:r>
      <w:r w:rsidR="008909B1" w:rsidRPr="009761E8">
        <w:rPr>
          <w:rFonts w:ascii="Times New Roman" w:hAnsi="Times New Roman"/>
          <w:sz w:val="24"/>
          <w:szCs w:val="24"/>
        </w:rPr>
        <w:t>й налог (далее – ЕСХН), а другой хозяйствующий субъект</w:t>
      </w:r>
      <w:r w:rsidRPr="009761E8">
        <w:rPr>
          <w:rFonts w:ascii="Times New Roman" w:hAnsi="Times New Roman"/>
          <w:sz w:val="24"/>
          <w:szCs w:val="24"/>
        </w:rPr>
        <w:t xml:space="preserve"> </w:t>
      </w:r>
      <w:r w:rsidR="008909B1" w:rsidRPr="009761E8">
        <w:rPr>
          <w:rFonts w:ascii="Times New Roman" w:hAnsi="Times New Roman"/>
          <w:sz w:val="24"/>
          <w:szCs w:val="24"/>
        </w:rPr>
        <w:t xml:space="preserve">облагется по </w:t>
      </w:r>
      <w:r w:rsidRPr="009761E8">
        <w:rPr>
          <w:rFonts w:ascii="Times New Roman" w:hAnsi="Times New Roman"/>
          <w:sz w:val="24"/>
          <w:szCs w:val="24"/>
        </w:rPr>
        <w:t>общей системе</w:t>
      </w:r>
      <w:r w:rsidR="008909B1" w:rsidRPr="009761E8">
        <w:rPr>
          <w:rFonts w:ascii="Times New Roman" w:hAnsi="Times New Roman"/>
          <w:sz w:val="24"/>
          <w:szCs w:val="24"/>
        </w:rPr>
        <w:t>, то есть не имеет преференций.</w:t>
      </w:r>
      <w:r w:rsidRPr="009761E8">
        <w:rPr>
          <w:rFonts w:ascii="Times New Roman" w:hAnsi="Times New Roman"/>
          <w:sz w:val="24"/>
          <w:szCs w:val="24"/>
        </w:rPr>
        <w:t xml:space="preserve"> При этом сами сделки должны быть заключены в рамках деятельности, переведенной на уплату ЕНВД или ЕСХН. </w:t>
      </w:r>
      <w:r w:rsidR="00FE5BB9" w:rsidRPr="009761E8">
        <w:rPr>
          <w:rFonts w:ascii="Times New Roman" w:hAnsi="Times New Roman"/>
          <w:sz w:val="24"/>
          <w:szCs w:val="24"/>
        </w:rPr>
        <w:t>Чтобы</w:t>
      </w:r>
      <w:r w:rsidRPr="009761E8">
        <w:rPr>
          <w:rFonts w:ascii="Times New Roman" w:hAnsi="Times New Roman"/>
          <w:sz w:val="24"/>
          <w:szCs w:val="24"/>
        </w:rPr>
        <w:t xml:space="preserve"> приз</w:t>
      </w:r>
      <w:r w:rsidR="00FE5BB9" w:rsidRPr="009761E8">
        <w:rPr>
          <w:rFonts w:ascii="Times New Roman" w:hAnsi="Times New Roman"/>
          <w:sz w:val="24"/>
          <w:szCs w:val="24"/>
        </w:rPr>
        <w:t>нать</w:t>
      </w:r>
      <w:r w:rsidRPr="009761E8">
        <w:rPr>
          <w:rFonts w:ascii="Times New Roman" w:hAnsi="Times New Roman"/>
          <w:sz w:val="24"/>
          <w:szCs w:val="24"/>
        </w:rPr>
        <w:t xml:space="preserve"> </w:t>
      </w:r>
      <w:r w:rsidR="00FE5BB9" w:rsidRPr="009761E8">
        <w:rPr>
          <w:rFonts w:ascii="Times New Roman" w:hAnsi="Times New Roman"/>
          <w:sz w:val="24"/>
          <w:szCs w:val="24"/>
        </w:rPr>
        <w:t>такую сделку</w:t>
      </w:r>
      <w:r w:rsidRPr="009761E8">
        <w:rPr>
          <w:rFonts w:ascii="Times New Roman" w:hAnsi="Times New Roman"/>
          <w:sz w:val="24"/>
          <w:szCs w:val="24"/>
        </w:rPr>
        <w:t xml:space="preserve"> контролируемой</w:t>
      </w:r>
      <w:r w:rsidR="00FE5BB9" w:rsidRPr="009761E8">
        <w:rPr>
          <w:rFonts w:ascii="Times New Roman" w:hAnsi="Times New Roman"/>
          <w:sz w:val="24"/>
          <w:szCs w:val="24"/>
        </w:rPr>
        <w:t>,</w:t>
      </w:r>
      <w:r w:rsidRPr="009761E8">
        <w:rPr>
          <w:rFonts w:ascii="Times New Roman" w:hAnsi="Times New Roman"/>
          <w:sz w:val="24"/>
          <w:szCs w:val="24"/>
        </w:rPr>
        <w:t xml:space="preserve"> сумма доходов по сделке должна превышать 100 млн. руб. за</w:t>
      </w:r>
      <w:r w:rsidR="00E31BAD" w:rsidRPr="009761E8">
        <w:rPr>
          <w:rFonts w:ascii="Times New Roman" w:hAnsi="Times New Roman"/>
          <w:sz w:val="24"/>
          <w:szCs w:val="24"/>
        </w:rPr>
        <w:t xml:space="preserve"> отчетный</w:t>
      </w:r>
      <w:r w:rsidRPr="009761E8">
        <w:rPr>
          <w:rFonts w:ascii="Times New Roman" w:hAnsi="Times New Roman"/>
          <w:sz w:val="24"/>
          <w:szCs w:val="24"/>
        </w:rPr>
        <w:t xml:space="preserve"> год;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4) сделки, в которых одна из сторон освобождена от обязанностей налогоплательщика по налогу на прибыль, а другая сторона (стороны) платит налог на прибыль. При этом сумма доходов по сделкам между этими лицами превышает 60 млн. руб.;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5) сделки, в которых одна из сторон является участником проекта «Сколково» и применяет ставку налога на прибыль в размере 0%, а другая сторона (стороны) платит налог на прибыль. При этом сумма доходов по сделкам между этими лицами превышает 60 млн. руб. за год; 6) сделки, в которых одна сторона является резидентом особой экономической зоны со специальными налоговыми льготами по налогу на прибыль, а другая сторона (стороны) - нет. Такие сделки будут контролируемыми, если у сторон сумма доходов по этим сделкам превысит 60 млн. руб. в год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К контролируемым сделкам </w:t>
      </w:r>
      <w:r w:rsidR="003E7954" w:rsidRPr="009761E8">
        <w:rPr>
          <w:rFonts w:ascii="Times New Roman" w:hAnsi="Times New Roman"/>
          <w:sz w:val="24"/>
          <w:szCs w:val="24"/>
        </w:rPr>
        <w:t>в соответствии с новыми правилами также принято относить</w:t>
      </w:r>
      <w:r w:rsidRPr="009761E8">
        <w:rPr>
          <w:rFonts w:ascii="Times New Roman" w:hAnsi="Times New Roman"/>
          <w:sz w:val="24"/>
          <w:szCs w:val="24"/>
        </w:rPr>
        <w:t xml:space="preserve"> сделки, приравненные к сделкам с взаимозависимыми лицами: </w:t>
      </w:r>
    </w:p>
    <w:p w:rsidR="00EC00F3" w:rsidRPr="009761E8" w:rsidRDefault="003E7954"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1. </w:t>
      </w:r>
      <w:r w:rsidR="00EC00F3" w:rsidRPr="009761E8">
        <w:rPr>
          <w:rFonts w:ascii="Times New Roman" w:hAnsi="Times New Roman"/>
          <w:sz w:val="24"/>
          <w:szCs w:val="24"/>
        </w:rPr>
        <w:t xml:space="preserve">Сделки в области внешней торговли товарами мировой биржевой торговли (нефть и товары, выработанные из нефти, черные металлы, цветные металлы, минеральные удобрения, драгоценные металлы и драгоценные камни). Такие сделки будут контролируемыми, если </w:t>
      </w:r>
      <w:r w:rsidR="008609BF" w:rsidRPr="009761E8">
        <w:rPr>
          <w:rFonts w:ascii="Times New Roman" w:hAnsi="Times New Roman"/>
          <w:sz w:val="24"/>
          <w:szCs w:val="24"/>
        </w:rPr>
        <w:t>суммарный доход от этих сделок превышает</w:t>
      </w:r>
      <w:r w:rsidR="00EC00F3" w:rsidRPr="009761E8">
        <w:rPr>
          <w:rFonts w:ascii="Times New Roman" w:hAnsi="Times New Roman"/>
          <w:sz w:val="24"/>
          <w:szCs w:val="24"/>
        </w:rPr>
        <w:t xml:space="preserve"> 60 млн. руб. в год. </w:t>
      </w:r>
    </w:p>
    <w:p w:rsidR="00B61B6E" w:rsidRDefault="008609BF"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lastRenderedPageBreak/>
        <w:t xml:space="preserve">2. </w:t>
      </w:r>
      <w:r w:rsidR="00EC00F3" w:rsidRPr="009761E8">
        <w:rPr>
          <w:rFonts w:ascii="Times New Roman" w:hAnsi="Times New Roman"/>
          <w:sz w:val="24"/>
          <w:szCs w:val="24"/>
        </w:rPr>
        <w:t xml:space="preserve">Сделки, </w:t>
      </w:r>
      <w:r w:rsidRPr="009761E8">
        <w:rPr>
          <w:rFonts w:ascii="Times New Roman" w:hAnsi="Times New Roman"/>
          <w:sz w:val="24"/>
          <w:szCs w:val="24"/>
        </w:rPr>
        <w:t xml:space="preserve">производимые компаниями, одна из которых зарегистрирована в оффшорной зоне. </w:t>
      </w:r>
      <w:r w:rsidR="00EC00F3" w:rsidRPr="009761E8">
        <w:rPr>
          <w:rFonts w:ascii="Times New Roman" w:hAnsi="Times New Roman"/>
          <w:sz w:val="24"/>
          <w:szCs w:val="24"/>
        </w:rPr>
        <w:t xml:space="preserve">Сумма доходов </w:t>
      </w:r>
      <w:r w:rsidRPr="009761E8">
        <w:rPr>
          <w:rFonts w:ascii="Times New Roman" w:hAnsi="Times New Roman"/>
          <w:sz w:val="24"/>
          <w:szCs w:val="24"/>
        </w:rPr>
        <w:t>от подобных сделок</w:t>
      </w:r>
      <w:r w:rsidR="00EC00F3" w:rsidRPr="009761E8">
        <w:rPr>
          <w:rFonts w:ascii="Times New Roman" w:hAnsi="Times New Roman"/>
          <w:sz w:val="24"/>
          <w:szCs w:val="24"/>
        </w:rPr>
        <w:t xml:space="preserve"> должна </w:t>
      </w:r>
      <w:r w:rsidRPr="009761E8">
        <w:rPr>
          <w:rFonts w:ascii="Times New Roman" w:hAnsi="Times New Roman"/>
          <w:sz w:val="24"/>
          <w:szCs w:val="24"/>
        </w:rPr>
        <w:t>быть выше</w:t>
      </w:r>
      <w:r w:rsidR="00B61B6E">
        <w:rPr>
          <w:rFonts w:ascii="Times New Roman" w:hAnsi="Times New Roman"/>
          <w:sz w:val="24"/>
          <w:szCs w:val="24"/>
        </w:rPr>
        <w:t xml:space="preserve"> 60 млн. руб. за год. </w:t>
      </w:r>
    </w:p>
    <w:p w:rsidR="00EC00F3" w:rsidRPr="009761E8" w:rsidRDefault="008609BF"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3. Все виды сделок</w:t>
      </w:r>
      <w:r w:rsidR="00EC00F3" w:rsidRPr="009761E8">
        <w:rPr>
          <w:rFonts w:ascii="Times New Roman" w:hAnsi="Times New Roman"/>
          <w:sz w:val="24"/>
          <w:szCs w:val="24"/>
        </w:rPr>
        <w:t xml:space="preserve"> по продаже товаров</w:t>
      </w:r>
      <w:r w:rsidRPr="009761E8">
        <w:rPr>
          <w:rFonts w:ascii="Times New Roman" w:hAnsi="Times New Roman"/>
          <w:sz w:val="24"/>
          <w:szCs w:val="24"/>
        </w:rPr>
        <w:t xml:space="preserve"> или услуг производимые</w:t>
      </w:r>
      <w:r w:rsidR="00EC00F3" w:rsidRPr="009761E8">
        <w:rPr>
          <w:rFonts w:ascii="Times New Roman" w:hAnsi="Times New Roman"/>
          <w:sz w:val="24"/>
          <w:szCs w:val="24"/>
        </w:rPr>
        <w:t xml:space="preserve"> между взаимозависимыми лицами </w:t>
      </w:r>
      <w:r w:rsidRPr="009761E8">
        <w:rPr>
          <w:rFonts w:ascii="Times New Roman" w:hAnsi="Times New Roman"/>
          <w:sz w:val="24"/>
          <w:szCs w:val="24"/>
        </w:rPr>
        <w:t>при участии</w:t>
      </w:r>
      <w:r w:rsidR="00EC00F3" w:rsidRPr="009761E8">
        <w:rPr>
          <w:rFonts w:ascii="Times New Roman" w:hAnsi="Times New Roman"/>
          <w:sz w:val="24"/>
          <w:szCs w:val="24"/>
        </w:rPr>
        <w:t xml:space="preserve"> формальных посредников. </w:t>
      </w:r>
    </w:p>
    <w:p w:rsidR="00EC00F3" w:rsidRPr="009761E8" w:rsidRDefault="008609BF"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Несмотря на то, что НК не предусматривает такого термина как «формальные посредники», тем не менее в рамках закона под этим понятием подразумевается</w:t>
      </w:r>
      <w:r w:rsidR="00E74FC6" w:rsidRPr="009761E8">
        <w:rPr>
          <w:rFonts w:ascii="Times New Roman" w:hAnsi="Times New Roman"/>
          <w:sz w:val="24"/>
          <w:szCs w:val="24"/>
        </w:rPr>
        <w:t xml:space="preserve"> лица, которые выполняю</w:t>
      </w:r>
      <w:r w:rsidR="00EC00F3" w:rsidRPr="009761E8">
        <w:rPr>
          <w:rFonts w:ascii="Times New Roman" w:hAnsi="Times New Roman"/>
          <w:sz w:val="24"/>
          <w:szCs w:val="24"/>
        </w:rPr>
        <w:t xml:space="preserve">т </w:t>
      </w:r>
      <w:r w:rsidR="00E74FC6" w:rsidRPr="009761E8">
        <w:rPr>
          <w:rFonts w:ascii="Times New Roman" w:hAnsi="Times New Roman"/>
          <w:sz w:val="24"/>
          <w:szCs w:val="24"/>
        </w:rPr>
        <w:t>при проведении сделки</w:t>
      </w:r>
      <w:r w:rsidR="00EC00F3" w:rsidRPr="009761E8">
        <w:rPr>
          <w:rFonts w:ascii="Times New Roman" w:hAnsi="Times New Roman"/>
          <w:sz w:val="24"/>
          <w:szCs w:val="24"/>
        </w:rPr>
        <w:t xml:space="preserve"> </w:t>
      </w:r>
      <w:r w:rsidR="00E74FC6" w:rsidRPr="009761E8">
        <w:rPr>
          <w:rFonts w:ascii="Times New Roman" w:hAnsi="Times New Roman"/>
          <w:sz w:val="24"/>
          <w:szCs w:val="24"/>
        </w:rPr>
        <w:t xml:space="preserve">роль </w:t>
      </w:r>
      <w:r w:rsidR="00EC00F3" w:rsidRPr="009761E8">
        <w:rPr>
          <w:rFonts w:ascii="Times New Roman" w:hAnsi="Times New Roman"/>
          <w:sz w:val="24"/>
          <w:szCs w:val="24"/>
        </w:rPr>
        <w:t>организа</w:t>
      </w:r>
      <w:r w:rsidR="00E74FC6" w:rsidRPr="009761E8">
        <w:rPr>
          <w:rFonts w:ascii="Times New Roman" w:hAnsi="Times New Roman"/>
          <w:sz w:val="24"/>
          <w:szCs w:val="24"/>
        </w:rPr>
        <w:t>тора и реализатора</w:t>
      </w:r>
      <w:r w:rsidR="00EC00F3" w:rsidRPr="009761E8">
        <w:rPr>
          <w:rFonts w:ascii="Times New Roman" w:hAnsi="Times New Roman"/>
          <w:sz w:val="24"/>
          <w:szCs w:val="24"/>
        </w:rPr>
        <w:t xml:space="preserve"> </w:t>
      </w:r>
      <w:r w:rsidR="00E74FC6" w:rsidRPr="009761E8">
        <w:rPr>
          <w:rFonts w:ascii="Times New Roman" w:hAnsi="Times New Roman"/>
          <w:sz w:val="24"/>
          <w:szCs w:val="24"/>
        </w:rPr>
        <w:t>продукции и услуг</w:t>
      </w:r>
      <w:r w:rsidR="00EC00F3" w:rsidRPr="009761E8">
        <w:rPr>
          <w:rFonts w:ascii="Times New Roman" w:hAnsi="Times New Roman"/>
          <w:sz w:val="24"/>
          <w:szCs w:val="24"/>
        </w:rPr>
        <w:t xml:space="preserve">, </w:t>
      </w:r>
      <w:r w:rsidR="00E74FC6" w:rsidRPr="009761E8">
        <w:rPr>
          <w:rFonts w:ascii="Times New Roman" w:hAnsi="Times New Roman"/>
          <w:sz w:val="24"/>
          <w:szCs w:val="24"/>
        </w:rPr>
        <w:t>не принимая при этом на себя каких-либо рисков, не используя собственных активов для осуществления данной деятельности.</w:t>
      </w:r>
    </w:p>
    <w:p w:rsidR="00EC00F3" w:rsidRPr="009761E8" w:rsidRDefault="00E74FC6"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Для определения формальных посредников как таковых необходимо обратиться к НК, которым регламентируются четкие правила по данному вопросу: разъясняются функции, которые могут быть выполнены участники сделок, какой риск при этом они понесут.</w:t>
      </w:r>
    </w:p>
    <w:p w:rsidR="00EC00F3" w:rsidRPr="009761E8" w:rsidRDefault="00FB0C7D"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На сегодняшний день статья</w:t>
      </w:r>
      <w:r w:rsidR="00EC00F3" w:rsidRPr="009761E8">
        <w:rPr>
          <w:rFonts w:ascii="Times New Roman" w:hAnsi="Times New Roman"/>
          <w:sz w:val="24"/>
          <w:szCs w:val="24"/>
        </w:rPr>
        <w:t xml:space="preserve"> 105.16 НК РФ</w:t>
      </w:r>
      <w:r w:rsidRPr="009761E8">
        <w:rPr>
          <w:rFonts w:ascii="Times New Roman" w:hAnsi="Times New Roman"/>
          <w:sz w:val="24"/>
          <w:szCs w:val="24"/>
        </w:rPr>
        <w:t xml:space="preserve"> говорит, что налогоплательщики обязуются</w:t>
      </w:r>
      <w:r w:rsidR="00EC00F3" w:rsidRPr="009761E8">
        <w:rPr>
          <w:rFonts w:ascii="Times New Roman" w:hAnsi="Times New Roman"/>
          <w:sz w:val="24"/>
          <w:szCs w:val="24"/>
        </w:rPr>
        <w:t xml:space="preserve"> уведомлять налоговые органы о совершенных ими в календарном году контролируемых сделках, в ином случае он</w:t>
      </w:r>
      <w:r w:rsidRPr="009761E8">
        <w:rPr>
          <w:rFonts w:ascii="Times New Roman" w:hAnsi="Times New Roman"/>
          <w:sz w:val="24"/>
          <w:szCs w:val="24"/>
        </w:rPr>
        <w:t>и привлекаю</w:t>
      </w:r>
      <w:r w:rsidR="00EC00F3" w:rsidRPr="009761E8">
        <w:rPr>
          <w:rFonts w:ascii="Times New Roman" w:hAnsi="Times New Roman"/>
          <w:sz w:val="24"/>
          <w:szCs w:val="24"/>
        </w:rPr>
        <w:t xml:space="preserve">тся к налоговой ответственности в соответствии со ст. 129.1 НК РФ. </w:t>
      </w:r>
      <w:r w:rsidR="00ED0E11" w:rsidRPr="009761E8">
        <w:rPr>
          <w:rFonts w:ascii="Times New Roman" w:hAnsi="Times New Roman"/>
          <w:sz w:val="24"/>
          <w:szCs w:val="24"/>
        </w:rPr>
        <w:t xml:space="preserve"> </w:t>
      </w:r>
      <w:r w:rsidRPr="009761E8">
        <w:rPr>
          <w:rFonts w:ascii="Times New Roman" w:hAnsi="Times New Roman"/>
          <w:sz w:val="24"/>
          <w:szCs w:val="24"/>
        </w:rPr>
        <w:t>Лица, которые не направили специализированное уведомление в налоговые органы по месту пребывания о проведенных сделках в предшествующем календарном году до 20 мая текущего года подлежат наложению штрафа, как и в случае предоставления недостоверной информации о сделках, в размере 5000 руб.</w:t>
      </w:r>
      <w:r w:rsidR="00EC00F3" w:rsidRPr="009761E8">
        <w:rPr>
          <w:rFonts w:ascii="Times New Roman" w:hAnsi="Times New Roman"/>
          <w:sz w:val="24"/>
          <w:szCs w:val="24"/>
        </w:rPr>
        <w:t xml:space="preserve"> </w:t>
      </w:r>
    </w:p>
    <w:p w:rsidR="00ED0E11" w:rsidRPr="009761E8" w:rsidRDefault="0081633A"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При передаче</w:t>
      </w:r>
      <w:r w:rsidR="00FB0C7D" w:rsidRPr="009761E8">
        <w:rPr>
          <w:rFonts w:ascii="Times New Roman" w:hAnsi="Times New Roman"/>
          <w:sz w:val="24"/>
          <w:szCs w:val="24"/>
        </w:rPr>
        <w:t xml:space="preserve"> уведомления Федеральной Налоговой Службе (далее – ФНС) может быть произведена проверка цен на предмет их соответствия</w:t>
      </w:r>
      <w:r w:rsidR="00EC00F3" w:rsidRPr="009761E8">
        <w:rPr>
          <w:rFonts w:ascii="Times New Roman" w:hAnsi="Times New Roman"/>
          <w:sz w:val="24"/>
          <w:szCs w:val="24"/>
        </w:rPr>
        <w:t xml:space="preserve"> рыночным </w:t>
      </w:r>
      <w:r w:rsidR="00FB0C7D" w:rsidRPr="009761E8">
        <w:rPr>
          <w:rFonts w:ascii="Times New Roman" w:hAnsi="Times New Roman"/>
          <w:sz w:val="24"/>
          <w:szCs w:val="24"/>
        </w:rPr>
        <w:t>на нижеперечисленных основаниях</w:t>
      </w:r>
      <w:r w:rsidR="00EC00F3" w:rsidRPr="009761E8">
        <w:rPr>
          <w:rFonts w:ascii="Times New Roman" w:hAnsi="Times New Roman"/>
          <w:sz w:val="24"/>
          <w:szCs w:val="24"/>
        </w:rPr>
        <w:t xml:space="preserve">: </w:t>
      </w:r>
    </w:p>
    <w:p w:rsidR="007C07FD" w:rsidRPr="00CE6E89" w:rsidRDefault="007C07FD" w:rsidP="00CE6E89">
      <w:pPr>
        <w:pStyle w:val="a3"/>
        <w:numPr>
          <w:ilvl w:val="0"/>
          <w:numId w:val="16"/>
        </w:numPr>
        <w:spacing w:after="0" w:line="360" w:lineRule="auto"/>
        <w:jc w:val="both"/>
        <w:rPr>
          <w:rFonts w:ascii="Times New Roman" w:hAnsi="Times New Roman"/>
          <w:sz w:val="24"/>
          <w:szCs w:val="24"/>
        </w:rPr>
      </w:pPr>
      <w:r w:rsidRPr="00CE6E89">
        <w:rPr>
          <w:rFonts w:ascii="Times New Roman" w:hAnsi="Times New Roman"/>
          <w:sz w:val="24"/>
          <w:szCs w:val="24"/>
        </w:rPr>
        <w:t>самостоятельном уведомлении налогоплательщиками о контролируемой сделке, направленной</w:t>
      </w:r>
      <w:r w:rsidR="00EC00F3" w:rsidRPr="00CE6E89">
        <w:rPr>
          <w:rFonts w:ascii="Times New Roman" w:hAnsi="Times New Roman"/>
          <w:sz w:val="24"/>
          <w:szCs w:val="24"/>
        </w:rPr>
        <w:t xml:space="preserve"> в </w:t>
      </w:r>
      <w:r w:rsidRPr="00CE6E89">
        <w:rPr>
          <w:rFonts w:ascii="Times New Roman" w:hAnsi="Times New Roman"/>
          <w:sz w:val="24"/>
          <w:szCs w:val="24"/>
        </w:rPr>
        <w:t xml:space="preserve">инспекцию </w:t>
      </w:r>
      <w:r w:rsidR="00EC00F3" w:rsidRPr="00CE6E89">
        <w:rPr>
          <w:rFonts w:ascii="Times New Roman" w:hAnsi="Times New Roman"/>
          <w:sz w:val="24"/>
          <w:szCs w:val="24"/>
        </w:rPr>
        <w:t xml:space="preserve">ФНС </w:t>
      </w:r>
      <w:r w:rsidRPr="00CE6E89">
        <w:rPr>
          <w:rFonts w:ascii="Times New Roman" w:hAnsi="Times New Roman"/>
          <w:sz w:val="24"/>
          <w:szCs w:val="24"/>
        </w:rPr>
        <w:t>(далее – ИФНС)</w:t>
      </w:r>
    </w:p>
    <w:p w:rsidR="00ED0E11" w:rsidRPr="00CE6E89" w:rsidRDefault="007C07FD" w:rsidP="00CE6E89">
      <w:pPr>
        <w:pStyle w:val="a3"/>
        <w:numPr>
          <w:ilvl w:val="0"/>
          <w:numId w:val="16"/>
        </w:numPr>
        <w:spacing w:after="0" w:line="360" w:lineRule="auto"/>
        <w:jc w:val="both"/>
        <w:rPr>
          <w:rFonts w:ascii="Times New Roman" w:hAnsi="Times New Roman"/>
          <w:sz w:val="24"/>
          <w:szCs w:val="24"/>
        </w:rPr>
      </w:pPr>
      <w:r w:rsidRPr="00CE6E89">
        <w:rPr>
          <w:rFonts w:ascii="Times New Roman" w:hAnsi="Times New Roman"/>
          <w:sz w:val="24"/>
          <w:szCs w:val="24"/>
        </w:rPr>
        <w:t>извещения</w:t>
      </w:r>
      <w:r w:rsidR="00EC00F3" w:rsidRPr="00CE6E89">
        <w:rPr>
          <w:rFonts w:ascii="Times New Roman" w:hAnsi="Times New Roman"/>
          <w:sz w:val="24"/>
          <w:szCs w:val="24"/>
        </w:rPr>
        <w:t xml:space="preserve"> </w:t>
      </w:r>
      <w:r w:rsidRPr="00CE6E89">
        <w:rPr>
          <w:rFonts w:ascii="Times New Roman" w:hAnsi="Times New Roman"/>
          <w:sz w:val="24"/>
          <w:szCs w:val="24"/>
        </w:rPr>
        <w:t>ИФНС</w:t>
      </w:r>
      <w:r w:rsidR="00EC00F3" w:rsidRPr="00CE6E89">
        <w:rPr>
          <w:rFonts w:ascii="Times New Roman" w:hAnsi="Times New Roman"/>
          <w:sz w:val="24"/>
          <w:szCs w:val="24"/>
        </w:rPr>
        <w:t xml:space="preserve"> о контролируемых сделках, </w:t>
      </w:r>
      <w:r w:rsidRPr="00CE6E89">
        <w:rPr>
          <w:rFonts w:ascii="Times New Roman" w:hAnsi="Times New Roman"/>
          <w:sz w:val="24"/>
          <w:szCs w:val="24"/>
        </w:rPr>
        <w:t xml:space="preserve">которые были выявлены </w:t>
      </w:r>
      <w:r w:rsidR="00EC00F3" w:rsidRPr="00CE6E89">
        <w:rPr>
          <w:rFonts w:ascii="Times New Roman" w:hAnsi="Times New Roman"/>
          <w:sz w:val="24"/>
          <w:szCs w:val="24"/>
        </w:rPr>
        <w:t xml:space="preserve">при проверках; </w:t>
      </w:r>
    </w:p>
    <w:p w:rsidR="00EC00F3" w:rsidRPr="00CE6E89" w:rsidRDefault="007C07FD" w:rsidP="00CE6E89">
      <w:pPr>
        <w:pStyle w:val="a3"/>
        <w:numPr>
          <w:ilvl w:val="0"/>
          <w:numId w:val="16"/>
        </w:numPr>
        <w:spacing w:after="0" w:line="360" w:lineRule="auto"/>
        <w:jc w:val="both"/>
        <w:rPr>
          <w:rFonts w:ascii="Times New Roman" w:hAnsi="Times New Roman"/>
          <w:sz w:val="24"/>
          <w:szCs w:val="24"/>
        </w:rPr>
      </w:pPr>
      <w:r w:rsidRPr="00CE6E89">
        <w:rPr>
          <w:rFonts w:ascii="Times New Roman" w:hAnsi="Times New Roman"/>
          <w:sz w:val="24"/>
          <w:szCs w:val="24"/>
        </w:rPr>
        <w:t>выявления контролируемых сделок</w:t>
      </w:r>
      <w:r w:rsidR="00EC00F3" w:rsidRPr="00CE6E89">
        <w:rPr>
          <w:rFonts w:ascii="Times New Roman" w:hAnsi="Times New Roman"/>
          <w:sz w:val="24"/>
          <w:szCs w:val="24"/>
        </w:rPr>
        <w:t xml:space="preserve"> самой ФНС </w:t>
      </w:r>
      <w:r w:rsidRPr="00CE6E89">
        <w:rPr>
          <w:rFonts w:ascii="Times New Roman" w:hAnsi="Times New Roman"/>
          <w:sz w:val="24"/>
          <w:szCs w:val="24"/>
        </w:rPr>
        <w:t>во период проведения повторной выездной проверки</w:t>
      </w:r>
    </w:p>
    <w:p w:rsidR="00772A00"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С</w:t>
      </w:r>
      <w:r w:rsidR="00772A00" w:rsidRPr="009761E8">
        <w:rPr>
          <w:rFonts w:ascii="Times New Roman" w:hAnsi="Times New Roman"/>
          <w:sz w:val="24"/>
          <w:szCs w:val="24"/>
        </w:rPr>
        <w:t xml:space="preserve">ледует отметить, что трансфертные цены не могут быть объектом </w:t>
      </w:r>
      <w:r w:rsidRPr="009761E8">
        <w:rPr>
          <w:rFonts w:ascii="Times New Roman" w:hAnsi="Times New Roman"/>
          <w:sz w:val="24"/>
          <w:szCs w:val="24"/>
        </w:rPr>
        <w:t>вые</w:t>
      </w:r>
      <w:r w:rsidR="00ED0E11" w:rsidRPr="009761E8">
        <w:rPr>
          <w:rFonts w:ascii="Times New Roman" w:hAnsi="Times New Roman"/>
          <w:sz w:val="24"/>
          <w:szCs w:val="24"/>
        </w:rPr>
        <w:t>здных и камеральных проверок</w:t>
      </w:r>
      <w:r w:rsidRPr="009761E8">
        <w:rPr>
          <w:rFonts w:ascii="Times New Roman" w:hAnsi="Times New Roman"/>
          <w:sz w:val="24"/>
          <w:szCs w:val="24"/>
        </w:rPr>
        <w:t xml:space="preserve">. </w:t>
      </w:r>
      <w:r w:rsidR="00772A00" w:rsidRPr="009761E8">
        <w:rPr>
          <w:rFonts w:ascii="Times New Roman" w:hAnsi="Times New Roman"/>
          <w:sz w:val="24"/>
          <w:szCs w:val="24"/>
        </w:rPr>
        <w:t>Более того НК РФ устанавливает, что в качестве основания их проведения может выступать исключительное решение руководителя ФНС или его заместителя.</w:t>
      </w:r>
    </w:p>
    <w:p w:rsidR="00ED0E11" w:rsidRPr="009761E8" w:rsidRDefault="00772A00"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lastRenderedPageBreak/>
        <w:t xml:space="preserve">Таким образом, </w:t>
      </w:r>
      <w:r w:rsidR="00EC1AE8" w:rsidRPr="009761E8">
        <w:rPr>
          <w:rFonts w:ascii="Times New Roman" w:hAnsi="Times New Roman"/>
          <w:sz w:val="24"/>
          <w:szCs w:val="24"/>
        </w:rPr>
        <w:t>п</w:t>
      </w:r>
      <w:r w:rsidR="00EC00F3" w:rsidRPr="009761E8">
        <w:rPr>
          <w:rFonts w:ascii="Times New Roman" w:hAnsi="Times New Roman"/>
          <w:sz w:val="24"/>
          <w:szCs w:val="24"/>
        </w:rPr>
        <w:t>роанализировав новые правила контроля,</w:t>
      </w:r>
      <w:r w:rsidR="005A1D4E" w:rsidRPr="009761E8">
        <w:rPr>
          <w:rFonts w:ascii="Times New Roman" w:hAnsi="Times New Roman"/>
          <w:sz w:val="24"/>
          <w:szCs w:val="24"/>
        </w:rPr>
        <w:t xml:space="preserve"> наиболее значимыми можно назвать</w:t>
      </w:r>
      <w:r w:rsidR="00EC00F3" w:rsidRPr="009761E8">
        <w:rPr>
          <w:rFonts w:ascii="Times New Roman" w:hAnsi="Times New Roman"/>
          <w:sz w:val="24"/>
          <w:szCs w:val="24"/>
        </w:rPr>
        <w:t xml:space="preserve">: </w:t>
      </w:r>
    </w:p>
    <w:p w:rsidR="00ED0E11" w:rsidRPr="00CE6E89" w:rsidRDefault="005A1D4E" w:rsidP="00CE6E89">
      <w:pPr>
        <w:pStyle w:val="a3"/>
        <w:numPr>
          <w:ilvl w:val="0"/>
          <w:numId w:val="18"/>
        </w:numPr>
        <w:spacing w:after="0" w:line="360" w:lineRule="auto"/>
        <w:jc w:val="both"/>
        <w:rPr>
          <w:rFonts w:ascii="Times New Roman" w:hAnsi="Times New Roman"/>
          <w:sz w:val="24"/>
          <w:szCs w:val="24"/>
        </w:rPr>
      </w:pPr>
      <w:r w:rsidRPr="00CE6E89">
        <w:rPr>
          <w:rFonts w:ascii="Times New Roman" w:hAnsi="Times New Roman"/>
          <w:sz w:val="24"/>
          <w:szCs w:val="24"/>
        </w:rPr>
        <w:t>проведение проверок исключительно</w:t>
      </w:r>
      <w:r w:rsidR="00EC1AE8" w:rsidRPr="00CE6E89">
        <w:rPr>
          <w:rFonts w:ascii="Times New Roman" w:hAnsi="Times New Roman"/>
          <w:sz w:val="24"/>
          <w:szCs w:val="24"/>
        </w:rPr>
        <w:t xml:space="preserve"> </w:t>
      </w:r>
      <w:r w:rsidRPr="00CE6E89">
        <w:rPr>
          <w:rFonts w:ascii="Times New Roman" w:hAnsi="Times New Roman"/>
          <w:sz w:val="24"/>
          <w:szCs w:val="24"/>
        </w:rPr>
        <w:t xml:space="preserve">налоговыми </w:t>
      </w:r>
      <w:r w:rsidR="00EC1AE8" w:rsidRPr="00CE6E89">
        <w:rPr>
          <w:rFonts w:ascii="Times New Roman" w:hAnsi="Times New Roman"/>
          <w:sz w:val="24"/>
          <w:szCs w:val="24"/>
        </w:rPr>
        <w:t>органами</w:t>
      </w:r>
      <w:r w:rsidR="00EC00F3" w:rsidRPr="00CE6E89">
        <w:rPr>
          <w:rFonts w:ascii="Times New Roman" w:hAnsi="Times New Roman"/>
          <w:sz w:val="24"/>
          <w:szCs w:val="24"/>
        </w:rPr>
        <w:t>;</w:t>
      </w:r>
    </w:p>
    <w:p w:rsidR="00ED0E11" w:rsidRPr="00CE6E89" w:rsidRDefault="00EC00F3" w:rsidP="00CE6E89">
      <w:pPr>
        <w:pStyle w:val="a3"/>
        <w:numPr>
          <w:ilvl w:val="0"/>
          <w:numId w:val="18"/>
        </w:numPr>
        <w:spacing w:after="0" w:line="360" w:lineRule="auto"/>
        <w:jc w:val="both"/>
        <w:rPr>
          <w:rFonts w:ascii="Times New Roman" w:hAnsi="Times New Roman"/>
          <w:sz w:val="24"/>
          <w:szCs w:val="24"/>
        </w:rPr>
      </w:pPr>
      <w:r w:rsidRPr="00CE6E89">
        <w:rPr>
          <w:rFonts w:ascii="Times New Roman" w:hAnsi="Times New Roman"/>
          <w:sz w:val="24"/>
          <w:szCs w:val="24"/>
        </w:rPr>
        <w:t>предмет</w:t>
      </w:r>
      <w:r w:rsidR="00EC1AE8" w:rsidRPr="00CE6E89">
        <w:rPr>
          <w:rFonts w:ascii="Times New Roman" w:hAnsi="Times New Roman"/>
          <w:sz w:val="24"/>
          <w:szCs w:val="24"/>
        </w:rPr>
        <w:t xml:space="preserve">ом проверки выступают </w:t>
      </w:r>
      <w:r w:rsidRPr="00CE6E89">
        <w:rPr>
          <w:rFonts w:ascii="Times New Roman" w:hAnsi="Times New Roman"/>
          <w:sz w:val="24"/>
          <w:szCs w:val="24"/>
        </w:rPr>
        <w:t xml:space="preserve">только контролируемые сделки; </w:t>
      </w:r>
    </w:p>
    <w:p w:rsidR="00EC00F3" w:rsidRPr="00CE6E89" w:rsidRDefault="00EC1AE8" w:rsidP="00CE6E89">
      <w:pPr>
        <w:pStyle w:val="a3"/>
        <w:numPr>
          <w:ilvl w:val="0"/>
          <w:numId w:val="18"/>
        </w:numPr>
        <w:spacing w:after="0" w:line="360" w:lineRule="auto"/>
        <w:jc w:val="both"/>
        <w:rPr>
          <w:rFonts w:ascii="Times New Roman" w:hAnsi="Times New Roman"/>
          <w:sz w:val="24"/>
          <w:szCs w:val="24"/>
        </w:rPr>
      </w:pPr>
      <w:r w:rsidRPr="00CE6E89">
        <w:rPr>
          <w:rFonts w:ascii="Times New Roman" w:hAnsi="Times New Roman"/>
          <w:sz w:val="24"/>
          <w:szCs w:val="24"/>
        </w:rPr>
        <w:t>проведение повторных проверок</w:t>
      </w:r>
      <w:r w:rsidR="00EC00F3" w:rsidRPr="00CE6E89">
        <w:rPr>
          <w:rFonts w:ascii="Times New Roman" w:hAnsi="Times New Roman"/>
          <w:sz w:val="24"/>
          <w:szCs w:val="24"/>
        </w:rPr>
        <w:t xml:space="preserve"> запрещен</w:t>
      </w:r>
      <w:r w:rsidRPr="00CE6E89">
        <w:rPr>
          <w:rFonts w:ascii="Times New Roman" w:hAnsi="Times New Roman"/>
          <w:sz w:val="24"/>
          <w:szCs w:val="24"/>
        </w:rPr>
        <w:t>о.</w:t>
      </w:r>
    </w:p>
    <w:p w:rsidR="00ED0E11" w:rsidRPr="009761E8" w:rsidRDefault="005A1D4E"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Согласно существующему закону</w:t>
      </w:r>
      <w:r w:rsidR="00EC00F3" w:rsidRPr="009761E8">
        <w:rPr>
          <w:rFonts w:ascii="Times New Roman" w:hAnsi="Times New Roman"/>
          <w:sz w:val="24"/>
          <w:szCs w:val="24"/>
        </w:rPr>
        <w:t xml:space="preserve"> о </w:t>
      </w:r>
      <w:r w:rsidRPr="009761E8">
        <w:rPr>
          <w:rFonts w:ascii="Times New Roman" w:hAnsi="Times New Roman"/>
          <w:sz w:val="24"/>
          <w:szCs w:val="24"/>
        </w:rPr>
        <w:t>ТЦО,</w:t>
      </w:r>
      <w:r w:rsidR="00EC00F3" w:rsidRPr="009761E8">
        <w:rPr>
          <w:rFonts w:ascii="Times New Roman" w:hAnsi="Times New Roman"/>
          <w:sz w:val="24"/>
          <w:szCs w:val="24"/>
        </w:rPr>
        <w:t xml:space="preserve"> </w:t>
      </w:r>
      <w:r w:rsidRPr="009761E8">
        <w:rPr>
          <w:rFonts w:ascii="Times New Roman" w:hAnsi="Times New Roman"/>
          <w:sz w:val="24"/>
          <w:szCs w:val="24"/>
        </w:rPr>
        <w:t xml:space="preserve">проверке подлежат следующие налоги на предмет полноты их </w:t>
      </w:r>
      <w:r w:rsidR="009723CF" w:rsidRPr="009761E8">
        <w:rPr>
          <w:rFonts w:ascii="Times New Roman" w:hAnsi="Times New Roman"/>
          <w:sz w:val="24"/>
          <w:szCs w:val="24"/>
        </w:rPr>
        <w:t xml:space="preserve">исчисления, а также </w:t>
      </w:r>
      <w:r w:rsidRPr="009761E8">
        <w:rPr>
          <w:rFonts w:ascii="Times New Roman" w:hAnsi="Times New Roman"/>
          <w:sz w:val="24"/>
          <w:szCs w:val="24"/>
        </w:rPr>
        <w:t>уплаты</w:t>
      </w:r>
      <w:r w:rsidR="00EC00F3" w:rsidRPr="009761E8">
        <w:rPr>
          <w:rFonts w:ascii="Times New Roman" w:hAnsi="Times New Roman"/>
          <w:sz w:val="24"/>
          <w:szCs w:val="24"/>
        </w:rPr>
        <w:t xml:space="preserve">: </w:t>
      </w:r>
    </w:p>
    <w:p w:rsidR="00ED0E11" w:rsidRPr="00CE6E89" w:rsidRDefault="00EC00F3" w:rsidP="00CE6E89">
      <w:pPr>
        <w:pStyle w:val="a3"/>
        <w:numPr>
          <w:ilvl w:val="0"/>
          <w:numId w:val="19"/>
        </w:numPr>
        <w:spacing w:after="0" w:line="360" w:lineRule="auto"/>
        <w:jc w:val="both"/>
        <w:rPr>
          <w:rFonts w:ascii="Times New Roman" w:hAnsi="Times New Roman"/>
          <w:sz w:val="24"/>
          <w:szCs w:val="24"/>
        </w:rPr>
      </w:pPr>
      <w:r w:rsidRPr="00CE6E89">
        <w:rPr>
          <w:rFonts w:ascii="Times New Roman" w:hAnsi="Times New Roman"/>
          <w:sz w:val="24"/>
          <w:szCs w:val="24"/>
        </w:rPr>
        <w:t xml:space="preserve">налога на прибыль; </w:t>
      </w:r>
    </w:p>
    <w:p w:rsidR="00ED0E11" w:rsidRPr="00CE6E89" w:rsidRDefault="00EC00F3" w:rsidP="00CE6E89">
      <w:pPr>
        <w:pStyle w:val="a3"/>
        <w:numPr>
          <w:ilvl w:val="0"/>
          <w:numId w:val="19"/>
        </w:numPr>
        <w:spacing w:after="0" w:line="360" w:lineRule="auto"/>
        <w:jc w:val="both"/>
        <w:rPr>
          <w:rFonts w:ascii="Times New Roman" w:hAnsi="Times New Roman"/>
          <w:sz w:val="24"/>
          <w:szCs w:val="24"/>
        </w:rPr>
      </w:pPr>
      <w:r w:rsidRPr="00CE6E89">
        <w:rPr>
          <w:rFonts w:ascii="Times New Roman" w:hAnsi="Times New Roman"/>
          <w:sz w:val="24"/>
          <w:szCs w:val="24"/>
        </w:rPr>
        <w:t xml:space="preserve">налог на доходы физических лиц (далее – НДФЛ); </w:t>
      </w:r>
    </w:p>
    <w:p w:rsidR="00ED0E11" w:rsidRPr="00CE6E89" w:rsidRDefault="00EC00F3" w:rsidP="00CE6E89">
      <w:pPr>
        <w:pStyle w:val="a3"/>
        <w:numPr>
          <w:ilvl w:val="0"/>
          <w:numId w:val="19"/>
        </w:numPr>
        <w:spacing w:after="0" w:line="360" w:lineRule="auto"/>
        <w:jc w:val="both"/>
        <w:rPr>
          <w:rFonts w:ascii="Times New Roman" w:hAnsi="Times New Roman"/>
          <w:sz w:val="24"/>
          <w:szCs w:val="24"/>
        </w:rPr>
      </w:pPr>
      <w:r w:rsidRPr="00CE6E89">
        <w:rPr>
          <w:rFonts w:ascii="Times New Roman" w:hAnsi="Times New Roman"/>
          <w:sz w:val="24"/>
          <w:szCs w:val="24"/>
        </w:rPr>
        <w:t xml:space="preserve">налог на добавленную стоимость (далее – НДС); </w:t>
      </w:r>
    </w:p>
    <w:p w:rsidR="00EC00F3" w:rsidRPr="00CE6E89" w:rsidRDefault="009723CF" w:rsidP="00CE6E89">
      <w:pPr>
        <w:pStyle w:val="a3"/>
        <w:numPr>
          <w:ilvl w:val="0"/>
          <w:numId w:val="19"/>
        </w:numPr>
        <w:spacing w:after="0" w:line="360" w:lineRule="auto"/>
        <w:jc w:val="both"/>
        <w:rPr>
          <w:rFonts w:ascii="Times New Roman" w:hAnsi="Times New Roman"/>
          <w:sz w:val="24"/>
          <w:szCs w:val="24"/>
        </w:rPr>
      </w:pPr>
      <w:r w:rsidRPr="00CE6E89">
        <w:rPr>
          <w:rFonts w:ascii="Times New Roman" w:hAnsi="Times New Roman"/>
          <w:sz w:val="24"/>
          <w:szCs w:val="24"/>
        </w:rPr>
        <w:t>НДПИ</w:t>
      </w:r>
    </w:p>
    <w:p w:rsidR="00EC00F3" w:rsidRPr="009761E8" w:rsidRDefault="00754A62"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Из этого следует</w:t>
      </w:r>
      <w:r w:rsidR="00EC00F3" w:rsidRPr="009761E8">
        <w:rPr>
          <w:rFonts w:ascii="Times New Roman" w:hAnsi="Times New Roman"/>
          <w:sz w:val="24"/>
          <w:szCs w:val="24"/>
        </w:rPr>
        <w:t xml:space="preserve">, </w:t>
      </w:r>
      <w:r w:rsidRPr="009761E8">
        <w:rPr>
          <w:rFonts w:ascii="Times New Roman" w:hAnsi="Times New Roman"/>
          <w:sz w:val="24"/>
          <w:szCs w:val="24"/>
        </w:rPr>
        <w:t xml:space="preserve">что в случае занижения </w:t>
      </w:r>
      <w:r w:rsidR="00EC00F3" w:rsidRPr="009761E8">
        <w:rPr>
          <w:rFonts w:ascii="Times New Roman" w:hAnsi="Times New Roman"/>
          <w:sz w:val="24"/>
          <w:szCs w:val="24"/>
        </w:rPr>
        <w:t>н</w:t>
      </w:r>
      <w:r w:rsidRPr="009761E8">
        <w:rPr>
          <w:rFonts w:ascii="Times New Roman" w:hAnsi="Times New Roman"/>
          <w:sz w:val="24"/>
          <w:szCs w:val="24"/>
        </w:rPr>
        <w:t>алогоплательщиком суммы налоговых отчислений</w:t>
      </w:r>
      <w:r w:rsidR="00EC00F3" w:rsidRPr="009761E8">
        <w:rPr>
          <w:rFonts w:ascii="Times New Roman" w:hAnsi="Times New Roman"/>
          <w:sz w:val="24"/>
          <w:szCs w:val="24"/>
        </w:rPr>
        <w:t xml:space="preserve">, </w:t>
      </w:r>
      <w:r w:rsidRPr="009761E8">
        <w:rPr>
          <w:rFonts w:ascii="Times New Roman" w:hAnsi="Times New Roman"/>
          <w:sz w:val="24"/>
          <w:szCs w:val="24"/>
        </w:rPr>
        <w:t>которая подлежит</w:t>
      </w:r>
      <w:r w:rsidR="00EC00F3" w:rsidRPr="009761E8">
        <w:rPr>
          <w:rFonts w:ascii="Times New Roman" w:hAnsi="Times New Roman"/>
          <w:sz w:val="24"/>
          <w:szCs w:val="24"/>
        </w:rPr>
        <w:t xml:space="preserve"> уплате, то </w:t>
      </w:r>
      <w:r w:rsidRPr="009761E8">
        <w:rPr>
          <w:rFonts w:ascii="Times New Roman" w:hAnsi="Times New Roman"/>
          <w:sz w:val="24"/>
          <w:szCs w:val="24"/>
        </w:rPr>
        <w:t xml:space="preserve">в рамках компетенции </w:t>
      </w:r>
      <w:r w:rsidR="00EC00F3" w:rsidRPr="009761E8">
        <w:rPr>
          <w:rFonts w:ascii="Times New Roman" w:hAnsi="Times New Roman"/>
          <w:sz w:val="24"/>
          <w:szCs w:val="24"/>
        </w:rPr>
        <w:t>ФНС</w:t>
      </w:r>
      <w:r w:rsidRPr="009761E8">
        <w:rPr>
          <w:rFonts w:ascii="Times New Roman" w:hAnsi="Times New Roman"/>
          <w:sz w:val="24"/>
          <w:szCs w:val="24"/>
        </w:rPr>
        <w:t xml:space="preserve"> может быть произведена самостоятельная корректировка</w:t>
      </w:r>
      <w:r w:rsidR="00EC00F3" w:rsidRPr="009761E8">
        <w:rPr>
          <w:rFonts w:ascii="Times New Roman" w:hAnsi="Times New Roman"/>
          <w:sz w:val="24"/>
          <w:szCs w:val="24"/>
        </w:rPr>
        <w:t xml:space="preserve"> соответствующей налоговой базы. </w:t>
      </w:r>
      <w:r w:rsidRPr="009761E8">
        <w:rPr>
          <w:rFonts w:ascii="Times New Roman" w:hAnsi="Times New Roman"/>
          <w:sz w:val="24"/>
          <w:szCs w:val="24"/>
        </w:rPr>
        <w:t>Тем не менее существует некоторое исключение из данного правила</w:t>
      </w:r>
      <w:r w:rsidR="0002107E" w:rsidRPr="009761E8">
        <w:rPr>
          <w:rFonts w:ascii="Times New Roman" w:hAnsi="Times New Roman"/>
          <w:sz w:val="24"/>
          <w:szCs w:val="24"/>
        </w:rPr>
        <w:t xml:space="preserve">: «При определении для целей ст. 105.14 НК РФ суммы доходов по сделкам ФНС России вправе проверить соответствие сумм полученных доходов по сделкам рыночному уровню с применением методов, предусмотренных положениями» гл. 14.3 НК РФ (п. 9 ст. 105.14 НК РФ). </w:t>
      </w:r>
      <w:r w:rsidR="00EC00F3" w:rsidRPr="009761E8">
        <w:rPr>
          <w:rFonts w:ascii="Times New Roman" w:hAnsi="Times New Roman"/>
          <w:sz w:val="24"/>
          <w:szCs w:val="24"/>
        </w:rPr>
        <w:t xml:space="preserve">За неуплату или неполную уплату сумм налога в результате применения цены, не соответствующей рыночному уровню с налогоплательщика вздымается штраф в размере 40% от неуплаченной суммы налога, подлежащей уплате, но не менее 30 000 рублей [1]. </w:t>
      </w:r>
    </w:p>
    <w:p w:rsidR="00DE5F8A" w:rsidRPr="009761E8" w:rsidRDefault="0035798E"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Тем не менее, </w:t>
      </w:r>
      <w:r w:rsidR="00DE5F8A" w:rsidRPr="009761E8">
        <w:rPr>
          <w:rFonts w:ascii="Times New Roman" w:hAnsi="Times New Roman"/>
          <w:sz w:val="24"/>
          <w:szCs w:val="24"/>
        </w:rPr>
        <w:t>закон не запрещает налогоплательщикам</w:t>
      </w:r>
      <w:r w:rsidRPr="009761E8">
        <w:rPr>
          <w:rFonts w:ascii="Times New Roman" w:hAnsi="Times New Roman"/>
          <w:sz w:val="24"/>
          <w:szCs w:val="24"/>
        </w:rPr>
        <w:t xml:space="preserve"> </w:t>
      </w:r>
      <w:r w:rsidR="00EC00F3" w:rsidRPr="009761E8">
        <w:rPr>
          <w:rFonts w:ascii="Times New Roman" w:hAnsi="Times New Roman"/>
          <w:sz w:val="24"/>
          <w:szCs w:val="24"/>
        </w:rPr>
        <w:t>в течение календарного года</w:t>
      </w:r>
      <w:r w:rsidRPr="009761E8">
        <w:rPr>
          <w:rFonts w:ascii="Times New Roman" w:hAnsi="Times New Roman"/>
          <w:sz w:val="24"/>
          <w:szCs w:val="24"/>
        </w:rPr>
        <w:t xml:space="preserve"> </w:t>
      </w:r>
      <w:r w:rsidR="00EC00F3" w:rsidRPr="009761E8">
        <w:rPr>
          <w:rFonts w:ascii="Times New Roman" w:hAnsi="Times New Roman"/>
          <w:sz w:val="24"/>
          <w:szCs w:val="24"/>
        </w:rPr>
        <w:t xml:space="preserve">применять фактические </w:t>
      </w:r>
      <w:r w:rsidR="00DE5F8A" w:rsidRPr="009761E8">
        <w:rPr>
          <w:rFonts w:ascii="Times New Roman" w:hAnsi="Times New Roman"/>
          <w:sz w:val="24"/>
          <w:szCs w:val="24"/>
        </w:rPr>
        <w:t xml:space="preserve">цены по контролируемым сделкам в случае, если налогооблагаемое лицо не уверено в том, что цены в действительности являются рыночными; </w:t>
      </w:r>
      <w:r w:rsidR="00EC00F3" w:rsidRPr="009761E8">
        <w:rPr>
          <w:rFonts w:ascii="Times New Roman" w:hAnsi="Times New Roman"/>
          <w:sz w:val="24"/>
          <w:szCs w:val="24"/>
        </w:rPr>
        <w:t>до даты уплаты налога на прибыль организаций (не позднее 28 марта года, следующего за истекшим налоговым периодом</w:t>
      </w:r>
      <w:r w:rsidR="00DE5F8A" w:rsidRPr="009761E8">
        <w:rPr>
          <w:rFonts w:ascii="Times New Roman" w:hAnsi="Times New Roman"/>
          <w:sz w:val="24"/>
          <w:szCs w:val="24"/>
        </w:rPr>
        <w:t>) производить пересчет своих обязательств относительно контролируемых сделок и уплачивать налоги на основе рыночных цен без пеней.</w:t>
      </w:r>
    </w:p>
    <w:p w:rsidR="00EC00F3" w:rsidRPr="009761E8" w:rsidRDefault="00DE5F8A"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Также в НК вводится</w:t>
      </w:r>
      <w:r w:rsidR="00EC00F3" w:rsidRPr="009761E8">
        <w:rPr>
          <w:rFonts w:ascii="Times New Roman" w:hAnsi="Times New Roman"/>
          <w:sz w:val="24"/>
          <w:szCs w:val="24"/>
        </w:rPr>
        <w:t xml:space="preserve"> </w:t>
      </w:r>
      <w:r w:rsidRPr="009761E8">
        <w:rPr>
          <w:rFonts w:ascii="Times New Roman" w:hAnsi="Times New Roman"/>
          <w:sz w:val="24"/>
          <w:szCs w:val="24"/>
        </w:rPr>
        <w:t>понятие «симметричные корректировки», которое определяется стать</w:t>
      </w:r>
      <w:r w:rsidR="00EC00F3" w:rsidRPr="009761E8">
        <w:rPr>
          <w:rFonts w:ascii="Times New Roman" w:hAnsi="Times New Roman"/>
          <w:sz w:val="24"/>
          <w:szCs w:val="24"/>
        </w:rPr>
        <w:t>е</w:t>
      </w:r>
      <w:r w:rsidRPr="009761E8">
        <w:rPr>
          <w:rFonts w:ascii="Times New Roman" w:hAnsi="Times New Roman"/>
          <w:sz w:val="24"/>
          <w:szCs w:val="24"/>
        </w:rPr>
        <w:t>й</w:t>
      </w:r>
      <w:r w:rsidR="00EC00F3" w:rsidRPr="009761E8">
        <w:rPr>
          <w:rFonts w:ascii="Times New Roman" w:hAnsi="Times New Roman"/>
          <w:sz w:val="24"/>
          <w:szCs w:val="24"/>
        </w:rPr>
        <w:t xml:space="preserve"> 105.18 НК РФ </w:t>
      </w:r>
      <w:r w:rsidRPr="009761E8">
        <w:rPr>
          <w:rFonts w:ascii="Times New Roman" w:hAnsi="Times New Roman"/>
          <w:sz w:val="24"/>
          <w:szCs w:val="24"/>
        </w:rPr>
        <w:t>как</w:t>
      </w:r>
      <w:r w:rsidR="00EC00F3" w:rsidRPr="009761E8">
        <w:rPr>
          <w:rFonts w:ascii="Times New Roman" w:hAnsi="Times New Roman"/>
          <w:sz w:val="24"/>
          <w:szCs w:val="24"/>
        </w:rPr>
        <w:t xml:space="preserve"> право контрагента по контролируемой сделке применить цены, на основании которых налоговый орган </w:t>
      </w:r>
      <w:r w:rsidR="003E3882" w:rsidRPr="009761E8">
        <w:rPr>
          <w:rFonts w:ascii="Times New Roman" w:hAnsi="Times New Roman"/>
          <w:sz w:val="24"/>
          <w:szCs w:val="24"/>
        </w:rPr>
        <w:t>может доначислить</w:t>
      </w:r>
      <w:r w:rsidR="00EC00F3" w:rsidRPr="009761E8">
        <w:rPr>
          <w:rFonts w:ascii="Times New Roman" w:hAnsi="Times New Roman"/>
          <w:sz w:val="24"/>
          <w:szCs w:val="24"/>
        </w:rPr>
        <w:t xml:space="preserve"> налоги </w:t>
      </w:r>
      <w:r w:rsidR="003E3882" w:rsidRPr="009761E8">
        <w:rPr>
          <w:rFonts w:ascii="Times New Roman" w:hAnsi="Times New Roman"/>
          <w:sz w:val="24"/>
          <w:szCs w:val="24"/>
        </w:rPr>
        <w:t>в соответствии с итогами</w:t>
      </w:r>
      <w:r w:rsidR="00EC00F3" w:rsidRPr="009761E8">
        <w:rPr>
          <w:rFonts w:ascii="Times New Roman" w:hAnsi="Times New Roman"/>
          <w:sz w:val="24"/>
          <w:szCs w:val="24"/>
        </w:rPr>
        <w:t xml:space="preserve"> проверки другой стороне такой сделки. </w:t>
      </w:r>
      <w:r w:rsidRPr="009761E8">
        <w:rPr>
          <w:rFonts w:ascii="Times New Roman" w:hAnsi="Times New Roman"/>
          <w:sz w:val="24"/>
          <w:szCs w:val="24"/>
        </w:rPr>
        <w:t>В соответствии с этой нормой, в случае доначисления</w:t>
      </w:r>
      <w:r w:rsidR="00EC00F3" w:rsidRPr="009761E8">
        <w:rPr>
          <w:rFonts w:ascii="Times New Roman" w:hAnsi="Times New Roman"/>
          <w:sz w:val="24"/>
          <w:szCs w:val="24"/>
        </w:rPr>
        <w:t xml:space="preserve"> налога по итогам налоговой проверки полноты исчисления и уплаты налогов в связи с совершением сделок между взаимозависимыми лицами, другая сторона сделки также может </w:t>
      </w:r>
      <w:r w:rsidR="003E3882" w:rsidRPr="009761E8">
        <w:rPr>
          <w:rFonts w:ascii="Times New Roman" w:hAnsi="Times New Roman"/>
          <w:sz w:val="24"/>
          <w:szCs w:val="24"/>
        </w:rPr>
        <w:t>подвергнуть свою налоговую базу корректировке</w:t>
      </w:r>
      <w:r w:rsidR="00EC00F3" w:rsidRPr="009761E8">
        <w:rPr>
          <w:rFonts w:ascii="Times New Roman" w:hAnsi="Times New Roman"/>
          <w:sz w:val="24"/>
          <w:szCs w:val="24"/>
        </w:rPr>
        <w:t xml:space="preserve">. </w:t>
      </w:r>
    </w:p>
    <w:p w:rsidR="000C4564" w:rsidRPr="000C4564" w:rsidRDefault="00EC00F3" w:rsidP="000C4564">
      <w:pPr>
        <w:spacing w:after="0" w:line="360" w:lineRule="auto"/>
        <w:ind w:firstLine="851"/>
        <w:jc w:val="both"/>
        <w:rPr>
          <w:rFonts w:ascii="Times New Roman" w:hAnsi="Times New Roman"/>
          <w:sz w:val="24"/>
          <w:szCs w:val="24"/>
        </w:rPr>
      </w:pPr>
      <w:r w:rsidRPr="009761E8">
        <w:rPr>
          <w:rFonts w:ascii="Times New Roman" w:hAnsi="Times New Roman"/>
          <w:sz w:val="24"/>
          <w:szCs w:val="24"/>
        </w:rPr>
        <w:lastRenderedPageBreak/>
        <w:t xml:space="preserve">Таким образом, </w:t>
      </w:r>
      <w:r w:rsidR="003E3882" w:rsidRPr="009761E8">
        <w:rPr>
          <w:rFonts w:ascii="Times New Roman" w:hAnsi="Times New Roman"/>
          <w:sz w:val="24"/>
          <w:szCs w:val="24"/>
        </w:rPr>
        <w:t>в случае повышения доходов налоговыми органами одной стороны сделки на основании рыночной цены, противоположная</w:t>
      </w:r>
      <w:r w:rsidRPr="009761E8">
        <w:rPr>
          <w:rFonts w:ascii="Times New Roman" w:hAnsi="Times New Roman"/>
          <w:sz w:val="24"/>
          <w:szCs w:val="24"/>
        </w:rPr>
        <w:t xml:space="preserve"> сторона </w:t>
      </w:r>
      <w:r w:rsidR="003E3882" w:rsidRPr="009761E8">
        <w:rPr>
          <w:rFonts w:ascii="Times New Roman" w:hAnsi="Times New Roman"/>
          <w:sz w:val="24"/>
          <w:szCs w:val="24"/>
        </w:rPr>
        <w:t>наделяется правом на увеличение своих расходов на соответствующую сумму.</w:t>
      </w:r>
      <w:r w:rsidRPr="009761E8">
        <w:rPr>
          <w:rFonts w:ascii="Times New Roman" w:hAnsi="Times New Roman"/>
          <w:sz w:val="24"/>
          <w:szCs w:val="24"/>
        </w:rPr>
        <w:t xml:space="preserve"> </w:t>
      </w:r>
      <w:r w:rsidR="003E3882" w:rsidRPr="009761E8">
        <w:rPr>
          <w:rFonts w:ascii="Times New Roman" w:hAnsi="Times New Roman"/>
          <w:sz w:val="24"/>
          <w:szCs w:val="24"/>
        </w:rPr>
        <w:t>Это право не я</w:t>
      </w:r>
      <w:r w:rsidR="008E51E1" w:rsidRPr="009761E8">
        <w:rPr>
          <w:rFonts w:ascii="Times New Roman" w:hAnsi="Times New Roman"/>
          <w:sz w:val="24"/>
          <w:szCs w:val="24"/>
        </w:rPr>
        <w:t>вляется обязательство</w:t>
      </w:r>
      <w:r w:rsidR="000C4564">
        <w:rPr>
          <w:rFonts w:ascii="Times New Roman" w:hAnsi="Times New Roman"/>
          <w:sz w:val="24"/>
          <w:szCs w:val="24"/>
        </w:rPr>
        <w:t>м</w:t>
      </w:r>
      <w:r w:rsidR="008E51E1" w:rsidRPr="009761E8">
        <w:rPr>
          <w:rFonts w:ascii="Times New Roman" w:hAnsi="Times New Roman"/>
          <w:sz w:val="24"/>
          <w:szCs w:val="24"/>
        </w:rPr>
        <w:t xml:space="preserve">. </w:t>
      </w:r>
      <w:r w:rsidR="00B43E75" w:rsidRPr="009761E8">
        <w:rPr>
          <w:rFonts w:ascii="Times New Roman" w:hAnsi="Times New Roman"/>
          <w:sz w:val="24"/>
          <w:szCs w:val="24"/>
        </w:rPr>
        <w:t>Тем не</w:t>
      </w:r>
      <w:r w:rsidR="008E51E1" w:rsidRPr="009761E8">
        <w:rPr>
          <w:rFonts w:ascii="Times New Roman" w:hAnsi="Times New Roman"/>
          <w:sz w:val="24"/>
          <w:szCs w:val="24"/>
        </w:rPr>
        <w:t xml:space="preserve"> менее оно может быть реализовано в том случае, если </w:t>
      </w:r>
      <w:r w:rsidRPr="009761E8">
        <w:rPr>
          <w:rFonts w:ascii="Times New Roman" w:hAnsi="Times New Roman"/>
          <w:sz w:val="24"/>
          <w:szCs w:val="24"/>
        </w:rPr>
        <w:t xml:space="preserve">решение ФНС РФ исполнено лицом, которому </w:t>
      </w:r>
      <w:r w:rsidR="008E51E1" w:rsidRPr="009761E8">
        <w:rPr>
          <w:rFonts w:ascii="Times New Roman" w:hAnsi="Times New Roman"/>
          <w:sz w:val="24"/>
          <w:szCs w:val="24"/>
        </w:rPr>
        <w:t xml:space="preserve">было произведено налоговое доначисление – симметричная корректировка может быть проведена </w:t>
      </w:r>
      <w:r w:rsidRPr="009761E8">
        <w:rPr>
          <w:rFonts w:ascii="Times New Roman" w:hAnsi="Times New Roman"/>
          <w:sz w:val="24"/>
          <w:szCs w:val="24"/>
        </w:rPr>
        <w:t xml:space="preserve">только после </w:t>
      </w:r>
      <w:r w:rsidR="008E51E1" w:rsidRPr="009761E8">
        <w:rPr>
          <w:rFonts w:ascii="Times New Roman" w:hAnsi="Times New Roman"/>
          <w:sz w:val="24"/>
          <w:szCs w:val="24"/>
        </w:rPr>
        <w:t xml:space="preserve">факта исполнения соответствующего решения </w:t>
      </w:r>
      <w:r w:rsidRPr="009761E8">
        <w:rPr>
          <w:rFonts w:ascii="Times New Roman" w:hAnsi="Times New Roman"/>
          <w:sz w:val="24"/>
          <w:szCs w:val="24"/>
        </w:rPr>
        <w:t>налого</w:t>
      </w:r>
      <w:r w:rsidR="008E51E1" w:rsidRPr="009761E8">
        <w:rPr>
          <w:rFonts w:ascii="Times New Roman" w:hAnsi="Times New Roman"/>
          <w:sz w:val="24"/>
          <w:szCs w:val="24"/>
        </w:rPr>
        <w:t xml:space="preserve">вых органов. </w:t>
      </w:r>
    </w:p>
    <w:p w:rsidR="00C72405" w:rsidRDefault="000C4564" w:rsidP="000C4564">
      <w:pPr>
        <w:spacing w:after="0" w:line="360" w:lineRule="auto"/>
        <w:ind w:firstLine="851"/>
        <w:jc w:val="both"/>
        <w:rPr>
          <w:rFonts w:ascii="Times New Roman" w:hAnsi="Times New Roman"/>
          <w:sz w:val="24"/>
          <w:szCs w:val="24"/>
        </w:rPr>
      </w:pPr>
      <w:r w:rsidRPr="000C4564">
        <w:rPr>
          <w:rFonts w:ascii="Times New Roman" w:hAnsi="Times New Roman"/>
          <w:sz w:val="24"/>
          <w:szCs w:val="24"/>
        </w:rPr>
        <w:t>Другими словами, симметричную корректировку можно провести только после того, как лицо, которому были доначислены налоги, исполнит соответствующее решение налого</w:t>
      </w:r>
      <w:r w:rsidR="00C72405">
        <w:rPr>
          <w:rFonts w:ascii="Times New Roman" w:hAnsi="Times New Roman"/>
          <w:sz w:val="24"/>
          <w:szCs w:val="24"/>
        </w:rPr>
        <w:t>вых органов по уплате недоимки.</w:t>
      </w:r>
    </w:p>
    <w:p w:rsidR="000C4564" w:rsidRPr="000C4564" w:rsidRDefault="000C4564" w:rsidP="000C4564">
      <w:pPr>
        <w:spacing w:after="0" w:line="360" w:lineRule="auto"/>
        <w:ind w:firstLine="851"/>
        <w:jc w:val="both"/>
        <w:rPr>
          <w:rFonts w:ascii="Times New Roman" w:hAnsi="Times New Roman"/>
          <w:sz w:val="24"/>
          <w:szCs w:val="24"/>
        </w:rPr>
      </w:pPr>
      <w:r w:rsidRPr="000C4564">
        <w:rPr>
          <w:rFonts w:ascii="Times New Roman" w:hAnsi="Times New Roman"/>
          <w:sz w:val="24"/>
          <w:szCs w:val="24"/>
        </w:rPr>
        <w:t>Такая корректировка производится на основании уведомления о возможности симметричных корректировок, полученного налогоплательщиком от ФНС РФ. При этом никаких исправлений в первичных документах делать не нужно, корректировки отражаются в периоде получения уведомления.</w:t>
      </w:r>
    </w:p>
    <w:p w:rsidR="000C4564" w:rsidRPr="000C4564" w:rsidRDefault="000C4564" w:rsidP="000C4564">
      <w:pPr>
        <w:spacing w:after="0" w:line="360" w:lineRule="auto"/>
        <w:ind w:firstLine="851"/>
        <w:jc w:val="both"/>
        <w:rPr>
          <w:rFonts w:ascii="Times New Roman" w:hAnsi="Times New Roman"/>
          <w:sz w:val="24"/>
          <w:szCs w:val="24"/>
        </w:rPr>
      </w:pPr>
      <w:r w:rsidRPr="000C4564">
        <w:rPr>
          <w:rFonts w:ascii="Times New Roman" w:hAnsi="Times New Roman"/>
          <w:sz w:val="24"/>
          <w:szCs w:val="24"/>
        </w:rPr>
        <w:t>Приведем пример, пусть ООО «А» продало взаимозависимой организации ООО «Б» товар за 150 млн. руб. Цена по сделке между ООО «А» и ООО «Б» меньше минимального рыночного значения 180 млн. руб., поэтому налоговые органы доначислили ООО «А» налог на прибыль из расчета того, что стоимость товара составляет 180 млн. руб. При этом налоговые обязательства ООО «Б» не корректируются. Его расходы по сделке для целей налогообложения признаются равными 150 млн. руб. Однако после уплаты ООО «А» доначисленной суммы налога у ООО «Б» появляется возможность провести симметричную корректировку. Это означает, что ООО «Б» для целей налогообложения также сможет применить цену сделки 180 млн. руб., что может привести к уменьшению его налоговых обязательств по налогу на прибыль.</w:t>
      </w:r>
    </w:p>
    <w:p w:rsidR="000C4564" w:rsidRPr="000C4564" w:rsidRDefault="000C4564" w:rsidP="000C4564">
      <w:pPr>
        <w:spacing w:after="0" w:line="360" w:lineRule="auto"/>
        <w:ind w:firstLine="851"/>
        <w:jc w:val="both"/>
        <w:rPr>
          <w:rFonts w:ascii="Times New Roman" w:hAnsi="Times New Roman"/>
          <w:sz w:val="24"/>
          <w:szCs w:val="24"/>
        </w:rPr>
      </w:pPr>
      <w:r w:rsidRPr="000C4564">
        <w:rPr>
          <w:rFonts w:ascii="Times New Roman" w:hAnsi="Times New Roman"/>
          <w:sz w:val="24"/>
          <w:szCs w:val="24"/>
        </w:rPr>
        <w:t>В случае если налогоплательщики, участвующие в сделке, произведут симметричные корректировки в соответствии с решением о доначислении налога, а потом такое решение будет изменено (отменено) или признано недействительным, то все стороны, участвующие в сделке, должны произвести соответствующие обратные корректировки.</w:t>
      </w:r>
    </w:p>
    <w:p w:rsidR="000C4564" w:rsidRPr="009761E8" w:rsidRDefault="000C4564" w:rsidP="000C4564">
      <w:pPr>
        <w:spacing w:after="0" w:line="360" w:lineRule="auto"/>
        <w:ind w:firstLine="851"/>
        <w:jc w:val="both"/>
        <w:rPr>
          <w:rFonts w:ascii="Times New Roman" w:hAnsi="Times New Roman"/>
          <w:sz w:val="24"/>
          <w:szCs w:val="24"/>
        </w:rPr>
      </w:pPr>
      <w:r w:rsidRPr="000C4564">
        <w:rPr>
          <w:rFonts w:ascii="Times New Roman" w:hAnsi="Times New Roman"/>
          <w:sz w:val="24"/>
          <w:szCs w:val="24"/>
        </w:rPr>
        <w:t>При этом пени в отношении подлежащих уплате сумм налога, увеличенных на основании обратных корректировок, не начисляются. Для проведения симметричной корректировки, второму участнику сделки необходимо получить от налоговых органов соответствующее уведомление о возможности симметричной корректир</w:t>
      </w:r>
      <w:r>
        <w:rPr>
          <w:rFonts w:ascii="Times New Roman" w:hAnsi="Times New Roman"/>
          <w:sz w:val="24"/>
          <w:szCs w:val="24"/>
        </w:rPr>
        <w:t xml:space="preserve">овки. Уведомление о возможности </w:t>
      </w:r>
      <w:r w:rsidRPr="000C4564">
        <w:rPr>
          <w:rFonts w:ascii="Times New Roman" w:hAnsi="Times New Roman"/>
          <w:sz w:val="24"/>
          <w:szCs w:val="24"/>
        </w:rPr>
        <w:t xml:space="preserve">симметричной корректировки налоговый орган должен направить лицу, претендующему на уменьшение налоговых обязательств, в течение месяца с момента погашения недоимки другим участником сделки. Оно может быть направлено </w:t>
      </w:r>
      <w:r w:rsidRPr="000C4564">
        <w:rPr>
          <w:rFonts w:ascii="Times New Roman" w:hAnsi="Times New Roman"/>
          <w:sz w:val="24"/>
          <w:szCs w:val="24"/>
        </w:rPr>
        <w:lastRenderedPageBreak/>
        <w:t>налогоплательщику заказным письмом или в электронной форме. Если налоговые органы не направят налогоплательщику соответствующее уведомление или оно не дойдет до налогоплательщика по каким-либо причинам, то налогоплательщик вправе будет обратиться в МИФНС по ценообразованию с заявлением о выдаче соответствующего уведомления. К заявлению надо будет приложить копию решения о доначислении налога другой стороне по сделке и копии документов, подтверждающих исполнение этого решения. После получения заявления налогоплательщика налоговые органы в течение 15 дней должны принять по нему решение. Если будет установлено, что недоимка второй стороной сделки действительно уплачена и решение о ее доначислении никем не оспорено, то налоговый орган обязан выдать уведомление о возможности симметричной корректировки.</w:t>
      </w:r>
    </w:p>
    <w:p w:rsidR="00EC00F3" w:rsidRPr="009761E8" w:rsidRDefault="004F5D5E"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Исходя из жизненно</w:t>
      </w:r>
      <w:r w:rsidR="000C4564">
        <w:rPr>
          <w:rFonts w:ascii="Times New Roman" w:hAnsi="Times New Roman"/>
          <w:sz w:val="24"/>
          <w:szCs w:val="24"/>
        </w:rPr>
        <w:t>й</w:t>
      </w:r>
      <w:r w:rsidRPr="009761E8">
        <w:rPr>
          <w:rFonts w:ascii="Times New Roman" w:hAnsi="Times New Roman"/>
          <w:sz w:val="24"/>
          <w:szCs w:val="24"/>
        </w:rPr>
        <w:t xml:space="preserve"> практики</w:t>
      </w:r>
      <w:r w:rsidR="00EC00F3" w:rsidRPr="009761E8">
        <w:rPr>
          <w:rFonts w:ascii="Times New Roman" w:hAnsi="Times New Roman"/>
          <w:sz w:val="24"/>
          <w:szCs w:val="24"/>
        </w:rPr>
        <w:t>,</w:t>
      </w:r>
      <w:r w:rsidRPr="009761E8">
        <w:rPr>
          <w:rFonts w:ascii="Times New Roman" w:hAnsi="Times New Roman"/>
          <w:sz w:val="24"/>
          <w:szCs w:val="24"/>
        </w:rPr>
        <w:t xml:space="preserve"> очевидно, что необходимо производить корректировку доходов </w:t>
      </w:r>
      <w:r w:rsidR="00EC00F3" w:rsidRPr="009761E8">
        <w:rPr>
          <w:rFonts w:ascii="Times New Roman" w:hAnsi="Times New Roman"/>
          <w:sz w:val="24"/>
          <w:szCs w:val="24"/>
        </w:rPr>
        <w:t>по ко</w:t>
      </w:r>
      <w:r w:rsidRPr="009761E8">
        <w:rPr>
          <w:rFonts w:ascii="Times New Roman" w:hAnsi="Times New Roman"/>
          <w:sz w:val="24"/>
          <w:szCs w:val="24"/>
        </w:rPr>
        <w:t>нтролируемым сделкам в большую сторону</w:t>
      </w:r>
      <w:r w:rsidR="00EC00F3" w:rsidRPr="009761E8">
        <w:rPr>
          <w:rFonts w:ascii="Times New Roman" w:hAnsi="Times New Roman"/>
          <w:sz w:val="24"/>
          <w:szCs w:val="24"/>
        </w:rPr>
        <w:t xml:space="preserve">, </w:t>
      </w:r>
      <w:r w:rsidRPr="009761E8">
        <w:rPr>
          <w:rFonts w:ascii="Times New Roman" w:hAnsi="Times New Roman"/>
          <w:sz w:val="24"/>
          <w:szCs w:val="24"/>
        </w:rPr>
        <w:t xml:space="preserve">в случае если имеют место быть </w:t>
      </w:r>
      <w:r w:rsidR="00EC00F3" w:rsidRPr="009761E8">
        <w:rPr>
          <w:rFonts w:ascii="Times New Roman" w:hAnsi="Times New Roman"/>
          <w:sz w:val="24"/>
          <w:szCs w:val="24"/>
        </w:rPr>
        <w:t>отлич</w:t>
      </w:r>
      <w:r w:rsidRPr="009761E8">
        <w:rPr>
          <w:rFonts w:ascii="Times New Roman" w:hAnsi="Times New Roman"/>
          <w:sz w:val="24"/>
          <w:szCs w:val="24"/>
        </w:rPr>
        <w:t>ия от полученных доходов по неконтролируемым сделкам</w:t>
      </w:r>
      <w:r w:rsidR="00EC00F3" w:rsidRPr="009761E8">
        <w:rPr>
          <w:rFonts w:ascii="Times New Roman" w:hAnsi="Times New Roman"/>
          <w:sz w:val="24"/>
          <w:szCs w:val="24"/>
        </w:rPr>
        <w:t xml:space="preserve">, </w:t>
      </w:r>
      <w:r w:rsidRPr="009761E8">
        <w:rPr>
          <w:rFonts w:ascii="Times New Roman" w:hAnsi="Times New Roman"/>
          <w:sz w:val="24"/>
          <w:szCs w:val="24"/>
        </w:rPr>
        <w:t>которые не признаются</w:t>
      </w:r>
      <w:r w:rsidR="00EC00F3" w:rsidRPr="009761E8">
        <w:rPr>
          <w:rFonts w:ascii="Times New Roman" w:hAnsi="Times New Roman"/>
          <w:sz w:val="24"/>
          <w:szCs w:val="24"/>
        </w:rPr>
        <w:t xml:space="preserve"> </w:t>
      </w:r>
      <w:r w:rsidRPr="009761E8">
        <w:rPr>
          <w:rFonts w:ascii="Times New Roman" w:hAnsi="Times New Roman"/>
          <w:sz w:val="24"/>
          <w:szCs w:val="24"/>
        </w:rPr>
        <w:t>взаимосвязанными</w:t>
      </w:r>
      <w:r w:rsidR="00EC00F3" w:rsidRPr="009761E8">
        <w:rPr>
          <w:rFonts w:ascii="Times New Roman" w:hAnsi="Times New Roman"/>
          <w:sz w:val="24"/>
          <w:szCs w:val="24"/>
        </w:rPr>
        <w:t xml:space="preserve">. </w:t>
      </w:r>
      <w:r w:rsidRPr="009761E8">
        <w:rPr>
          <w:rFonts w:ascii="Times New Roman" w:hAnsi="Times New Roman"/>
          <w:sz w:val="24"/>
          <w:szCs w:val="24"/>
        </w:rPr>
        <w:t>Таким образом,</w:t>
      </w:r>
      <w:r w:rsidR="00EC00F3" w:rsidRPr="009761E8">
        <w:rPr>
          <w:rFonts w:ascii="Times New Roman" w:hAnsi="Times New Roman"/>
          <w:sz w:val="24"/>
          <w:szCs w:val="24"/>
        </w:rPr>
        <w:t xml:space="preserve"> цены, </w:t>
      </w:r>
      <w:r w:rsidRPr="009761E8">
        <w:rPr>
          <w:rFonts w:ascii="Times New Roman" w:hAnsi="Times New Roman"/>
          <w:sz w:val="24"/>
          <w:szCs w:val="24"/>
        </w:rPr>
        <w:t xml:space="preserve">которые применяются не взаимозависимыми </w:t>
      </w:r>
      <w:r w:rsidR="00EC00F3" w:rsidRPr="009761E8">
        <w:rPr>
          <w:rFonts w:ascii="Times New Roman" w:hAnsi="Times New Roman"/>
          <w:sz w:val="24"/>
          <w:szCs w:val="24"/>
        </w:rPr>
        <w:t xml:space="preserve">сторонами, </w:t>
      </w:r>
      <w:r w:rsidRPr="009761E8">
        <w:rPr>
          <w:rFonts w:ascii="Times New Roman" w:hAnsi="Times New Roman"/>
          <w:sz w:val="24"/>
          <w:szCs w:val="24"/>
        </w:rPr>
        <w:t>и полученные ими доходы</w:t>
      </w:r>
      <w:r w:rsidR="00EC00F3" w:rsidRPr="009761E8">
        <w:rPr>
          <w:rFonts w:ascii="Times New Roman" w:hAnsi="Times New Roman"/>
          <w:sz w:val="24"/>
          <w:szCs w:val="24"/>
        </w:rPr>
        <w:t>,</w:t>
      </w:r>
      <w:r w:rsidRPr="009761E8">
        <w:rPr>
          <w:rFonts w:ascii="Times New Roman" w:hAnsi="Times New Roman"/>
          <w:sz w:val="24"/>
          <w:szCs w:val="24"/>
        </w:rPr>
        <w:t xml:space="preserve"> будут расцениваться как рыночные</w:t>
      </w:r>
      <w:r w:rsidR="00EC00F3" w:rsidRPr="009761E8">
        <w:rPr>
          <w:rFonts w:ascii="Times New Roman" w:hAnsi="Times New Roman"/>
          <w:sz w:val="24"/>
          <w:szCs w:val="24"/>
        </w:rPr>
        <w:t xml:space="preserve">. </w:t>
      </w:r>
      <w:r w:rsidRPr="009761E8">
        <w:rPr>
          <w:rFonts w:ascii="Times New Roman" w:hAnsi="Times New Roman"/>
          <w:sz w:val="24"/>
          <w:szCs w:val="24"/>
        </w:rPr>
        <w:t xml:space="preserve">Более того, законодательство предусматривает исключительные случаи </w:t>
      </w:r>
      <w:r w:rsidR="00EC00F3" w:rsidRPr="009761E8">
        <w:rPr>
          <w:rFonts w:ascii="Times New Roman" w:hAnsi="Times New Roman"/>
          <w:sz w:val="24"/>
          <w:szCs w:val="24"/>
        </w:rPr>
        <w:t xml:space="preserve">цен, которые </w:t>
      </w:r>
      <w:r w:rsidRPr="009761E8">
        <w:rPr>
          <w:rFonts w:ascii="Times New Roman" w:hAnsi="Times New Roman"/>
          <w:sz w:val="24"/>
          <w:szCs w:val="24"/>
        </w:rPr>
        <w:t>могут быть признаны</w:t>
      </w:r>
      <w:r w:rsidR="00EC00F3" w:rsidRPr="009761E8">
        <w:rPr>
          <w:rFonts w:ascii="Times New Roman" w:hAnsi="Times New Roman"/>
          <w:sz w:val="24"/>
          <w:szCs w:val="24"/>
        </w:rPr>
        <w:t xml:space="preserve"> рыночными без необходимости по</w:t>
      </w:r>
      <w:r w:rsidRPr="009761E8">
        <w:rPr>
          <w:rFonts w:ascii="Times New Roman" w:hAnsi="Times New Roman"/>
          <w:sz w:val="24"/>
          <w:szCs w:val="24"/>
        </w:rPr>
        <w:t xml:space="preserve">дтверждения уровня их соответствия рыночным ценам, а именно </w:t>
      </w:r>
      <w:r w:rsidR="00EC00F3" w:rsidRPr="009761E8">
        <w:rPr>
          <w:rFonts w:ascii="Times New Roman" w:hAnsi="Times New Roman"/>
          <w:sz w:val="24"/>
          <w:szCs w:val="24"/>
        </w:rPr>
        <w:t>[1]:</w:t>
      </w:r>
    </w:p>
    <w:p w:rsidR="00EC00F3" w:rsidRPr="00CE6E89" w:rsidRDefault="004F5D5E" w:rsidP="00CE6E89">
      <w:pPr>
        <w:pStyle w:val="a3"/>
        <w:numPr>
          <w:ilvl w:val="0"/>
          <w:numId w:val="22"/>
        </w:numPr>
        <w:spacing w:after="0" w:line="360" w:lineRule="auto"/>
        <w:jc w:val="both"/>
        <w:rPr>
          <w:rFonts w:ascii="Times New Roman" w:hAnsi="Times New Roman"/>
          <w:sz w:val="24"/>
          <w:szCs w:val="24"/>
        </w:rPr>
      </w:pPr>
      <w:r w:rsidRPr="00CE6E89">
        <w:rPr>
          <w:rFonts w:ascii="Times New Roman" w:hAnsi="Times New Roman"/>
          <w:sz w:val="24"/>
          <w:szCs w:val="24"/>
        </w:rPr>
        <w:t>в случае применения</w:t>
      </w:r>
      <w:r w:rsidR="00EC00F3" w:rsidRPr="00CE6E89">
        <w:rPr>
          <w:rFonts w:ascii="Times New Roman" w:hAnsi="Times New Roman"/>
          <w:sz w:val="24"/>
          <w:szCs w:val="24"/>
        </w:rPr>
        <w:t xml:space="preserve"> цен в соответствии с предписаниями антимонопольного органа; </w:t>
      </w:r>
    </w:p>
    <w:p w:rsidR="00EC00F3" w:rsidRPr="00CE6E89" w:rsidRDefault="004F5D5E" w:rsidP="00CE6E89">
      <w:pPr>
        <w:pStyle w:val="a3"/>
        <w:numPr>
          <w:ilvl w:val="0"/>
          <w:numId w:val="22"/>
        </w:numPr>
        <w:spacing w:after="0" w:line="360" w:lineRule="auto"/>
        <w:jc w:val="both"/>
        <w:rPr>
          <w:rFonts w:ascii="Times New Roman" w:hAnsi="Times New Roman"/>
          <w:sz w:val="24"/>
          <w:szCs w:val="24"/>
        </w:rPr>
      </w:pPr>
      <w:r w:rsidRPr="00CE6E89">
        <w:rPr>
          <w:rFonts w:ascii="Times New Roman" w:hAnsi="Times New Roman"/>
          <w:sz w:val="24"/>
          <w:szCs w:val="24"/>
        </w:rPr>
        <w:t xml:space="preserve">цены, которые были определены оценщиком в случае необходимости проведения </w:t>
      </w:r>
      <w:r w:rsidR="001E063F" w:rsidRPr="00CE6E89">
        <w:rPr>
          <w:rFonts w:ascii="Times New Roman" w:hAnsi="Times New Roman"/>
          <w:sz w:val="24"/>
          <w:szCs w:val="24"/>
        </w:rPr>
        <w:t>оценки</w:t>
      </w:r>
      <w:r w:rsidRPr="00CE6E89">
        <w:rPr>
          <w:rFonts w:ascii="Times New Roman" w:hAnsi="Times New Roman"/>
          <w:sz w:val="24"/>
          <w:szCs w:val="24"/>
        </w:rPr>
        <w:t xml:space="preserve"> при</w:t>
      </w:r>
      <w:r w:rsidR="00EC00F3" w:rsidRPr="00CE6E89">
        <w:rPr>
          <w:rFonts w:ascii="Times New Roman" w:hAnsi="Times New Roman"/>
          <w:sz w:val="24"/>
          <w:szCs w:val="24"/>
        </w:rPr>
        <w:t xml:space="preserve"> соверше</w:t>
      </w:r>
      <w:r w:rsidRPr="00CE6E89">
        <w:rPr>
          <w:rFonts w:ascii="Times New Roman" w:hAnsi="Times New Roman"/>
          <w:sz w:val="24"/>
          <w:szCs w:val="24"/>
        </w:rPr>
        <w:t>нии сделки</w:t>
      </w:r>
      <w:r w:rsidR="00EC00F3" w:rsidRPr="00CE6E89">
        <w:rPr>
          <w:rFonts w:ascii="Times New Roman" w:hAnsi="Times New Roman"/>
          <w:sz w:val="24"/>
          <w:szCs w:val="24"/>
        </w:rPr>
        <w:t xml:space="preserve">; </w:t>
      </w:r>
    </w:p>
    <w:p w:rsidR="00EC00F3" w:rsidRPr="00CE6E89" w:rsidRDefault="001E063F" w:rsidP="00CE6E89">
      <w:pPr>
        <w:pStyle w:val="a3"/>
        <w:numPr>
          <w:ilvl w:val="0"/>
          <w:numId w:val="22"/>
        </w:numPr>
        <w:spacing w:after="0" w:line="360" w:lineRule="auto"/>
        <w:jc w:val="both"/>
        <w:rPr>
          <w:rFonts w:ascii="Times New Roman" w:hAnsi="Times New Roman"/>
          <w:sz w:val="24"/>
          <w:szCs w:val="24"/>
        </w:rPr>
      </w:pPr>
      <w:r w:rsidRPr="00CE6E89">
        <w:rPr>
          <w:rFonts w:ascii="Times New Roman" w:hAnsi="Times New Roman"/>
          <w:sz w:val="24"/>
          <w:szCs w:val="24"/>
        </w:rPr>
        <w:t>в ситуации, когда цены были определены</w:t>
      </w:r>
      <w:r w:rsidR="00EC00F3" w:rsidRPr="00CE6E89">
        <w:rPr>
          <w:rFonts w:ascii="Times New Roman" w:hAnsi="Times New Roman"/>
          <w:sz w:val="24"/>
          <w:szCs w:val="24"/>
        </w:rPr>
        <w:t xml:space="preserve"> в соответствии с соглашением о ценообразовании;</w:t>
      </w:r>
    </w:p>
    <w:p w:rsidR="001E063F" w:rsidRPr="00CE6E89" w:rsidRDefault="001E063F" w:rsidP="00CE6E89">
      <w:pPr>
        <w:pStyle w:val="a3"/>
        <w:numPr>
          <w:ilvl w:val="0"/>
          <w:numId w:val="22"/>
        </w:numPr>
        <w:spacing w:after="0" w:line="360" w:lineRule="auto"/>
        <w:jc w:val="both"/>
        <w:rPr>
          <w:rFonts w:ascii="Times New Roman" w:hAnsi="Times New Roman"/>
          <w:sz w:val="24"/>
          <w:szCs w:val="24"/>
        </w:rPr>
      </w:pPr>
      <w:r w:rsidRPr="00CE6E89">
        <w:rPr>
          <w:rFonts w:ascii="Times New Roman" w:hAnsi="Times New Roman"/>
          <w:sz w:val="24"/>
          <w:szCs w:val="24"/>
        </w:rPr>
        <w:t>при установлении</w:t>
      </w:r>
      <w:r w:rsidR="0064738B" w:rsidRPr="00CE6E89">
        <w:rPr>
          <w:rFonts w:ascii="Times New Roman" w:hAnsi="Times New Roman"/>
          <w:sz w:val="24"/>
          <w:szCs w:val="24"/>
        </w:rPr>
        <w:t xml:space="preserve"> цен</w:t>
      </w:r>
      <w:r w:rsidR="00EC00F3" w:rsidRPr="00CE6E89">
        <w:rPr>
          <w:rFonts w:ascii="Times New Roman" w:hAnsi="Times New Roman"/>
          <w:sz w:val="24"/>
          <w:szCs w:val="24"/>
        </w:rPr>
        <w:t xml:space="preserve"> в сделке,</w:t>
      </w:r>
      <w:r w:rsidRPr="00CE6E89">
        <w:rPr>
          <w:rFonts w:ascii="Times New Roman" w:hAnsi="Times New Roman"/>
          <w:sz w:val="24"/>
          <w:szCs w:val="24"/>
        </w:rPr>
        <w:t xml:space="preserve"> которая была заключена в соответствии с </w:t>
      </w:r>
      <w:r w:rsidR="00EC00F3" w:rsidRPr="00CE6E89">
        <w:rPr>
          <w:rFonts w:ascii="Times New Roman" w:hAnsi="Times New Roman"/>
          <w:sz w:val="24"/>
          <w:szCs w:val="24"/>
        </w:rPr>
        <w:t>резул</w:t>
      </w:r>
      <w:r w:rsidRPr="00CE6E89">
        <w:rPr>
          <w:rFonts w:ascii="Times New Roman" w:hAnsi="Times New Roman"/>
          <w:sz w:val="24"/>
          <w:szCs w:val="24"/>
        </w:rPr>
        <w:t xml:space="preserve">ьтатами </w:t>
      </w:r>
      <w:r w:rsidR="00EC00F3" w:rsidRPr="00CE6E89">
        <w:rPr>
          <w:rFonts w:ascii="Times New Roman" w:hAnsi="Times New Roman"/>
          <w:sz w:val="24"/>
          <w:szCs w:val="24"/>
        </w:rPr>
        <w:t>торгов</w:t>
      </w:r>
      <w:r w:rsidRPr="00CE6E89">
        <w:rPr>
          <w:rFonts w:ascii="Times New Roman" w:hAnsi="Times New Roman"/>
          <w:sz w:val="24"/>
          <w:szCs w:val="24"/>
        </w:rPr>
        <w:t xml:space="preserve"> на бирже</w:t>
      </w:r>
      <w:r w:rsidR="00EC00F3" w:rsidRPr="00CE6E89">
        <w:rPr>
          <w:rFonts w:ascii="Times New Roman" w:hAnsi="Times New Roman"/>
          <w:sz w:val="24"/>
          <w:szCs w:val="24"/>
        </w:rPr>
        <w:t xml:space="preserve">. </w:t>
      </w:r>
    </w:p>
    <w:p w:rsidR="00EC00F3" w:rsidRPr="009761E8" w:rsidRDefault="001E063F" w:rsidP="0030355C">
      <w:pPr>
        <w:spacing w:after="0" w:line="360" w:lineRule="auto"/>
        <w:ind w:firstLine="708"/>
        <w:jc w:val="both"/>
        <w:rPr>
          <w:rFonts w:ascii="Times New Roman" w:hAnsi="Times New Roman"/>
          <w:sz w:val="24"/>
          <w:szCs w:val="24"/>
        </w:rPr>
      </w:pPr>
      <w:r w:rsidRPr="009761E8">
        <w:rPr>
          <w:rFonts w:ascii="Times New Roman" w:hAnsi="Times New Roman"/>
          <w:sz w:val="24"/>
          <w:szCs w:val="24"/>
        </w:rPr>
        <w:t>В категорию рыночных цен будут</w:t>
      </w:r>
      <w:r w:rsidR="00EC00F3" w:rsidRPr="009761E8">
        <w:rPr>
          <w:rFonts w:ascii="Times New Roman" w:hAnsi="Times New Roman"/>
          <w:sz w:val="24"/>
          <w:szCs w:val="24"/>
        </w:rPr>
        <w:t xml:space="preserve"> также </w:t>
      </w:r>
      <w:r w:rsidRPr="009761E8">
        <w:rPr>
          <w:rFonts w:ascii="Times New Roman" w:hAnsi="Times New Roman"/>
          <w:sz w:val="24"/>
          <w:szCs w:val="24"/>
        </w:rPr>
        <w:t>входить</w:t>
      </w:r>
      <w:r w:rsidR="00EC00F3" w:rsidRPr="009761E8">
        <w:rPr>
          <w:rFonts w:ascii="Times New Roman" w:hAnsi="Times New Roman"/>
          <w:sz w:val="24"/>
          <w:szCs w:val="24"/>
        </w:rPr>
        <w:t xml:space="preserve"> цены по сделкам, </w:t>
      </w:r>
      <w:r w:rsidRPr="009761E8">
        <w:rPr>
          <w:rFonts w:ascii="Times New Roman" w:hAnsi="Times New Roman"/>
          <w:sz w:val="24"/>
          <w:szCs w:val="24"/>
        </w:rPr>
        <w:t>устанавливаемые уполномоченным</w:t>
      </w:r>
      <w:r w:rsidR="00EC00F3" w:rsidRPr="009761E8">
        <w:rPr>
          <w:rFonts w:ascii="Times New Roman" w:hAnsi="Times New Roman"/>
          <w:sz w:val="24"/>
          <w:szCs w:val="24"/>
        </w:rPr>
        <w:t xml:space="preserve"> орган</w:t>
      </w:r>
      <w:r w:rsidRPr="009761E8">
        <w:rPr>
          <w:rFonts w:ascii="Times New Roman" w:hAnsi="Times New Roman"/>
          <w:sz w:val="24"/>
          <w:szCs w:val="24"/>
        </w:rPr>
        <w:t>ом исполнительной власти. То есть происходит согласование методов расчета цены, установление</w:t>
      </w:r>
      <w:r w:rsidR="00EC00F3" w:rsidRPr="009761E8">
        <w:rPr>
          <w:rFonts w:ascii="Times New Roman" w:hAnsi="Times New Roman"/>
          <w:sz w:val="24"/>
          <w:szCs w:val="24"/>
        </w:rPr>
        <w:t xml:space="preserve"> максимальных и (или) минимальных </w:t>
      </w:r>
      <w:r w:rsidRPr="009761E8">
        <w:rPr>
          <w:rFonts w:ascii="Times New Roman" w:hAnsi="Times New Roman"/>
          <w:sz w:val="24"/>
          <w:szCs w:val="24"/>
        </w:rPr>
        <w:t>ценовых порогов</w:t>
      </w:r>
      <w:r w:rsidR="00EC00F3" w:rsidRPr="009761E8">
        <w:rPr>
          <w:rFonts w:ascii="Times New Roman" w:hAnsi="Times New Roman"/>
          <w:sz w:val="24"/>
          <w:szCs w:val="24"/>
        </w:rPr>
        <w:t>, надбавок к цене</w:t>
      </w:r>
      <w:r w:rsidR="0064738B" w:rsidRPr="009761E8">
        <w:rPr>
          <w:rFonts w:ascii="Times New Roman" w:hAnsi="Times New Roman"/>
          <w:sz w:val="24"/>
          <w:szCs w:val="24"/>
        </w:rPr>
        <w:t>,</w:t>
      </w:r>
      <w:r w:rsidR="00EC00F3" w:rsidRPr="009761E8">
        <w:rPr>
          <w:rFonts w:ascii="Times New Roman" w:hAnsi="Times New Roman"/>
          <w:sz w:val="24"/>
          <w:szCs w:val="24"/>
        </w:rPr>
        <w:t xml:space="preserve"> или </w:t>
      </w:r>
      <w:r w:rsidR="0064738B" w:rsidRPr="009761E8">
        <w:rPr>
          <w:rFonts w:ascii="Times New Roman" w:hAnsi="Times New Roman"/>
          <w:sz w:val="24"/>
          <w:szCs w:val="24"/>
        </w:rPr>
        <w:t>скидочной системы, или</w:t>
      </w:r>
      <w:r w:rsidR="00EC00F3" w:rsidRPr="009761E8">
        <w:rPr>
          <w:rFonts w:ascii="Times New Roman" w:hAnsi="Times New Roman"/>
          <w:sz w:val="24"/>
          <w:szCs w:val="24"/>
        </w:rPr>
        <w:t xml:space="preserve"> </w:t>
      </w:r>
      <w:r w:rsidR="0064738B" w:rsidRPr="009761E8">
        <w:rPr>
          <w:rFonts w:ascii="Times New Roman" w:hAnsi="Times New Roman"/>
          <w:sz w:val="24"/>
          <w:szCs w:val="24"/>
        </w:rPr>
        <w:t xml:space="preserve">других ограничительных методов, способных влиять </w:t>
      </w:r>
      <w:r w:rsidR="00EC00F3" w:rsidRPr="009761E8">
        <w:rPr>
          <w:rFonts w:ascii="Times New Roman" w:hAnsi="Times New Roman"/>
          <w:sz w:val="24"/>
          <w:szCs w:val="24"/>
        </w:rPr>
        <w:t xml:space="preserve">на </w:t>
      </w:r>
      <w:r w:rsidR="0064738B" w:rsidRPr="009761E8">
        <w:rPr>
          <w:rFonts w:ascii="Times New Roman" w:hAnsi="Times New Roman"/>
          <w:sz w:val="24"/>
          <w:szCs w:val="24"/>
        </w:rPr>
        <w:t>показатели рентабельности</w:t>
      </w:r>
      <w:r w:rsidR="00EC00F3" w:rsidRPr="009761E8">
        <w:rPr>
          <w:rFonts w:ascii="Times New Roman" w:hAnsi="Times New Roman"/>
          <w:sz w:val="24"/>
          <w:szCs w:val="24"/>
        </w:rPr>
        <w:t xml:space="preserve"> </w:t>
      </w:r>
      <w:r w:rsidR="0064738B" w:rsidRPr="009761E8">
        <w:rPr>
          <w:rFonts w:ascii="Times New Roman" w:hAnsi="Times New Roman"/>
          <w:sz w:val="24"/>
          <w:szCs w:val="24"/>
        </w:rPr>
        <w:t>и прибыли в указанных сделках [2]. Обязательным условием проведения оценки объектов</w:t>
      </w:r>
      <w:r w:rsidR="00EC00F3" w:rsidRPr="009761E8">
        <w:rPr>
          <w:rFonts w:ascii="Times New Roman" w:hAnsi="Times New Roman"/>
          <w:sz w:val="24"/>
          <w:szCs w:val="24"/>
        </w:rPr>
        <w:t xml:space="preserve"> </w:t>
      </w:r>
      <w:r w:rsidR="0064738B" w:rsidRPr="009761E8">
        <w:rPr>
          <w:rFonts w:ascii="Times New Roman" w:hAnsi="Times New Roman"/>
          <w:sz w:val="24"/>
          <w:szCs w:val="24"/>
        </w:rPr>
        <w:t>производится</w:t>
      </w:r>
      <w:r w:rsidR="00EC00F3" w:rsidRPr="009761E8">
        <w:rPr>
          <w:rFonts w:ascii="Times New Roman" w:hAnsi="Times New Roman"/>
          <w:sz w:val="24"/>
          <w:szCs w:val="24"/>
        </w:rPr>
        <w:t xml:space="preserve"> в следующих случаях: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lastRenderedPageBreak/>
        <w:t>1) в случае</w:t>
      </w:r>
      <w:r w:rsidR="0064738B" w:rsidRPr="009761E8">
        <w:rPr>
          <w:rFonts w:ascii="Times New Roman" w:hAnsi="Times New Roman"/>
          <w:sz w:val="24"/>
          <w:szCs w:val="24"/>
        </w:rPr>
        <w:t xml:space="preserve">, когда в сделку вовлекаются объекты </w:t>
      </w:r>
      <w:r w:rsidRPr="009761E8">
        <w:rPr>
          <w:rFonts w:ascii="Times New Roman" w:hAnsi="Times New Roman"/>
          <w:sz w:val="24"/>
          <w:szCs w:val="24"/>
        </w:rPr>
        <w:t>оценки, принадлежащих полностью или частично Российской Федерации,</w:t>
      </w:r>
      <w:r w:rsidR="0064738B" w:rsidRPr="009761E8">
        <w:rPr>
          <w:rFonts w:ascii="Times New Roman" w:hAnsi="Times New Roman"/>
          <w:sz w:val="24"/>
          <w:szCs w:val="24"/>
        </w:rPr>
        <w:t xml:space="preserve"> субъектам Российской Федерации,</w:t>
      </w:r>
      <w:r w:rsidRPr="009761E8">
        <w:rPr>
          <w:rFonts w:ascii="Times New Roman" w:hAnsi="Times New Roman"/>
          <w:sz w:val="24"/>
          <w:szCs w:val="24"/>
        </w:rPr>
        <w:t xml:space="preserve"> муниципальным образованиям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2) при национализации имущества;</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3) </w:t>
      </w:r>
      <w:r w:rsidR="0064738B" w:rsidRPr="009761E8">
        <w:rPr>
          <w:rFonts w:ascii="Times New Roman" w:hAnsi="Times New Roman"/>
          <w:sz w:val="24"/>
          <w:szCs w:val="24"/>
        </w:rPr>
        <w:t>в случае ипотечного кредитования</w:t>
      </w:r>
      <w:r w:rsidRPr="009761E8">
        <w:rPr>
          <w:rFonts w:ascii="Times New Roman" w:hAnsi="Times New Roman"/>
          <w:sz w:val="24"/>
          <w:szCs w:val="24"/>
        </w:rPr>
        <w:t xml:space="preserve"> физических </w:t>
      </w:r>
      <w:r w:rsidR="0064738B" w:rsidRPr="009761E8">
        <w:rPr>
          <w:rFonts w:ascii="Times New Roman" w:hAnsi="Times New Roman"/>
          <w:sz w:val="24"/>
          <w:szCs w:val="24"/>
        </w:rPr>
        <w:t>или</w:t>
      </w:r>
      <w:r w:rsidRPr="009761E8">
        <w:rPr>
          <w:rFonts w:ascii="Times New Roman" w:hAnsi="Times New Roman"/>
          <w:sz w:val="24"/>
          <w:szCs w:val="24"/>
        </w:rPr>
        <w:t xml:space="preserve"> юридических лиц</w:t>
      </w:r>
      <w:r w:rsidR="0064738B" w:rsidRPr="009761E8">
        <w:rPr>
          <w:rFonts w:ascii="Times New Roman" w:hAnsi="Times New Roman"/>
          <w:sz w:val="24"/>
          <w:szCs w:val="24"/>
        </w:rPr>
        <w:t xml:space="preserve"> (при возникновении спорных ситуаций о стоимости предмета ипотечного кредита)</w:t>
      </w:r>
      <w:r w:rsidRPr="009761E8">
        <w:rPr>
          <w:rFonts w:ascii="Times New Roman" w:hAnsi="Times New Roman"/>
          <w:sz w:val="24"/>
          <w:szCs w:val="24"/>
        </w:rPr>
        <w:t xml:space="preserve"> </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4) при составлении брачных контрактов </w:t>
      </w:r>
      <w:r w:rsidR="003B4A12" w:rsidRPr="009761E8">
        <w:rPr>
          <w:rFonts w:ascii="Times New Roman" w:hAnsi="Times New Roman"/>
          <w:sz w:val="24"/>
          <w:szCs w:val="24"/>
        </w:rPr>
        <w:t>и разделе имущества</w:t>
      </w:r>
      <w:r w:rsidRPr="009761E8">
        <w:rPr>
          <w:rFonts w:ascii="Times New Roman" w:hAnsi="Times New Roman"/>
          <w:sz w:val="24"/>
          <w:szCs w:val="24"/>
        </w:rPr>
        <w:t xml:space="preserve"> супругов</w:t>
      </w:r>
      <w:r w:rsidR="003B4A12" w:rsidRPr="009761E8">
        <w:rPr>
          <w:rFonts w:ascii="Times New Roman" w:hAnsi="Times New Roman"/>
          <w:sz w:val="24"/>
          <w:szCs w:val="24"/>
        </w:rPr>
        <w:t>, находящихся в процессе развода, в результате требовани</w:t>
      </w:r>
      <w:r w:rsidRPr="009761E8">
        <w:rPr>
          <w:rFonts w:ascii="Times New Roman" w:hAnsi="Times New Roman"/>
          <w:sz w:val="24"/>
          <w:szCs w:val="24"/>
        </w:rPr>
        <w:t xml:space="preserve"> одной из сторон или обеих сто</w:t>
      </w:r>
      <w:r w:rsidR="003B4A12" w:rsidRPr="009761E8">
        <w:rPr>
          <w:rFonts w:ascii="Times New Roman" w:hAnsi="Times New Roman"/>
          <w:sz w:val="24"/>
          <w:szCs w:val="24"/>
        </w:rPr>
        <w:t>рон в случае возникновения спорных ситуаций</w:t>
      </w:r>
      <w:r w:rsidRPr="009761E8">
        <w:rPr>
          <w:rFonts w:ascii="Times New Roman" w:hAnsi="Times New Roman"/>
          <w:sz w:val="24"/>
          <w:szCs w:val="24"/>
        </w:rPr>
        <w:t xml:space="preserve"> о стоимости этого имущества; </w:t>
      </w:r>
    </w:p>
    <w:p w:rsidR="00EC00F3" w:rsidRPr="009761E8" w:rsidRDefault="003B4A12"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5) при выкупе или ином </w:t>
      </w:r>
      <w:r w:rsidR="00EC00F3" w:rsidRPr="009761E8">
        <w:rPr>
          <w:rFonts w:ascii="Times New Roman" w:hAnsi="Times New Roman"/>
          <w:sz w:val="24"/>
          <w:szCs w:val="24"/>
        </w:rPr>
        <w:t>изъятии имущества у с</w:t>
      </w:r>
      <w:r w:rsidRPr="009761E8">
        <w:rPr>
          <w:rFonts w:ascii="Times New Roman" w:hAnsi="Times New Roman"/>
          <w:sz w:val="24"/>
          <w:szCs w:val="24"/>
        </w:rPr>
        <w:t>обственников для нужд государства или муниципалитета</w:t>
      </w:r>
      <w:r w:rsidR="00EC00F3" w:rsidRPr="009761E8">
        <w:rPr>
          <w:rFonts w:ascii="Times New Roman" w:hAnsi="Times New Roman"/>
          <w:sz w:val="24"/>
          <w:szCs w:val="24"/>
        </w:rPr>
        <w:t xml:space="preserve">; </w:t>
      </w:r>
    </w:p>
    <w:p w:rsidR="003B4A12" w:rsidRPr="009761E8" w:rsidRDefault="003B4A12"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6) в случае проведения</w:t>
      </w:r>
      <w:r w:rsidR="00EC00F3" w:rsidRPr="009761E8">
        <w:rPr>
          <w:rFonts w:ascii="Times New Roman" w:hAnsi="Times New Roman"/>
          <w:sz w:val="24"/>
          <w:szCs w:val="24"/>
        </w:rPr>
        <w:t xml:space="preserve"> оценки объектов оценки </w:t>
      </w:r>
      <w:r w:rsidRPr="009761E8">
        <w:rPr>
          <w:rFonts w:ascii="Times New Roman" w:hAnsi="Times New Roman"/>
          <w:sz w:val="24"/>
          <w:szCs w:val="24"/>
        </w:rPr>
        <w:t>с целью контроля правильности</w:t>
      </w:r>
      <w:r w:rsidR="00EC00F3" w:rsidRPr="009761E8">
        <w:rPr>
          <w:rFonts w:ascii="Times New Roman" w:hAnsi="Times New Roman"/>
          <w:sz w:val="24"/>
          <w:szCs w:val="24"/>
        </w:rPr>
        <w:t xml:space="preserve"> уплаты налогов </w:t>
      </w:r>
      <w:r w:rsidRPr="009761E8">
        <w:rPr>
          <w:rFonts w:ascii="Times New Roman" w:hAnsi="Times New Roman"/>
          <w:sz w:val="24"/>
          <w:szCs w:val="24"/>
        </w:rPr>
        <w:t>при возникновении споров</w:t>
      </w:r>
      <w:r w:rsidR="00EC00F3" w:rsidRPr="009761E8">
        <w:rPr>
          <w:rFonts w:ascii="Times New Roman" w:hAnsi="Times New Roman"/>
          <w:sz w:val="24"/>
          <w:szCs w:val="24"/>
        </w:rPr>
        <w:t xml:space="preserve"> об ис</w:t>
      </w:r>
      <w:r w:rsidRPr="009761E8">
        <w:rPr>
          <w:rFonts w:ascii="Times New Roman" w:hAnsi="Times New Roman"/>
          <w:sz w:val="24"/>
          <w:szCs w:val="24"/>
        </w:rPr>
        <w:t>числении налогооблагаемой базы.</w:t>
      </w:r>
    </w:p>
    <w:p w:rsidR="00EC00F3" w:rsidRPr="009761E8"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 xml:space="preserve">Стоит </w:t>
      </w:r>
      <w:r w:rsidR="00C05AAB" w:rsidRPr="009761E8">
        <w:rPr>
          <w:rFonts w:ascii="Times New Roman" w:hAnsi="Times New Roman"/>
          <w:sz w:val="24"/>
          <w:szCs w:val="24"/>
        </w:rPr>
        <w:t>заметить</w:t>
      </w:r>
      <w:r w:rsidRPr="009761E8">
        <w:rPr>
          <w:rFonts w:ascii="Times New Roman" w:hAnsi="Times New Roman"/>
          <w:sz w:val="24"/>
          <w:szCs w:val="24"/>
        </w:rPr>
        <w:t>,</w:t>
      </w:r>
      <w:r w:rsidR="00C05AAB" w:rsidRPr="009761E8">
        <w:rPr>
          <w:rFonts w:ascii="Times New Roman" w:hAnsi="Times New Roman"/>
          <w:sz w:val="24"/>
          <w:szCs w:val="24"/>
        </w:rPr>
        <w:t xml:space="preserve"> что согласно</w:t>
      </w:r>
      <w:r w:rsidRPr="009761E8">
        <w:rPr>
          <w:rFonts w:ascii="Times New Roman" w:hAnsi="Times New Roman"/>
          <w:sz w:val="24"/>
          <w:szCs w:val="24"/>
        </w:rPr>
        <w:t xml:space="preserve"> </w:t>
      </w:r>
      <w:r w:rsidR="00C05AAB" w:rsidRPr="009761E8">
        <w:rPr>
          <w:rFonts w:ascii="Times New Roman" w:hAnsi="Times New Roman"/>
          <w:sz w:val="24"/>
          <w:szCs w:val="24"/>
        </w:rPr>
        <w:t>п. 1 ст. 105.19 НК РФ, заключать соглашения касательно ценообразования</w:t>
      </w:r>
      <w:r w:rsidRPr="009761E8">
        <w:rPr>
          <w:rFonts w:ascii="Times New Roman" w:hAnsi="Times New Roman"/>
          <w:sz w:val="24"/>
          <w:szCs w:val="24"/>
        </w:rPr>
        <w:t xml:space="preserve"> </w:t>
      </w:r>
      <w:r w:rsidR="00C05AAB" w:rsidRPr="009761E8">
        <w:rPr>
          <w:rFonts w:ascii="Times New Roman" w:hAnsi="Times New Roman"/>
          <w:sz w:val="24"/>
          <w:szCs w:val="24"/>
        </w:rPr>
        <w:t>могут только крупнейшие налогоплательщики</w:t>
      </w:r>
      <w:r w:rsidRPr="009761E8">
        <w:rPr>
          <w:rFonts w:ascii="Times New Roman" w:hAnsi="Times New Roman"/>
          <w:sz w:val="24"/>
          <w:szCs w:val="24"/>
        </w:rPr>
        <w:t xml:space="preserve">. Соглашение о ценообразовании представляет собой договор между налогоплательщиком и налоговым органом о порядке определения цен и (или) применения методов ценообразования в контролируемых сделках для целей налогообложения (п. 2 ст. 105.19 НК РФ). </w:t>
      </w:r>
    </w:p>
    <w:p w:rsidR="00EC00F3" w:rsidRDefault="00EC00F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З</w:t>
      </w:r>
      <w:r w:rsidR="00C05AAB" w:rsidRPr="009761E8">
        <w:rPr>
          <w:rFonts w:ascii="Times New Roman" w:hAnsi="Times New Roman"/>
          <w:sz w:val="24"/>
          <w:szCs w:val="24"/>
        </w:rPr>
        <w:t xml:space="preserve">аключение ценового </w:t>
      </w:r>
      <w:r w:rsidRPr="009761E8">
        <w:rPr>
          <w:rFonts w:ascii="Times New Roman" w:hAnsi="Times New Roman"/>
          <w:sz w:val="24"/>
          <w:szCs w:val="24"/>
        </w:rPr>
        <w:t xml:space="preserve">соглашения </w:t>
      </w:r>
      <w:r w:rsidR="00C05AAB" w:rsidRPr="009761E8">
        <w:rPr>
          <w:rFonts w:ascii="Times New Roman" w:hAnsi="Times New Roman"/>
          <w:sz w:val="24"/>
          <w:szCs w:val="24"/>
        </w:rPr>
        <w:t xml:space="preserve">несет добровольных характер, </w:t>
      </w:r>
      <w:r w:rsidR="00370675" w:rsidRPr="009761E8">
        <w:rPr>
          <w:rFonts w:ascii="Times New Roman" w:hAnsi="Times New Roman"/>
          <w:sz w:val="24"/>
          <w:szCs w:val="24"/>
        </w:rPr>
        <w:t>а</w:t>
      </w:r>
      <w:r w:rsidR="00C05AAB" w:rsidRPr="009761E8">
        <w:rPr>
          <w:rFonts w:ascii="Times New Roman" w:hAnsi="Times New Roman"/>
          <w:sz w:val="24"/>
          <w:szCs w:val="24"/>
        </w:rPr>
        <w:t xml:space="preserve"> означает, что ФНС России в особых ситуациях может дать отказ</w:t>
      </w:r>
      <w:r w:rsidR="0011081B" w:rsidRPr="009761E8">
        <w:rPr>
          <w:rFonts w:ascii="Times New Roman" w:hAnsi="Times New Roman"/>
          <w:sz w:val="24"/>
          <w:szCs w:val="24"/>
        </w:rPr>
        <w:t xml:space="preserve"> </w:t>
      </w:r>
      <w:r w:rsidRPr="009761E8">
        <w:rPr>
          <w:rFonts w:ascii="Times New Roman" w:hAnsi="Times New Roman"/>
          <w:sz w:val="24"/>
          <w:szCs w:val="24"/>
        </w:rPr>
        <w:t>в его заключении</w:t>
      </w:r>
      <w:r w:rsidR="0011081B" w:rsidRPr="009761E8">
        <w:rPr>
          <w:rFonts w:ascii="Times New Roman" w:hAnsi="Times New Roman"/>
          <w:sz w:val="24"/>
          <w:szCs w:val="24"/>
        </w:rPr>
        <w:t>. Как правило,</w:t>
      </w:r>
      <w:r w:rsidR="00370675" w:rsidRPr="009761E8">
        <w:rPr>
          <w:rFonts w:ascii="Times New Roman" w:hAnsi="Times New Roman"/>
          <w:sz w:val="24"/>
          <w:szCs w:val="24"/>
        </w:rPr>
        <w:t xml:space="preserve"> это связано с рисками</w:t>
      </w:r>
      <w:r w:rsidR="0011081B" w:rsidRPr="009761E8">
        <w:rPr>
          <w:rFonts w:ascii="Times New Roman" w:hAnsi="Times New Roman"/>
          <w:sz w:val="24"/>
          <w:szCs w:val="24"/>
        </w:rPr>
        <w:t xml:space="preserve"> соглашения, которые подразумевают наличие информации в поданном заявлении, указывающей возможность </w:t>
      </w:r>
      <w:r w:rsidRPr="009761E8">
        <w:rPr>
          <w:rFonts w:ascii="Times New Roman" w:hAnsi="Times New Roman"/>
          <w:sz w:val="24"/>
          <w:szCs w:val="24"/>
        </w:rPr>
        <w:t xml:space="preserve">уклонения от уплаты налогов. </w:t>
      </w:r>
    </w:p>
    <w:p w:rsidR="00782D2D" w:rsidRDefault="000C4564" w:rsidP="00782D2D">
      <w:pPr>
        <w:spacing w:after="0" w:line="360" w:lineRule="auto"/>
        <w:ind w:firstLine="851"/>
        <w:jc w:val="both"/>
        <w:rPr>
          <w:rFonts w:ascii="Times New Roman" w:hAnsi="Times New Roman"/>
          <w:sz w:val="24"/>
          <w:szCs w:val="24"/>
        </w:rPr>
      </w:pPr>
      <w:r w:rsidRPr="000C4564">
        <w:rPr>
          <w:rFonts w:ascii="Times New Roman" w:hAnsi="Times New Roman"/>
          <w:sz w:val="24"/>
          <w:szCs w:val="24"/>
        </w:rPr>
        <w:t>Чтобы заключить соглашение о ценообразовании, налогоплательщик должен обратиться с соответствующим заявлением в ФНС России. Форма такого заявления утверждена письмом ФНС России №ОА-4-13/85@. Помимо самого заявления, налогоплательщику также надо п</w:t>
      </w:r>
      <w:r w:rsidR="00782D2D">
        <w:rPr>
          <w:rFonts w:ascii="Times New Roman" w:hAnsi="Times New Roman"/>
          <w:sz w:val="24"/>
          <w:szCs w:val="24"/>
        </w:rPr>
        <w:t>редставить следующие документы:</w:t>
      </w:r>
    </w:p>
    <w:p w:rsidR="00782D2D" w:rsidRPr="00782D2D" w:rsidRDefault="000C4564" w:rsidP="00782D2D">
      <w:pPr>
        <w:pStyle w:val="a3"/>
        <w:numPr>
          <w:ilvl w:val="0"/>
          <w:numId w:val="33"/>
        </w:numPr>
        <w:spacing w:after="0" w:line="360" w:lineRule="auto"/>
        <w:jc w:val="both"/>
        <w:rPr>
          <w:rFonts w:ascii="Times New Roman" w:hAnsi="Times New Roman"/>
          <w:sz w:val="24"/>
          <w:szCs w:val="24"/>
        </w:rPr>
      </w:pPr>
      <w:r w:rsidRPr="00782D2D">
        <w:rPr>
          <w:rFonts w:ascii="Times New Roman" w:hAnsi="Times New Roman"/>
          <w:sz w:val="24"/>
          <w:szCs w:val="24"/>
        </w:rPr>
        <w:t>проект соглашения о ценообразовании;</w:t>
      </w:r>
    </w:p>
    <w:p w:rsidR="00782D2D" w:rsidRPr="00782D2D" w:rsidRDefault="000C4564" w:rsidP="00782D2D">
      <w:pPr>
        <w:pStyle w:val="a3"/>
        <w:numPr>
          <w:ilvl w:val="0"/>
          <w:numId w:val="33"/>
        </w:numPr>
        <w:spacing w:after="0" w:line="360" w:lineRule="auto"/>
        <w:jc w:val="both"/>
        <w:rPr>
          <w:rFonts w:ascii="Times New Roman" w:hAnsi="Times New Roman"/>
          <w:sz w:val="24"/>
          <w:szCs w:val="24"/>
        </w:rPr>
      </w:pPr>
      <w:r w:rsidRPr="00782D2D">
        <w:rPr>
          <w:rFonts w:ascii="Times New Roman" w:hAnsi="Times New Roman"/>
          <w:sz w:val="24"/>
          <w:szCs w:val="24"/>
        </w:rPr>
        <w:t>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rsidR="00782D2D" w:rsidRPr="00782D2D" w:rsidRDefault="000C4564" w:rsidP="00782D2D">
      <w:pPr>
        <w:pStyle w:val="a3"/>
        <w:numPr>
          <w:ilvl w:val="0"/>
          <w:numId w:val="33"/>
        </w:numPr>
        <w:spacing w:after="0" w:line="360" w:lineRule="auto"/>
        <w:jc w:val="both"/>
        <w:rPr>
          <w:rFonts w:ascii="Times New Roman" w:hAnsi="Times New Roman"/>
          <w:sz w:val="24"/>
          <w:szCs w:val="24"/>
        </w:rPr>
      </w:pPr>
      <w:r w:rsidRPr="00782D2D">
        <w:rPr>
          <w:rFonts w:ascii="Times New Roman" w:hAnsi="Times New Roman"/>
          <w:sz w:val="24"/>
          <w:szCs w:val="24"/>
        </w:rPr>
        <w:t>копии учредительных документов налогоплательщика;</w:t>
      </w:r>
    </w:p>
    <w:p w:rsidR="00782D2D" w:rsidRPr="00782D2D" w:rsidRDefault="000C4564" w:rsidP="00782D2D">
      <w:pPr>
        <w:pStyle w:val="a3"/>
        <w:numPr>
          <w:ilvl w:val="0"/>
          <w:numId w:val="33"/>
        </w:numPr>
        <w:spacing w:after="0" w:line="360" w:lineRule="auto"/>
        <w:jc w:val="both"/>
        <w:rPr>
          <w:rFonts w:ascii="Times New Roman" w:hAnsi="Times New Roman"/>
          <w:sz w:val="24"/>
          <w:szCs w:val="24"/>
        </w:rPr>
      </w:pPr>
      <w:r w:rsidRPr="00782D2D">
        <w:rPr>
          <w:rFonts w:ascii="Times New Roman" w:hAnsi="Times New Roman"/>
          <w:sz w:val="24"/>
          <w:szCs w:val="24"/>
        </w:rPr>
        <w:t>копию свидетельства о государственной регистрации налогоплательщика;</w:t>
      </w:r>
    </w:p>
    <w:p w:rsidR="00782D2D" w:rsidRPr="00782D2D" w:rsidRDefault="000C4564" w:rsidP="00782D2D">
      <w:pPr>
        <w:pStyle w:val="a3"/>
        <w:numPr>
          <w:ilvl w:val="0"/>
          <w:numId w:val="33"/>
        </w:numPr>
        <w:spacing w:after="0" w:line="360" w:lineRule="auto"/>
        <w:jc w:val="both"/>
        <w:rPr>
          <w:rFonts w:ascii="Times New Roman" w:hAnsi="Times New Roman"/>
          <w:sz w:val="24"/>
          <w:szCs w:val="24"/>
        </w:rPr>
      </w:pPr>
      <w:r w:rsidRPr="00782D2D">
        <w:rPr>
          <w:rFonts w:ascii="Times New Roman" w:hAnsi="Times New Roman"/>
          <w:sz w:val="24"/>
          <w:szCs w:val="24"/>
        </w:rPr>
        <w:t>копию свидетельства о постановке на учет налогоплательщика в налоговом органе по месту его нахождения на территории Российской Федерации;</w:t>
      </w:r>
    </w:p>
    <w:p w:rsidR="00782D2D" w:rsidRPr="00782D2D" w:rsidRDefault="000C4564" w:rsidP="00782D2D">
      <w:pPr>
        <w:pStyle w:val="a3"/>
        <w:numPr>
          <w:ilvl w:val="0"/>
          <w:numId w:val="33"/>
        </w:numPr>
        <w:spacing w:after="0" w:line="360" w:lineRule="auto"/>
        <w:jc w:val="both"/>
        <w:rPr>
          <w:rFonts w:ascii="Times New Roman" w:hAnsi="Times New Roman"/>
          <w:sz w:val="24"/>
          <w:szCs w:val="24"/>
        </w:rPr>
      </w:pPr>
      <w:r w:rsidRPr="00782D2D">
        <w:rPr>
          <w:rFonts w:ascii="Times New Roman" w:hAnsi="Times New Roman"/>
          <w:sz w:val="24"/>
          <w:szCs w:val="24"/>
        </w:rPr>
        <w:t>бухгалтерскую отчетность налогоплательщика за последний отчетный период;</w:t>
      </w:r>
    </w:p>
    <w:p w:rsidR="00782D2D" w:rsidRPr="00782D2D" w:rsidRDefault="000C4564" w:rsidP="00782D2D">
      <w:pPr>
        <w:pStyle w:val="a3"/>
        <w:numPr>
          <w:ilvl w:val="0"/>
          <w:numId w:val="33"/>
        </w:numPr>
        <w:spacing w:after="0" w:line="360" w:lineRule="auto"/>
        <w:jc w:val="both"/>
        <w:rPr>
          <w:rFonts w:ascii="Times New Roman" w:hAnsi="Times New Roman"/>
          <w:sz w:val="24"/>
          <w:szCs w:val="24"/>
        </w:rPr>
      </w:pPr>
      <w:r w:rsidRPr="00782D2D">
        <w:rPr>
          <w:rFonts w:ascii="Times New Roman" w:hAnsi="Times New Roman"/>
          <w:sz w:val="24"/>
          <w:szCs w:val="24"/>
        </w:rPr>
        <w:lastRenderedPageBreak/>
        <w:t>документ, подтверждающий уплату заявителем государственной пошлины за рассмотрение заявления о заключении соглашения о ценообразовании;</w:t>
      </w:r>
    </w:p>
    <w:p w:rsidR="00782D2D" w:rsidRPr="00782D2D" w:rsidRDefault="000C4564" w:rsidP="00782D2D">
      <w:pPr>
        <w:pStyle w:val="a3"/>
        <w:numPr>
          <w:ilvl w:val="0"/>
          <w:numId w:val="33"/>
        </w:numPr>
        <w:spacing w:after="0" w:line="360" w:lineRule="auto"/>
        <w:jc w:val="both"/>
        <w:rPr>
          <w:rFonts w:ascii="Times New Roman" w:hAnsi="Times New Roman"/>
          <w:sz w:val="24"/>
          <w:szCs w:val="24"/>
        </w:rPr>
      </w:pPr>
      <w:r w:rsidRPr="00782D2D">
        <w:rPr>
          <w:rFonts w:ascii="Times New Roman" w:hAnsi="Times New Roman"/>
          <w:sz w:val="24"/>
          <w:szCs w:val="24"/>
        </w:rPr>
        <w:t xml:space="preserve">иные документы, содержащие информацию, имеющую значение при заключении соглашения о ценообразовании (п. 1 ст. 105.22 НК РФ). </w:t>
      </w:r>
    </w:p>
    <w:p w:rsidR="00782D2D" w:rsidRDefault="00782D2D" w:rsidP="00782D2D">
      <w:pPr>
        <w:spacing w:after="0" w:line="360" w:lineRule="auto"/>
        <w:jc w:val="both"/>
        <w:rPr>
          <w:rFonts w:ascii="Times New Roman" w:hAnsi="Times New Roman"/>
          <w:sz w:val="24"/>
          <w:szCs w:val="24"/>
        </w:rPr>
      </w:pPr>
      <w:r>
        <w:rPr>
          <w:rFonts w:ascii="Times New Roman" w:hAnsi="Times New Roman"/>
          <w:sz w:val="24"/>
          <w:szCs w:val="24"/>
        </w:rPr>
        <w:tab/>
      </w:r>
      <w:r w:rsidR="000C4564" w:rsidRPr="000C4564">
        <w:rPr>
          <w:rFonts w:ascii="Times New Roman" w:hAnsi="Times New Roman"/>
          <w:sz w:val="24"/>
          <w:szCs w:val="24"/>
        </w:rPr>
        <w:t>Получив заявление о заключении соглашения, ФНС России создает рабочую группу и уведомляет об этом налогоплательщика.</w:t>
      </w:r>
    </w:p>
    <w:p w:rsidR="000C4564" w:rsidRPr="000C4564" w:rsidRDefault="00782D2D" w:rsidP="00782D2D">
      <w:pPr>
        <w:spacing w:after="0" w:line="360" w:lineRule="auto"/>
        <w:jc w:val="both"/>
        <w:rPr>
          <w:rFonts w:ascii="Times New Roman" w:hAnsi="Times New Roman"/>
          <w:sz w:val="24"/>
          <w:szCs w:val="24"/>
        </w:rPr>
      </w:pPr>
      <w:r>
        <w:rPr>
          <w:rFonts w:ascii="Times New Roman" w:hAnsi="Times New Roman"/>
          <w:sz w:val="24"/>
          <w:szCs w:val="24"/>
        </w:rPr>
        <w:tab/>
      </w:r>
      <w:r w:rsidR="000C4564" w:rsidRPr="000C4564">
        <w:rPr>
          <w:rFonts w:ascii="Times New Roman" w:hAnsi="Times New Roman"/>
          <w:sz w:val="24"/>
          <w:szCs w:val="24"/>
        </w:rPr>
        <w:t>Специалисты рабочей группы знакомятся с заявлением налогоплательщика, проектом соглашения и другими представленными документами. После этого члены рабочей группы и представители налогоплательщика должны обсудить и согласовать условия соглашения. На этом этапе налоговые органы могут запросить у налогоплательщика дополнительные сведения и информацию. На рассмотрение и согласование проекта отводится шесть месяцев. Однако этот срок налоговые органы могут и продлить, максимум до девяти месяцев. Продлить указанный срок могут, если, например, надо провести переговоры с органами власти иностранных государств или есть необходимость в получении дополнительных документов от налогоплательщика, а также в других случаях.</w:t>
      </w:r>
    </w:p>
    <w:p w:rsidR="00782D2D" w:rsidRDefault="000C4564" w:rsidP="0030355C">
      <w:pPr>
        <w:spacing w:after="0" w:line="360" w:lineRule="auto"/>
        <w:ind w:firstLine="708"/>
        <w:jc w:val="both"/>
        <w:rPr>
          <w:rFonts w:ascii="Times New Roman" w:hAnsi="Times New Roman"/>
          <w:sz w:val="24"/>
          <w:szCs w:val="24"/>
        </w:rPr>
      </w:pPr>
      <w:r w:rsidRPr="000C4564">
        <w:rPr>
          <w:rFonts w:ascii="Times New Roman" w:hAnsi="Times New Roman"/>
          <w:sz w:val="24"/>
          <w:szCs w:val="24"/>
        </w:rPr>
        <w:t>По результатам рассмотрения документов, представленных налогоплательщиком, ФНС России выносит одно из следующих решений:</w:t>
      </w:r>
    </w:p>
    <w:p w:rsidR="00782D2D" w:rsidRPr="00782D2D" w:rsidRDefault="00782D2D" w:rsidP="00782D2D">
      <w:pPr>
        <w:pStyle w:val="a3"/>
        <w:numPr>
          <w:ilvl w:val="0"/>
          <w:numId w:val="34"/>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0C4564" w:rsidRPr="00782D2D">
        <w:rPr>
          <w:rFonts w:ascii="Times New Roman" w:hAnsi="Times New Roman"/>
          <w:sz w:val="24"/>
          <w:szCs w:val="24"/>
        </w:rPr>
        <w:t xml:space="preserve">решение о заключении соглашения; </w:t>
      </w:r>
    </w:p>
    <w:p w:rsidR="00782D2D" w:rsidRPr="00782D2D" w:rsidRDefault="00782D2D" w:rsidP="00782D2D">
      <w:pPr>
        <w:pStyle w:val="a3"/>
        <w:numPr>
          <w:ilvl w:val="0"/>
          <w:numId w:val="34"/>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0C4564" w:rsidRPr="00782D2D">
        <w:rPr>
          <w:rFonts w:ascii="Times New Roman" w:hAnsi="Times New Roman"/>
          <w:sz w:val="24"/>
          <w:szCs w:val="24"/>
        </w:rPr>
        <w:t xml:space="preserve">решение об отказе от заключения соглашения; </w:t>
      </w:r>
    </w:p>
    <w:p w:rsidR="00782D2D" w:rsidRPr="00782D2D" w:rsidRDefault="00782D2D" w:rsidP="00782D2D">
      <w:pPr>
        <w:pStyle w:val="a3"/>
        <w:numPr>
          <w:ilvl w:val="0"/>
          <w:numId w:val="34"/>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0C4564" w:rsidRPr="00782D2D">
        <w:rPr>
          <w:rFonts w:ascii="Times New Roman" w:hAnsi="Times New Roman"/>
          <w:sz w:val="24"/>
          <w:szCs w:val="24"/>
        </w:rPr>
        <w:t xml:space="preserve">решение о необходимости доработки проекта соглашения. </w:t>
      </w:r>
    </w:p>
    <w:p w:rsidR="000C4564" w:rsidRPr="009761E8" w:rsidRDefault="000C4564" w:rsidP="0030355C">
      <w:pPr>
        <w:spacing w:after="0" w:line="360" w:lineRule="auto"/>
        <w:ind w:firstLine="708"/>
        <w:jc w:val="both"/>
        <w:rPr>
          <w:rFonts w:ascii="Times New Roman" w:hAnsi="Times New Roman"/>
          <w:sz w:val="24"/>
          <w:szCs w:val="24"/>
        </w:rPr>
      </w:pPr>
      <w:r w:rsidRPr="000C4564">
        <w:rPr>
          <w:rFonts w:ascii="Times New Roman" w:hAnsi="Times New Roman"/>
          <w:sz w:val="24"/>
          <w:szCs w:val="24"/>
        </w:rPr>
        <w:t>Соответствующее решение направляется налогоплательщику по почте заказным письмом в течение пяти дней с даты принятия такого решения. Важно отметить, что в случае отказа ФНС России от заключения соглашения государственная пошлина, в размере 1500000 руб. налогоплательщику не возвращается. В случае необходимости доработки проекта соглашения налогоплательщик вправе после доработки проекта соглашения, устранения выявленные недоработки, и подготовив дополнительную информацию обратиться с повторным заявлением о заключении соглашения. При повторном представлении проекта соглашения и прилагаемых к нему документов ФНС России принимает решение в течение трех месяцев. [15 с. 56]</w:t>
      </w:r>
    </w:p>
    <w:p w:rsidR="00A56353" w:rsidRPr="009761E8" w:rsidRDefault="00EC00F3" w:rsidP="0030355C">
      <w:pPr>
        <w:spacing w:after="0" w:line="360" w:lineRule="auto"/>
        <w:ind w:firstLine="708"/>
        <w:jc w:val="both"/>
        <w:rPr>
          <w:rFonts w:ascii="Times New Roman" w:hAnsi="Times New Roman"/>
          <w:sz w:val="24"/>
          <w:szCs w:val="24"/>
        </w:rPr>
      </w:pPr>
      <w:r w:rsidRPr="009761E8">
        <w:rPr>
          <w:rFonts w:ascii="Times New Roman" w:hAnsi="Times New Roman"/>
          <w:sz w:val="24"/>
          <w:szCs w:val="24"/>
        </w:rPr>
        <w:t xml:space="preserve">Срок действия соглашения </w:t>
      </w:r>
      <w:r w:rsidR="00370675" w:rsidRPr="009761E8">
        <w:rPr>
          <w:rFonts w:ascii="Times New Roman" w:hAnsi="Times New Roman"/>
          <w:sz w:val="24"/>
          <w:szCs w:val="24"/>
        </w:rPr>
        <w:t>должен быть установлен</w:t>
      </w:r>
      <w:r w:rsidRPr="009761E8">
        <w:rPr>
          <w:rFonts w:ascii="Times New Roman" w:hAnsi="Times New Roman"/>
          <w:sz w:val="24"/>
          <w:szCs w:val="24"/>
        </w:rPr>
        <w:t xml:space="preserve"> </w:t>
      </w:r>
      <w:r w:rsidR="00370675" w:rsidRPr="009761E8">
        <w:rPr>
          <w:rFonts w:ascii="Times New Roman" w:hAnsi="Times New Roman"/>
          <w:sz w:val="24"/>
          <w:szCs w:val="24"/>
        </w:rPr>
        <w:t>в соответствии</w:t>
      </w:r>
      <w:r w:rsidRPr="009761E8">
        <w:rPr>
          <w:rFonts w:ascii="Times New Roman" w:hAnsi="Times New Roman"/>
          <w:sz w:val="24"/>
          <w:szCs w:val="24"/>
        </w:rPr>
        <w:t xml:space="preserve"> </w:t>
      </w:r>
      <w:r w:rsidR="00370675" w:rsidRPr="009761E8">
        <w:rPr>
          <w:rFonts w:ascii="Times New Roman" w:hAnsi="Times New Roman"/>
          <w:sz w:val="24"/>
          <w:szCs w:val="24"/>
        </w:rPr>
        <w:t xml:space="preserve">с </w:t>
      </w:r>
      <w:r w:rsidRPr="009761E8">
        <w:rPr>
          <w:rFonts w:ascii="Times New Roman" w:hAnsi="Times New Roman"/>
          <w:sz w:val="24"/>
          <w:szCs w:val="24"/>
        </w:rPr>
        <w:t>д</w:t>
      </w:r>
      <w:r w:rsidR="00370675" w:rsidRPr="009761E8">
        <w:rPr>
          <w:rFonts w:ascii="Times New Roman" w:hAnsi="Times New Roman"/>
          <w:sz w:val="24"/>
          <w:szCs w:val="24"/>
        </w:rPr>
        <w:t>оговоренностью обеих сторон, но он не может превышать</w:t>
      </w:r>
      <w:r w:rsidRPr="009761E8">
        <w:rPr>
          <w:rFonts w:ascii="Times New Roman" w:hAnsi="Times New Roman"/>
          <w:sz w:val="24"/>
          <w:szCs w:val="24"/>
        </w:rPr>
        <w:t xml:space="preserve"> трех лет. </w:t>
      </w:r>
      <w:r w:rsidR="00370675" w:rsidRPr="009761E8">
        <w:rPr>
          <w:rFonts w:ascii="Times New Roman" w:hAnsi="Times New Roman"/>
          <w:sz w:val="24"/>
          <w:szCs w:val="24"/>
        </w:rPr>
        <w:t>В случае соблюдения н</w:t>
      </w:r>
      <w:r w:rsidRPr="009761E8">
        <w:rPr>
          <w:rFonts w:ascii="Times New Roman" w:hAnsi="Times New Roman"/>
          <w:sz w:val="24"/>
          <w:szCs w:val="24"/>
        </w:rPr>
        <w:t>алогоплательщик</w:t>
      </w:r>
      <w:r w:rsidR="00370675" w:rsidRPr="009761E8">
        <w:rPr>
          <w:rFonts w:ascii="Times New Roman" w:hAnsi="Times New Roman"/>
          <w:sz w:val="24"/>
          <w:szCs w:val="24"/>
        </w:rPr>
        <w:t xml:space="preserve">ом </w:t>
      </w:r>
      <w:r w:rsidRPr="009761E8">
        <w:rPr>
          <w:rFonts w:ascii="Times New Roman" w:hAnsi="Times New Roman"/>
          <w:sz w:val="24"/>
          <w:szCs w:val="24"/>
        </w:rPr>
        <w:t>условий соглашения</w:t>
      </w:r>
      <w:r w:rsidR="00370675" w:rsidRPr="009761E8">
        <w:rPr>
          <w:rFonts w:ascii="Times New Roman" w:hAnsi="Times New Roman"/>
          <w:sz w:val="24"/>
          <w:szCs w:val="24"/>
        </w:rPr>
        <w:t xml:space="preserve">, он имеет право подать заявление в ФНС на продление срока его действия, но </w:t>
      </w:r>
      <w:r w:rsidRPr="009761E8">
        <w:rPr>
          <w:rFonts w:ascii="Times New Roman" w:hAnsi="Times New Roman"/>
          <w:sz w:val="24"/>
          <w:szCs w:val="24"/>
        </w:rPr>
        <w:t>не более чем на д</w:t>
      </w:r>
      <w:r w:rsidR="00370675" w:rsidRPr="009761E8">
        <w:rPr>
          <w:rFonts w:ascii="Times New Roman" w:hAnsi="Times New Roman"/>
          <w:sz w:val="24"/>
          <w:szCs w:val="24"/>
        </w:rPr>
        <w:t xml:space="preserve">ва года. Соглашение утрачивает свою юридическую силу в двух случаях: по истечении срока </w:t>
      </w:r>
      <w:r w:rsidRPr="009761E8">
        <w:rPr>
          <w:rFonts w:ascii="Times New Roman" w:hAnsi="Times New Roman"/>
          <w:sz w:val="24"/>
          <w:szCs w:val="24"/>
        </w:rPr>
        <w:t>действия</w:t>
      </w:r>
      <w:r w:rsidR="00370675" w:rsidRPr="009761E8">
        <w:rPr>
          <w:rFonts w:ascii="Times New Roman" w:hAnsi="Times New Roman"/>
          <w:sz w:val="24"/>
          <w:szCs w:val="24"/>
        </w:rPr>
        <w:t xml:space="preserve"> или же досрочно</w:t>
      </w:r>
      <w:r w:rsidRPr="009761E8">
        <w:rPr>
          <w:rFonts w:ascii="Times New Roman" w:hAnsi="Times New Roman"/>
          <w:sz w:val="24"/>
          <w:szCs w:val="24"/>
        </w:rPr>
        <w:t>.</w:t>
      </w:r>
      <w:r w:rsidR="00370675" w:rsidRPr="009761E8">
        <w:rPr>
          <w:rFonts w:ascii="Times New Roman" w:hAnsi="Times New Roman"/>
          <w:sz w:val="24"/>
          <w:szCs w:val="24"/>
        </w:rPr>
        <w:t xml:space="preserve"> </w:t>
      </w:r>
      <w:r w:rsidR="00370675" w:rsidRPr="009761E8">
        <w:rPr>
          <w:rFonts w:ascii="Times New Roman" w:hAnsi="Times New Roman"/>
          <w:sz w:val="24"/>
          <w:szCs w:val="24"/>
        </w:rPr>
        <w:lastRenderedPageBreak/>
        <w:t>Последний вариант развития событий подразумевает либо взаимное согласие сторон на расторжение соглашения, либо его</w:t>
      </w:r>
      <w:r w:rsidRPr="009761E8">
        <w:rPr>
          <w:rFonts w:ascii="Times New Roman" w:hAnsi="Times New Roman"/>
          <w:sz w:val="24"/>
          <w:szCs w:val="24"/>
        </w:rPr>
        <w:t xml:space="preserve"> </w:t>
      </w:r>
      <w:r w:rsidR="00370675" w:rsidRPr="009761E8">
        <w:rPr>
          <w:rFonts w:ascii="Times New Roman" w:hAnsi="Times New Roman"/>
          <w:sz w:val="24"/>
          <w:szCs w:val="24"/>
        </w:rPr>
        <w:t xml:space="preserve">расторжение налоговым органом. Причиной может выступать нарушение </w:t>
      </w:r>
      <w:r w:rsidR="00A56353" w:rsidRPr="009761E8">
        <w:rPr>
          <w:rFonts w:ascii="Times New Roman" w:hAnsi="Times New Roman"/>
          <w:sz w:val="24"/>
          <w:szCs w:val="24"/>
        </w:rPr>
        <w:t>налогоплательщиком соглашения, что подразумевает уклонение от полной уплаты налогов.</w:t>
      </w:r>
      <w:r w:rsidR="00370675" w:rsidRPr="009761E8">
        <w:rPr>
          <w:rFonts w:ascii="Times New Roman" w:hAnsi="Times New Roman"/>
          <w:sz w:val="24"/>
          <w:szCs w:val="24"/>
        </w:rPr>
        <w:t xml:space="preserve"> </w:t>
      </w:r>
    </w:p>
    <w:p w:rsidR="00EC00F3" w:rsidRPr="009761E8" w:rsidRDefault="00A56353" w:rsidP="009761E8">
      <w:pPr>
        <w:spacing w:after="0" w:line="360" w:lineRule="auto"/>
        <w:ind w:firstLine="851"/>
        <w:jc w:val="both"/>
        <w:rPr>
          <w:rFonts w:ascii="Times New Roman" w:hAnsi="Times New Roman"/>
          <w:sz w:val="24"/>
          <w:szCs w:val="24"/>
        </w:rPr>
      </w:pPr>
      <w:r w:rsidRPr="009761E8">
        <w:rPr>
          <w:rFonts w:ascii="Times New Roman" w:hAnsi="Times New Roman"/>
          <w:sz w:val="24"/>
          <w:szCs w:val="24"/>
        </w:rPr>
        <w:t>Налогоплательщик</w:t>
      </w:r>
      <w:r w:rsidR="00EC00F3" w:rsidRPr="009761E8">
        <w:rPr>
          <w:rFonts w:ascii="Times New Roman" w:hAnsi="Times New Roman"/>
          <w:sz w:val="24"/>
          <w:szCs w:val="24"/>
        </w:rPr>
        <w:t xml:space="preserve">, </w:t>
      </w:r>
      <w:r w:rsidRPr="009761E8">
        <w:rPr>
          <w:rFonts w:ascii="Times New Roman" w:hAnsi="Times New Roman"/>
          <w:sz w:val="24"/>
          <w:szCs w:val="24"/>
        </w:rPr>
        <w:t>который заключил</w:t>
      </w:r>
      <w:r w:rsidR="00EC00F3" w:rsidRPr="009761E8">
        <w:rPr>
          <w:rFonts w:ascii="Times New Roman" w:hAnsi="Times New Roman"/>
          <w:sz w:val="24"/>
          <w:szCs w:val="24"/>
        </w:rPr>
        <w:t xml:space="preserve"> соглашение о ценообразовании, </w:t>
      </w:r>
      <w:r w:rsidRPr="009761E8">
        <w:rPr>
          <w:rFonts w:ascii="Times New Roman" w:hAnsi="Times New Roman"/>
          <w:sz w:val="24"/>
          <w:szCs w:val="24"/>
        </w:rPr>
        <w:t>имеет большое количество преимуществ, а именно</w:t>
      </w:r>
      <w:r w:rsidR="00B43E75">
        <w:rPr>
          <w:rFonts w:ascii="Times New Roman" w:hAnsi="Times New Roman"/>
          <w:sz w:val="24"/>
          <w:szCs w:val="24"/>
        </w:rPr>
        <w:t>: [2</w:t>
      </w:r>
      <w:r w:rsidR="00EC00F3" w:rsidRPr="009761E8">
        <w:rPr>
          <w:rFonts w:ascii="Times New Roman" w:hAnsi="Times New Roman"/>
          <w:sz w:val="24"/>
          <w:szCs w:val="24"/>
        </w:rPr>
        <w:t>]</w:t>
      </w:r>
    </w:p>
    <w:p w:rsidR="00EC00F3" w:rsidRPr="0030355C" w:rsidRDefault="00A56353" w:rsidP="0030355C">
      <w:pPr>
        <w:pStyle w:val="a3"/>
        <w:numPr>
          <w:ilvl w:val="0"/>
          <w:numId w:val="40"/>
        </w:numPr>
        <w:spacing w:after="0" w:line="360" w:lineRule="auto"/>
        <w:jc w:val="both"/>
        <w:rPr>
          <w:rFonts w:ascii="Times New Roman" w:hAnsi="Times New Roman"/>
          <w:sz w:val="24"/>
          <w:szCs w:val="24"/>
        </w:rPr>
      </w:pPr>
      <w:r w:rsidRPr="0030355C">
        <w:rPr>
          <w:rFonts w:ascii="Times New Roman" w:hAnsi="Times New Roman"/>
          <w:sz w:val="24"/>
          <w:szCs w:val="24"/>
        </w:rPr>
        <w:t xml:space="preserve">при соблюдении условий соглашения </w:t>
      </w:r>
      <w:r w:rsidR="00EC00F3" w:rsidRPr="0030355C">
        <w:rPr>
          <w:rFonts w:ascii="Times New Roman" w:hAnsi="Times New Roman"/>
          <w:sz w:val="24"/>
          <w:szCs w:val="24"/>
        </w:rPr>
        <w:t xml:space="preserve">налоговые органы не </w:t>
      </w:r>
      <w:r w:rsidRPr="0030355C">
        <w:rPr>
          <w:rFonts w:ascii="Times New Roman" w:hAnsi="Times New Roman"/>
          <w:sz w:val="24"/>
          <w:szCs w:val="24"/>
        </w:rPr>
        <w:t>могут доначислять налоги, пене и штрафы относительно сделок</w:t>
      </w:r>
      <w:r w:rsidR="00EC00F3" w:rsidRPr="0030355C">
        <w:rPr>
          <w:rFonts w:ascii="Times New Roman" w:hAnsi="Times New Roman"/>
          <w:sz w:val="24"/>
          <w:szCs w:val="24"/>
        </w:rPr>
        <w:t xml:space="preserve">, цены по которым (или методы их определения) были </w:t>
      </w:r>
      <w:r w:rsidRPr="0030355C">
        <w:rPr>
          <w:rFonts w:ascii="Times New Roman" w:hAnsi="Times New Roman"/>
          <w:sz w:val="24"/>
          <w:szCs w:val="24"/>
        </w:rPr>
        <w:t>оговорены</w:t>
      </w:r>
      <w:r w:rsidR="00EC00F3" w:rsidRPr="0030355C">
        <w:rPr>
          <w:rFonts w:ascii="Times New Roman" w:hAnsi="Times New Roman"/>
          <w:sz w:val="24"/>
          <w:szCs w:val="24"/>
        </w:rPr>
        <w:t xml:space="preserve"> в соглашении; </w:t>
      </w:r>
    </w:p>
    <w:p w:rsidR="00A56353" w:rsidRPr="0030355C" w:rsidRDefault="00A56353" w:rsidP="0030355C">
      <w:pPr>
        <w:pStyle w:val="a3"/>
        <w:numPr>
          <w:ilvl w:val="0"/>
          <w:numId w:val="40"/>
        </w:numPr>
        <w:spacing w:after="0" w:line="360" w:lineRule="auto"/>
        <w:jc w:val="both"/>
        <w:rPr>
          <w:rFonts w:ascii="Times New Roman" w:hAnsi="Times New Roman"/>
          <w:sz w:val="24"/>
          <w:szCs w:val="24"/>
        </w:rPr>
      </w:pPr>
      <w:r w:rsidRPr="0030355C">
        <w:rPr>
          <w:rFonts w:ascii="Times New Roman" w:hAnsi="Times New Roman"/>
          <w:sz w:val="24"/>
          <w:szCs w:val="24"/>
        </w:rPr>
        <w:t>налоговые обязательства, связанные с контролируемыми сделками, могут быть более точно определены налогоплательщиком, что позволит оптимизировать налоговое бремя во времени;</w:t>
      </w:r>
    </w:p>
    <w:p w:rsidR="00EC00F3" w:rsidRPr="0030355C" w:rsidRDefault="00A56353" w:rsidP="0030355C">
      <w:pPr>
        <w:pStyle w:val="a3"/>
        <w:numPr>
          <w:ilvl w:val="0"/>
          <w:numId w:val="40"/>
        </w:numPr>
        <w:spacing w:after="0" w:line="360" w:lineRule="auto"/>
        <w:jc w:val="both"/>
        <w:rPr>
          <w:rFonts w:ascii="Times New Roman" w:hAnsi="Times New Roman"/>
          <w:sz w:val="24"/>
          <w:szCs w:val="24"/>
        </w:rPr>
      </w:pPr>
      <w:r w:rsidRPr="0030355C">
        <w:rPr>
          <w:rFonts w:ascii="Times New Roman" w:hAnsi="Times New Roman"/>
          <w:sz w:val="24"/>
          <w:szCs w:val="24"/>
        </w:rPr>
        <w:t xml:space="preserve">освобождение от обязанностей </w:t>
      </w:r>
      <w:r w:rsidR="00EC00F3" w:rsidRPr="0030355C">
        <w:rPr>
          <w:rFonts w:ascii="Times New Roman" w:hAnsi="Times New Roman"/>
          <w:sz w:val="24"/>
          <w:szCs w:val="24"/>
        </w:rPr>
        <w:t>налогоплательщик</w:t>
      </w:r>
      <w:r w:rsidRPr="0030355C">
        <w:rPr>
          <w:rFonts w:ascii="Times New Roman" w:hAnsi="Times New Roman"/>
          <w:sz w:val="24"/>
          <w:szCs w:val="24"/>
        </w:rPr>
        <w:t>а подготавливать документы, необходимые для контроля трансфертного ценообразования</w:t>
      </w:r>
      <w:r w:rsidR="00EC00F3" w:rsidRPr="0030355C">
        <w:rPr>
          <w:rFonts w:ascii="Times New Roman" w:hAnsi="Times New Roman"/>
          <w:sz w:val="24"/>
          <w:szCs w:val="24"/>
        </w:rPr>
        <w:t xml:space="preserve"> для целей обоснования соответствия п</w:t>
      </w:r>
      <w:r w:rsidRPr="0030355C">
        <w:rPr>
          <w:rFonts w:ascii="Times New Roman" w:hAnsi="Times New Roman"/>
          <w:sz w:val="24"/>
          <w:szCs w:val="24"/>
        </w:rPr>
        <w:t>рименяемых цен рыночному уровню.</w:t>
      </w:r>
    </w:p>
    <w:p w:rsidR="00C84A7E" w:rsidRDefault="00C84A7E" w:rsidP="00C84A7E">
      <w:pPr>
        <w:spacing w:after="0" w:line="360" w:lineRule="auto"/>
        <w:ind w:right="57" w:firstLine="851"/>
        <w:jc w:val="both"/>
        <w:rPr>
          <w:rFonts w:ascii="Times New Roman" w:hAnsi="Times New Roman"/>
          <w:sz w:val="24"/>
          <w:szCs w:val="24"/>
        </w:rPr>
      </w:pPr>
      <w:r>
        <w:rPr>
          <w:rFonts w:ascii="Times New Roman" w:hAnsi="Times New Roman"/>
          <w:sz w:val="24"/>
          <w:szCs w:val="24"/>
        </w:rPr>
        <w:t xml:space="preserve">Таким образом, </w:t>
      </w:r>
      <w:r w:rsidRPr="00C84A7E">
        <w:rPr>
          <w:rFonts w:ascii="Times New Roman" w:hAnsi="Times New Roman"/>
          <w:sz w:val="24"/>
          <w:szCs w:val="24"/>
        </w:rPr>
        <w:t xml:space="preserve">Преимущества новых правил трансфертного ценообразования состоят в следующем: [17 с. </w:t>
      </w:r>
      <w:r>
        <w:rPr>
          <w:rFonts w:ascii="Times New Roman" w:hAnsi="Times New Roman"/>
          <w:sz w:val="24"/>
          <w:szCs w:val="24"/>
        </w:rPr>
        <w:t>15]</w:t>
      </w:r>
    </w:p>
    <w:p w:rsidR="00C84A7E" w:rsidRPr="00C84A7E" w:rsidRDefault="00C84A7E" w:rsidP="00C84A7E">
      <w:pPr>
        <w:pStyle w:val="a3"/>
        <w:numPr>
          <w:ilvl w:val="0"/>
          <w:numId w:val="35"/>
        </w:numPr>
        <w:spacing w:after="0" w:line="360" w:lineRule="auto"/>
        <w:ind w:right="57"/>
        <w:jc w:val="both"/>
        <w:rPr>
          <w:rFonts w:ascii="Times New Roman" w:hAnsi="Times New Roman"/>
          <w:sz w:val="24"/>
          <w:szCs w:val="24"/>
        </w:rPr>
      </w:pPr>
      <w:r w:rsidRPr="00C84A7E">
        <w:rPr>
          <w:rFonts w:ascii="Times New Roman" w:hAnsi="Times New Roman"/>
          <w:sz w:val="24"/>
          <w:szCs w:val="24"/>
        </w:rPr>
        <w:t>закреплен состав и иерархия источников информации о ценах;</w:t>
      </w:r>
    </w:p>
    <w:p w:rsidR="00C84A7E" w:rsidRPr="00C84A7E" w:rsidRDefault="00C84A7E" w:rsidP="00C84A7E">
      <w:pPr>
        <w:pStyle w:val="a3"/>
        <w:numPr>
          <w:ilvl w:val="0"/>
          <w:numId w:val="35"/>
        </w:numPr>
        <w:spacing w:after="0" w:line="360" w:lineRule="auto"/>
        <w:ind w:right="57"/>
        <w:jc w:val="both"/>
        <w:rPr>
          <w:rFonts w:ascii="Times New Roman" w:hAnsi="Times New Roman"/>
          <w:sz w:val="24"/>
          <w:szCs w:val="24"/>
        </w:rPr>
      </w:pPr>
      <w:r w:rsidRPr="00C84A7E">
        <w:rPr>
          <w:rFonts w:ascii="Times New Roman" w:hAnsi="Times New Roman"/>
          <w:sz w:val="24"/>
          <w:szCs w:val="24"/>
        </w:rPr>
        <w:t>исключены из сферы налогового контроля участники консолидированных групп налогоплательщиков, контролируемых сделок бартерных операций и сделок с отклонениями цены более чем на 20 %, налогоплательщики, не имеющие обособленных подразделений на территории других субъектов Федерации;</w:t>
      </w:r>
    </w:p>
    <w:p w:rsidR="00C84A7E" w:rsidRPr="00C84A7E" w:rsidRDefault="00C84A7E" w:rsidP="00C84A7E">
      <w:pPr>
        <w:pStyle w:val="a3"/>
        <w:numPr>
          <w:ilvl w:val="0"/>
          <w:numId w:val="35"/>
        </w:numPr>
        <w:spacing w:after="0" w:line="360" w:lineRule="auto"/>
        <w:ind w:right="57"/>
        <w:jc w:val="both"/>
        <w:rPr>
          <w:rFonts w:ascii="Times New Roman" w:hAnsi="Times New Roman"/>
          <w:sz w:val="24"/>
          <w:szCs w:val="24"/>
        </w:rPr>
      </w:pPr>
      <w:r w:rsidRPr="00C84A7E">
        <w:rPr>
          <w:rFonts w:ascii="Times New Roman" w:hAnsi="Times New Roman"/>
          <w:sz w:val="24"/>
          <w:szCs w:val="24"/>
        </w:rPr>
        <w:t>увеличено количество методов определения соответствия цен рыночному уровню от трех до пяти: затратный метод; метод сопоставимых рыночных цен; сопоставимой рентабельности; последующей реализации и распределения прибыли;</w:t>
      </w:r>
    </w:p>
    <w:p w:rsidR="00C84A7E" w:rsidRPr="00C84A7E" w:rsidRDefault="00C84A7E" w:rsidP="00C84A7E">
      <w:pPr>
        <w:pStyle w:val="a3"/>
        <w:numPr>
          <w:ilvl w:val="0"/>
          <w:numId w:val="35"/>
        </w:numPr>
        <w:spacing w:after="0" w:line="360" w:lineRule="auto"/>
        <w:ind w:right="57"/>
        <w:jc w:val="both"/>
        <w:rPr>
          <w:rFonts w:ascii="Times New Roman" w:hAnsi="Times New Roman"/>
          <w:sz w:val="24"/>
          <w:szCs w:val="24"/>
        </w:rPr>
      </w:pPr>
      <w:r w:rsidRPr="00C84A7E">
        <w:rPr>
          <w:rFonts w:ascii="Times New Roman" w:hAnsi="Times New Roman"/>
          <w:sz w:val="24"/>
          <w:szCs w:val="24"/>
        </w:rPr>
        <w:t>п. 6 ст. 105.1 НК РФ дано право сторонам сделки самостоятельно признавать себя взаимозависимыми лицами и корректировать налоговую базу (п. 6 ст. 105.3 НК РФ);</w:t>
      </w:r>
    </w:p>
    <w:p w:rsidR="00C84A7E" w:rsidRPr="00C84A7E" w:rsidRDefault="00C84A7E" w:rsidP="00C84A7E">
      <w:pPr>
        <w:pStyle w:val="a3"/>
        <w:numPr>
          <w:ilvl w:val="0"/>
          <w:numId w:val="35"/>
        </w:numPr>
        <w:spacing w:after="0" w:line="360" w:lineRule="auto"/>
        <w:ind w:right="57"/>
        <w:jc w:val="both"/>
        <w:rPr>
          <w:rFonts w:ascii="Times New Roman" w:hAnsi="Times New Roman"/>
          <w:sz w:val="24"/>
          <w:szCs w:val="24"/>
        </w:rPr>
      </w:pPr>
      <w:r w:rsidRPr="00C84A7E">
        <w:rPr>
          <w:rFonts w:ascii="Times New Roman" w:hAnsi="Times New Roman"/>
          <w:sz w:val="24"/>
          <w:szCs w:val="24"/>
        </w:rPr>
        <w:t>дана возможность заключения предварительного соглашения о ценообразовании между крупными предприятиями и налоговыми органами сроком на три года с возможностью пролонгации на два года. Предметом таких соглашений является методика исчисления трансфертных цен по однородным сделкам. Это позволит избежать как применения пени и штрафов, так и доначисления налогов.</w:t>
      </w:r>
    </w:p>
    <w:p w:rsidR="00C84A7E" w:rsidRPr="00C84A7E" w:rsidRDefault="00C84A7E" w:rsidP="00C84A7E">
      <w:pPr>
        <w:spacing w:after="0" w:line="360" w:lineRule="auto"/>
        <w:ind w:right="57" w:firstLine="851"/>
        <w:jc w:val="both"/>
        <w:rPr>
          <w:rFonts w:ascii="Times New Roman" w:hAnsi="Times New Roman"/>
          <w:sz w:val="24"/>
          <w:szCs w:val="24"/>
        </w:rPr>
      </w:pPr>
    </w:p>
    <w:p w:rsidR="00C84A7E" w:rsidRDefault="00C84A7E" w:rsidP="00C84A7E">
      <w:pPr>
        <w:spacing w:after="0" w:line="360" w:lineRule="auto"/>
        <w:ind w:right="57" w:firstLine="851"/>
        <w:jc w:val="both"/>
        <w:rPr>
          <w:rFonts w:ascii="Times New Roman" w:hAnsi="Times New Roman"/>
          <w:sz w:val="24"/>
          <w:szCs w:val="24"/>
        </w:rPr>
      </w:pPr>
      <w:r>
        <w:rPr>
          <w:rFonts w:ascii="Times New Roman" w:hAnsi="Times New Roman"/>
          <w:sz w:val="24"/>
          <w:szCs w:val="24"/>
        </w:rPr>
        <w:lastRenderedPageBreak/>
        <w:t>Одновременно с этим н</w:t>
      </w:r>
      <w:r w:rsidRPr="00C84A7E">
        <w:rPr>
          <w:rFonts w:ascii="Times New Roman" w:hAnsi="Times New Roman"/>
          <w:sz w:val="24"/>
          <w:szCs w:val="24"/>
        </w:rPr>
        <w:t>овые правила трансфертного ценообразования и</w:t>
      </w:r>
      <w:r>
        <w:rPr>
          <w:rFonts w:ascii="Times New Roman" w:hAnsi="Times New Roman"/>
          <w:sz w:val="24"/>
          <w:szCs w:val="24"/>
        </w:rPr>
        <w:t>меют и существенные недостатки:</w:t>
      </w:r>
    </w:p>
    <w:p w:rsidR="00C84A7E" w:rsidRPr="00C84A7E" w:rsidRDefault="00C84A7E" w:rsidP="00C84A7E">
      <w:pPr>
        <w:pStyle w:val="a3"/>
        <w:numPr>
          <w:ilvl w:val="0"/>
          <w:numId w:val="36"/>
        </w:numPr>
        <w:spacing w:after="0" w:line="360" w:lineRule="auto"/>
        <w:ind w:right="57"/>
        <w:jc w:val="both"/>
        <w:rPr>
          <w:rFonts w:ascii="Times New Roman" w:hAnsi="Times New Roman"/>
          <w:sz w:val="24"/>
          <w:szCs w:val="24"/>
        </w:rPr>
      </w:pPr>
      <w:r w:rsidRPr="00C84A7E">
        <w:rPr>
          <w:rFonts w:ascii="Times New Roman" w:hAnsi="Times New Roman"/>
          <w:sz w:val="24"/>
          <w:szCs w:val="24"/>
        </w:rPr>
        <w:t>нормы трансфертного ценообразования не согласованы с положениями таможенного и государственного тарифного регулирования;</w:t>
      </w:r>
    </w:p>
    <w:p w:rsidR="00C84A7E" w:rsidRPr="00C84A7E" w:rsidRDefault="00C84A7E" w:rsidP="00C84A7E">
      <w:pPr>
        <w:pStyle w:val="a3"/>
        <w:numPr>
          <w:ilvl w:val="0"/>
          <w:numId w:val="36"/>
        </w:numPr>
        <w:spacing w:after="0" w:line="360" w:lineRule="auto"/>
        <w:ind w:right="57"/>
        <w:jc w:val="both"/>
        <w:rPr>
          <w:rFonts w:ascii="Times New Roman" w:hAnsi="Times New Roman"/>
          <w:sz w:val="24"/>
          <w:szCs w:val="24"/>
        </w:rPr>
      </w:pPr>
      <w:r w:rsidRPr="00C84A7E">
        <w:rPr>
          <w:rFonts w:ascii="Times New Roman" w:hAnsi="Times New Roman"/>
          <w:sz w:val="24"/>
          <w:szCs w:val="24"/>
        </w:rPr>
        <w:t>отсутствует механизм симметричных корректировок в случае добровольного признания сделки контролируемой и применения последствий такого признания;</w:t>
      </w:r>
    </w:p>
    <w:p w:rsidR="00C84A7E" w:rsidRPr="00C84A7E" w:rsidRDefault="00C84A7E" w:rsidP="00C84A7E">
      <w:pPr>
        <w:pStyle w:val="a3"/>
        <w:numPr>
          <w:ilvl w:val="0"/>
          <w:numId w:val="36"/>
        </w:numPr>
        <w:spacing w:after="0" w:line="360" w:lineRule="auto"/>
        <w:ind w:right="57"/>
        <w:jc w:val="both"/>
        <w:rPr>
          <w:rFonts w:ascii="Times New Roman" w:hAnsi="Times New Roman"/>
          <w:sz w:val="24"/>
          <w:szCs w:val="24"/>
        </w:rPr>
      </w:pPr>
      <w:r w:rsidRPr="00C84A7E">
        <w:rPr>
          <w:rFonts w:ascii="Times New Roman" w:hAnsi="Times New Roman"/>
          <w:sz w:val="24"/>
          <w:szCs w:val="24"/>
        </w:rPr>
        <w:t>значительный временной разрыв в начислении налогов у одной стороны и права на симметричную корректировку с другой;</w:t>
      </w:r>
    </w:p>
    <w:p w:rsidR="00C84A7E" w:rsidRPr="00C84A7E" w:rsidRDefault="00C84A7E" w:rsidP="00C84A7E">
      <w:pPr>
        <w:pStyle w:val="a3"/>
        <w:numPr>
          <w:ilvl w:val="0"/>
          <w:numId w:val="36"/>
        </w:numPr>
        <w:spacing w:after="0" w:line="360" w:lineRule="auto"/>
        <w:ind w:right="57"/>
        <w:jc w:val="both"/>
        <w:rPr>
          <w:rFonts w:ascii="Times New Roman" w:hAnsi="Times New Roman"/>
          <w:sz w:val="24"/>
          <w:szCs w:val="24"/>
        </w:rPr>
      </w:pPr>
      <w:r w:rsidRPr="00C84A7E">
        <w:rPr>
          <w:rFonts w:ascii="Times New Roman" w:hAnsi="Times New Roman"/>
          <w:sz w:val="24"/>
          <w:szCs w:val="24"/>
        </w:rPr>
        <w:t>большие экономические потери предприятий, налоговые санкции составляют 40 % от неуплаченной суммы налога.</w:t>
      </w:r>
    </w:p>
    <w:p w:rsidR="00027DC9" w:rsidRDefault="00C84A7E" w:rsidP="00C84A7E">
      <w:pPr>
        <w:spacing w:after="0" w:line="360" w:lineRule="auto"/>
        <w:ind w:right="57" w:firstLine="851"/>
        <w:jc w:val="both"/>
        <w:rPr>
          <w:rFonts w:ascii="Times New Roman" w:hAnsi="Times New Roman"/>
          <w:sz w:val="24"/>
          <w:szCs w:val="24"/>
        </w:rPr>
      </w:pPr>
      <w:r>
        <w:rPr>
          <w:rFonts w:ascii="Times New Roman" w:hAnsi="Times New Roman"/>
          <w:sz w:val="24"/>
          <w:szCs w:val="24"/>
        </w:rPr>
        <w:t xml:space="preserve">Говоря о реалиях современного экономического пространства в РФ, стоит заметить, что внедрение </w:t>
      </w:r>
      <w:r w:rsidRPr="00C84A7E">
        <w:rPr>
          <w:rFonts w:ascii="Times New Roman" w:hAnsi="Times New Roman"/>
          <w:sz w:val="24"/>
          <w:szCs w:val="24"/>
        </w:rPr>
        <w:t xml:space="preserve">трансфертного ценообразования </w:t>
      </w:r>
      <w:r w:rsidR="00027DC9">
        <w:rPr>
          <w:rFonts w:ascii="Times New Roman" w:hAnsi="Times New Roman"/>
          <w:sz w:val="24"/>
          <w:szCs w:val="24"/>
        </w:rPr>
        <w:t>сталкивается с существенными проблемами:</w:t>
      </w:r>
    </w:p>
    <w:p w:rsidR="00027DC9" w:rsidRPr="00027DC9" w:rsidRDefault="00C84A7E" w:rsidP="00027DC9">
      <w:pPr>
        <w:pStyle w:val="a3"/>
        <w:numPr>
          <w:ilvl w:val="0"/>
          <w:numId w:val="37"/>
        </w:numPr>
        <w:spacing w:after="0" w:line="360" w:lineRule="auto"/>
        <w:ind w:right="57"/>
        <w:jc w:val="both"/>
        <w:rPr>
          <w:rFonts w:ascii="Times New Roman" w:hAnsi="Times New Roman"/>
          <w:sz w:val="24"/>
          <w:szCs w:val="24"/>
        </w:rPr>
      </w:pPr>
      <w:r w:rsidRPr="00027DC9">
        <w:rPr>
          <w:rFonts w:ascii="Times New Roman" w:hAnsi="Times New Roman"/>
          <w:sz w:val="24"/>
          <w:szCs w:val="24"/>
        </w:rPr>
        <w:t>В России отсутствует технологическая база, позволяющая формировать качественную информацию и производить ее быстрый обмен в ходе формирования трансфертных цен. Кроме этого, на российских предприятиях существуют проблемы в области контроля и регулирования затрат. На практике трансфертные цены должны устанавливаться до начала периода предоставления товаров и услуг, так как текущие затраты на производство и реализацию внутренних товаров и услуг должны контролировать потребители.</w:t>
      </w:r>
    </w:p>
    <w:p w:rsidR="00027DC9" w:rsidRPr="00027DC9" w:rsidRDefault="00C84A7E" w:rsidP="00027DC9">
      <w:pPr>
        <w:pStyle w:val="a3"/>
        <w:numPr>
          <w:ilvl w:val="0"/>
          <w:numId w:val="37"/>
        </w:numPr>
        <w:spacing w:after="0" w:line="360" w:lineRule="auto"/>
        <w:ind w:right="57"/>
        <w:jc w:val="both"/>
        <w:rPr>
          <w:rFonts w:ascii="Times New Roman" w:hAnsi="Times New Roman"/>
          <w:sz w:val="24"/>
          <w:szCs w:val="24"/>
        </w:rPr>
      </w:pPr>
      <w:r w:rsidRPr="00027DC9">
        <w:rPr>
          <w:rFonts w:ascii="Times New Roman" w:hAnsi="Times New Roman"/>
          <w:sz w:val="24"/>
          <w:szCs w:val="24"/>
        </w:rPr>
        <w:t>На многих предприятиях России отсутствует даже традиционная система управленческого учета на предприятии, предполагающая деление затрат на постоянные и переменные, но сего</w:t>
      </w:r>
      <w:r w:rsidR="00027DC9" w:rsidRPr="00027DC9">
        <w:rPr>
          <w:rFonts w:ascii="Times New Roman" w:hAnsi="Times New Roman"/>
          <w:sz w:val="24"/>
          <w:szCs w:val="24"/>
        </w:rPr>
        <w:t xml:space="preserve">дня этого недостаточно, так как </w:t>
      </w:r>
      <w:r w:rsidRPr="00027DC9">
        <w:rPr>
          <w:rFonts w:ascii="Times New Roman" w:hAnsi="Times New Roman"/>
          <w:sz w:val="24"/>
          <w:szCs w:val="24"/>
        </w:rPr>
        <w:t>предприятию необходима развитая система управленческого учета, ориентиров</w:t>
      </w:r>
      <w:r w:rsidR="00027DC9" w:rsidRPr="00027DC9">
        <w:rPr>
          <w:rFonts w:ascii="Times New Roman" w:hAnsi="Times New Roman"/>
          <w:sz w:val="24"/>
          <w:szCs w:val="24"/>
        </w:rPr>
        <w:t>анная на стратегию предприятия.</w:t>
      </w:r>
    </w:p>
    <w:p w:rsidR="009B2371" w:rsidRPr="0030355C" w:rsidRDefault="00C84A7E" w:rsidP="0030355C">
      <w:pPr>
        <w:pStyle w:val="a3"/>
        <w:numPr>
          <w:ilvl w:val="0"/>
          <w:numId w:val="37"/>
        </w:numPr>
        <w:spacing w:after="0" w:line="360" w:lineRule="auto"/>
        <w:ind w:right="57"/>
        <w:jc w:val="both"/>
        <w:rPr>
          <w:rFonts w:ascii="Times New Roman" w:hAnsi="Times New Roman"/>
          <w:sz w:val="24"/>
          <w:szCs w:val="24"/>
        </w:rPr>
      </w:pPr>
      <w:r w:rsidRPr="00027DC9">
        <w:rPr>
          <w:rFonts w:ascii="Times New Roman" w:hAnsi="Times New Roman"/>
          <w:sz w:val="24"/>
          <w:szCs w:val="24"/>
        </w:rPr>
        <w:t xml:space="preserve">На российских предприятиях довольно низкий уровень квалификации руководителей в области экономики и управления. Они должны хорошо разбираться в экономике и управлении, понимать, как работают экономические законы и законы рынка, владеть макроэкономической информацией, знать основные принципы управления издержками и прибылью подразделения. </w:t>
      </w:r>
    </w:p>
    <w:p w:rsidR="00027DC9" w:rsidRDefault="00C84A7E" w:rsidP="00C84A7E">
      <w:pPr>
        <w:spacing w:after="0" w:line="360" w:lineRule="auto"/>
        <w:ind w:right="57" w:firstLine="851"/>
        <w:jc w:val="both"/>
        <w:rPr>
          <w:rFonts w:ascii="Times New Roman" w:hAnsi="Times New Roman"/>
          <w:sz w:val="24"/>
          <w:szCs w:val="24"/>
        </w:rPr>
      </w:pPr>
      <w:r w:rsidRPr="00C84A7E">
        <w:rPr>
          <w:rFonts w:ascii="Times New Roman" w:hAnsi="Times New Roman"/>
          <w:sz w:val="24"/>
          <w:szCs w:val="24"/>
        </w:rPr>
        <w:t>Предлагается следующий порядок внедрения трансфертн</w:t>
      </w:r>
      <w:r w:rsidR="00027DC9">
        <w:rPr>
          <w:rFonts w:ascii="Times New Roman" w:hAnsi="Times New Roman"/>
          <w:sz w:val="24"/>
          <w:szCs w:val="24"/>
        </w:rPr>
        <w:t>ых цен на предприятиях России.</w:t>
      </w:r>
    </w:p>
    <w:p w:rsidR="00C84A7E" w:rsidRPr="00C84A7E" w:rsidRDefault="00C84A7E" w:rsidP="00C84A7E">
      <w:pPr>
        <w:spacing w:after="0" w:line="360" w:lineRule="auto"/>
        <w:ind w:right="57" w:firstLine="851"/>
        <w:jc w:val="both"/>
        <w:rPr>
          <w:rFonts w:ascii="Times New Roman" w:hAnsi="Times New Roman"/>
          <w:sz w:val="24"/>
          <w:szCs w:val="24"/>
        </w:rPr>
      </w:pPr>
      <w:r w:rsidRPr="00C84A7E">
        <w:rPr>
          <w:rFonts w:ascii="Times New Roman" w:hAnsi="Times New Roman"/>
          <w:sz w:val="24"/>
          <w:szCs w:val="24"/>
        </w:rPr>
        <w:t xml:space="preserve">Этап 1. Выделение на предприятии центров ответственности, деятельность которых будет оцениваться с помощью трансфертных цен. </w:t>
      </w:r>
      <w:r w:rsidR="009B2371">
        <w:rPr>
          <w:rFonts w:ascii="Times New Roman" w:hAnsi="Times New Roman"/>
          <w:sz w:val="24"/>
          <w:szCs w:val="24"/>
        </w:rPr>
        <w:t>Одним из наиболее важных вопросов в центре</w:t>
      </w:r>
      <w:r w:rsidRPr="00C84A7E">
        <w:rPr>
          <w:rFonts w:ascii="Times New Roman" w:hAnsi="Times New Roman"/>
          <w:sz w:val="24"/>
          <w:szCs w:val="24"/>
        </w:rPr>
        <w:t xml:space="preserve"> ответственности </w:t>
      </w:r>
      <w:r w:rsidR="009B2371">
        <w:rPr>
          <w:rFonts w:ascii="Times New Roman" w:hAnsi="Times New Roman"/>
          <w:sz w:val="24"/>
          <w:szCs w:val="24"/>
        </w:rPr>
        <w:t xml:space="preserve">любой организации </w:t>
      </w:r>
      <w:r w:rsidRPr="00C84A7E">
        <w:rPr>
          <w:rFonts w:ascii="Times New Roman" w:hAnsi="Times New Roman"/>
          <w:sz w:val="24"/>
          <w:szCs w:val="24"/>
        </w:rPr>
        <w:t xml:space="preserve">является степень делегирования. </w:t>
      </w:r>
      <w:r w:rsidRPr="00C84A7E">
        <w:rPr>
          <w:rFonts w:ascii="Times New Roman" w:hAnsi="Times New Roman"/>
          <w:sz w:val="24"/>
          <w:szCs w:val="24"/>
        </w:rPr>
        <w:lastRenderedPageBreak/>
        <w:t xml:space="preserve">Руководители центров ответственности должны </w:t>
      </w:r>
      <w:r w:rsidR="009B2371">
        <w:rPr>
          <w:rFonts w:ascii="Times New Roman" w:hAnsi="Times New Roman"/>
          <w:sz w:val="24"/>
          <w:szCs w:val="24"/>
        </w:rPr>
        <w:t xml:space="preserve">быть наделены </w:t>
      </w:r>
      <w:r w:rsidRPr="00C84A7E">
        <w:rPr>
          <w:rFonts w:ascii="Times New Roman" w:hAnsi="Times New Roman"/>
          <w:sz w:val="24"/>
          <w:szCs w:val="24"/>
        </w:rPr>
        <w:t>полномочия</w:t>
      </w:r>
      <w:r w:rsidR="009B2371">
        <w:rPr>
          <w:rFonts w:ascii="Times New Roman" w:hAnsi="Times New Roman"/>
          <w:sz w:val="24"/>
          <w:szCs w:val="24"/>
        </w:rPr>
        <w:t>ми</w:t>
      </w:r>
      <w:r w:rsidRPr="00C84A7E">
        <w:rPr>
          <w:rFonts w:ascii="Times New Roman" w:hAnsi="Times New Roman"/>
          <w:sz w:val="24"/>
          <w:szCs w:val="24"/>
        </w:rPr>
        <w:t xml:space="preserve"> на право выхода на внешний рынок, а также на получение детальной информации о деятельности подразделений. Для этого необходимо создать единый информационный центр предприятия, сконцентрировать внимание на управлении информационными потоками. Для этих целей руководителям подразделений необходимо пройти переподготовку или повышение квалификации в области экономики и управления.</w:t>
      </w:r>
    </w:p>
    <w:p w:rsidR="00C84A7E" w:rsidRPr="00C84A7E" w:rsidRDefault="00C84A7E" w:rsidP="00C84A7E">
      <w:pPr>
        <w:spacing w:after="0" w:line="360" w:lineRule="auto"/>
        <w:ind w:right="57" w:firstLine="851"/>
        <w:jc w:val="both"/>
        <w:rPr>
          <w:rFonts w:ascii="Times New Roman" w:hAnsi="Times New Roman"/>
          <w:sz w:val="24"/>
          <w:szCs w:val="24"/>
        </w:rPr>
      </w:pPr>
      <w:r w:rsidRPr="00C84A7E">
        <w:rPr>
          <w:rFonts w:ascii="Times New Roman" w:hAnsi="Times New Roman"/>
          <w:sz w:val="24"/>
          <w:szCs w:val="24"/>
        </w:rPr>
        <w:t>Этап 2. Внедрение системы стратегического управленческого учета, который предполагает не только деление затрат на постоянные и переменные, но и дает возможность анализировать внутреннюю и внешнюю среду предприятия, разработать для каждого фактора затрат свою систему анализа, которая позволяет решать проблемы стратегического позиционирования предприятия и товара на рынке. Основной целью стратегического управленческого учета на каждом уровне управления является подбор конкретных показателей эффективности, которые не противоречат стратегии бизнеса, пр</w:t>
      </w:r>
      <w:r w:rsidR="00027DC9">
        <w:rPr>
          <w:rFonts w:ascii="Times New Roman" w:hAnsi="Times New Roman"/>
          <w:sz w:val="24"/>
          <w:szCs w:val="24"/>
        </w:rPr>
        <w:t xml:space="preserve">ичем здесь роль стратегического </w:t>
      </w:r>
      <w:r w:rsidRPr="00C84A7E">
        <w:rPr>
          <w:rFonts w:ascii="Times New Roman" w:hAnsi="Times New Roman"/>
          <w:sz w:val="24"/>
          <w:szCs w:val="24"/>
        </w:rPr>
        <w:t>управленческого учета активная. Он не только обеспечивает предприятие информацией на всех уровнях управления, но и в отношении однотипных повторяющихся управленческих решений разрабатывает обоснованную систему прогнозирования. Стратегический управленческий учет имеет особенности на всех этапах процесса управления.</w:t>
      </w:r>
    </w:p>
    <w:p w:rsidR="00C84A7E" w:rsidRPr="00C84A7E" w:rsidRDefault="00C84A7E" w:rsidP="00C84A7E">
      <w:pPr>
        <w:spacing w:after="0" w:line="360" w:lineRule="auto"/>
        <w:ind w:right="57" w:firstLine="851"/>
        <w:jc w:val="both"/>
        <w:rPr>
          <w:rFonts w:ascii="Times New Roman" w:hAnsi="Times New Roman"/>
          <w:sz w:val="24"/>
          <w:szCs w:val="24"/>
        </w:rPr>
      </w:pPr>
      <w:r w:rsidRPr="00C84A7E">
        <w:rPr>
          <w:rFonts w:ascii="Times New Roman" w:hAnsi="Times New Roman"/>
          <w:sz w:val="24"/>
          <w:szCs w:val="24"/>
        </w:rPr>
        <w:t>На этапе анализа акцент делается на внешних условиях деятельности предп</w:t>
      </w:r>
      <w:r w:rsidR="00027DC9">
        <w:rPr>
          <w:rFonts w:ascii="Times New Roman" w:hAnsi="Times New Roman"/>
          <w:sz w:val="24"/>
          <w:szCs w:val="24"/>
        </w:rPr>
        <w:t>риятия, на основных компонентах</w:t>
      </w:r>
      <w:r w:rsidRPr="00C84A7E">
        <w:rPr>
          <w:rFonts w:ascii="Times New Roman" w:hAnsi="Times New Roman"/>
          <w:sz w:val="24"/>
          <w:szCs w:val="24"/>
        </w:rPr>
        <w:t xml:space="preserve"> бизнеса. На этапе планирования большое внимание должно уделяться стратегическому планированию, и если есть проблемы на предприятии, то своей реструктуризации предприятия. На этапе контроля особое внимание должно быть уделено финансовому мониторингу и отчетности.</w:t>
      </w:r>
    </w:p>
    <w:p w:rsidR="00C84A7E" w:rsidRDefault="00C84A7E" w:rsidP="00C84A7E">
      <w:pPr>
        <w:spacing w:after="0" w:line="360" w:lineRule="auto"/>
        <w:ind w:right="57" w:firstLine="851"/>
        <w:jc w:val="both"/>
        <w:rPr>
          <w:rFonts w:ascii="Times New Roman" w:hAnsi="Times New Roman"/>
          <w:sz w:val="24"/>
          <w:szCs w:val="24"/>
        </w:rPr>
      </w:pPr>
      <w:r w:rsidRPr="00C84A7E">
        <w:rPr>
          <w:rFonts w:ascii="Times New Roman" w:hAnsi="Times New Roman"/>
          <w:sz w:val="24"/>
          <w:szCs w:val="24"/>
        </w:rPr>
        <w:t>Этап 3. Выбор метода ценообразования и методики расчета трансфертной цены. Предприятие может использовать любой метод формирования трансфертных цен, но рациональнее использовать те методы, которые изложены в НК РФ для контролирующих государственных органов. Основным методом при формировании трансфертных цен с целью налогообложения доходов является метод сопоставимых рыночных цен, суть которого состоит в сравнении с ценой на аналогичные товары на внешнем рынке по сопоставимым сделкам с учётом схожести экономических обстоятельств.</w:t>
      </w:r>
    </w:p>
    <w:p w:rsidR="00027DC9" w:rsidRDefault="00027DC9" w:rsidP="00C84A7E">
      <w:pPr>
        <w:spacing w:after="0" w:line="360" w:lineRule="auto"/>
        <w:ind w:right="57" w:firstLine="851"/>
        <w:jc w:val="both"/>
        <w:rPr>
          <w:rFonts w:ascii="Times New Roman" w:hAnsi="Times New Roman"/>
          <w:sz w:val="24"/>
          <w:szCs w:val="24"/>
        </w:rPr>
      </w:pPr>
      <w:r w:rsidRPr="00027DC9">
        <w:rPr>
          <w:rFonts w:ascii="Times New Roman" w:hAnsi="Times New Roman"/>
          <w:sz w:val="24"/>
          <w:szCs w:val="24"/>
        </w:rPr>
        <w:t xml:space="preserve">Этап 4. Создание системы мотивации, связанной с доходами центра ответственности предприятия. Менеджеры подразделений получают новые возможности в формировании дешевых и качественных ресурсов, получая в качестве ограничений только пороговые значения трансфертных цен. Материальная мотивация находит свое отражение в форме премии работникам, которая начисляется в процентах от чистой прибыли </w:t>
      </w:r>
      <w:r w:rsidRPr="00027DC9">
        <w:rPr>
          <w:rFonts w:ascii="Times New Roman" w:hAnsi="Times New Roman"/>
          <w:sz w:val="24"/>
          <w:szCs w:val="24"/>
        </w:rPr>
        <w:lastRenderedPageBreak/>
        <w:t>подразделения. Если центр ответственности работает без прибыли, то работники могут премироваться в зависимости от финансового результата всего предприятия. Данный подход к внедрению трансфертных цен на предприятии позволит оценить эффективность деятельности центров отве</w:t>
      </w:r>
      <w:r>
        <w:rPr>
          <w:rFonts w:ascii="Times New Roman" w:hAnsi="Times New Roman"/>
          <w:sz w:val="24"/>
          <w:szCs w:val="24"/>
        </w:rPr>
        <w:t xml:space="preserve">тственности предприятия, решить </w:t>
      </w:r>
      <w:r w:rsidRPr="00027DC9">
        <w:rPr>
          <w:rFonts w:ascii="Times New Roman" w:hAnsi="Times New Roman"/>
          <w:sz w:val="24"/>
          <w:szCs w:val="24"/>
        </w:rPr>
        <w:t>как тактические, так и стратегические задачи предприятия.</w:t>
      </w:r>
    </w:p>
    <w:p w:rsidR="00EC00F3" w:rsidRPr="009761E8" w:rsidRDefault="00EC00F3" w:rsidP="00CE6E89">
      <w:pPr>
        <w:spacing w:after="0" w:line="360" w:lineRule="auto"/>
        <w:ind w:right="57" w:firstLine="851"/>
        <w:jc w:val="both"/>
        <w:rPr>
          <w:rFonts w:ascii="Times New Roman" w:hAnsi="Times New Roman"/>
          <w:sz w:val="24"/>
          <w:szCs w:val="24"/>
        </w:rPr>
      </w:pPr>
      <w:r w:rsidRPr="009761E8">
        <w:rPr>
          <w:rFonts w:ascii="Times New Roman" w:hAnsi="Times New Roman"/>
          <w:sz w:val="24"/>
          <w:szCs w:val="24"/>
        </w:rPr>
        <w:t xml:space="preserve">Подводя итоги, следует </w:t>
      </w:r>
      <w:r w:rsidR="008602CB" w:rsidRPr="009761E8">
        <w:rPr>
          <w:rFonts w:ascii="Times New Roman" w:hAnsi="Times New Roman"/>
          <w:sz w:val="24"/>
          <w:szCs w:val="24"/>
        </w:rPr>
        <w:t xml:space="preserve">заметить, что </w:t>
      </w:r>
      <w:r w:rsidRPr="009761E8">
        <w:rPr>
          <w:rFonts w:ascii="Times New Roman" w:hAnsi="Times New Roman"/>
          <w:sz w:val="24"/>
          <w:szCs w:val="24"/>
        </w:rPr>
        <w:t xml:space="preserve">введенные изменения позволят значительно упорядочить и повысить эффективность налогового контроля за правильностью исчисления и полнотой уплаты налогов </w:t>
      </w:r>
      <w:r w:rsidR="008602CB" w:rsidRPr="009761E8">
        <w:rPr>
          <w:rFonts w:ascii="Times New Roman" w:hAnsi="Times New Roman"/>
          <w:sz w:val="24"/>
          <w:szCs w:val="24"/>
        </w:rPr>
        <w:t xml:space="preserve">относительно трансфертного ценообразования, что является основанием совершенствования </w:t>
      </w:r>
      <w:r w:rsidRPr="009761E8">
        <w:rPr>
          <w:rFonts w:ascii="Times New Roman" w:hAnsi="Times New Roman"/>
          <w:sz w:val="24"/>
          <w:szCs w:val="24"/>
        </w:rPr>
        <w:t xml:space="preserve">основ определения соответствия цен, примененных в контролируемых сделках, регулируемым или рыночным ценам для целей налогообложения. Однако по оценкам специалистов, ситуация вряд </w:t>
      </w:r>
      <w:r w:rsidR="008602CB" w:rsidRPr="009761E8">
        <w:rPr>
          <w:rFonts w:ascii="Times New Roman" w:hAnsi="Times New Roman"/>
          <w:sz w:val="24"/>
          <w:szCs w:val="24"/>
        </w:rPr>
        <w:t>ли разрешится в ближайшем будущем.</w:t>
      </w:r>
      <w:r w:rsidRPr="009761E8">
        <w:rPr>
          <w:rFonts w:ascii="Times New Roman" w:hAnsi="Times New Roman"/>
          <w:sz w:val="24"/>
          <w:szCs w:val="24"/>
        </w:rPr>
        <w:t xml:space="preserve"> </w:t>
      </w:r>
      <w:r w:rsidR="008602CB" w:rsidRPr="009761E8">
        <w:rPr>
          <w:rFonts w:ascii="Times New Roman" w:hAnsi="Times New Roman"/>
          <w:sz w:val="24"/>
          <w:szCs w:val="24"/>
        </w:rPr>
        <w:t>Правительство должно понимать</w:t>
      </w:r>
      <w:r w:rsidRPr="009761E8">
        <w:rPr>
          <w:rFonts w:ascii="Times New Roman" w:hAnsi="Times New Roman"/>
          <w:sz w:val="24"/>
          <w:szCs w:val="24"/>
        </w:rPr>
        <w:t xml:space="preserve">, что от количества принимаемых законов сущность регулируемого правового института не меняется. </w:t>
      </w:r>
      <w:r w:rsidR="008602CB" w:rsidRPr="009761E8">
        <w:rPr>
          <w:rFonts w:ascii="Times New Roman" w:hAnsi="Times New Roman"/>
          <w:sz w:val="24"/>
          <w:szCs w:val="24"/>
        </w:rPr>
        <w:t>Именно поэтому существует н</w:t>
      </w:r>
      <w:r w:rsidRPr="009761E8">
        <w:rPr>
          <w:rFonts w:ascii="Times New Roman" w:hAnsi="Times New Roman"/>
          <w:sz w:val="24"/>
          <w:szCs w:val="24"/>
        </w:rPr>
        <w:t>еобходимо</w:t>
      </w:r>
      <w:r w:rsidR="008602CB" w:rsidRPr="009761E8">
        <w:rPr>
          <w:rFonts w:ascii="Times New Roman" w:hAnsi="Times New Roman"/>
          <w:sz w:val="24"/>
          <w:szCs w:val="24"/>
        </w:rPr>
        <w:t>сть в выработке единой согласованной концепции</w:t>
      </w:r>
      <w:r w:rsidRPr="009761E8">
        <w:rPr>
          <w:rFonts w:ascii="Times New Roman" w:hAnsi="Times New Roman"/>
          <w:sz w:val="24"/>
          <w:szCs w:val="24"/>
        </w:rPr>
        <w:t xml:space="preserve"> трансфертного ценообразования.</w:t>
      </w:r>
    </w:p>
    <w:p w:rsidR="0081633A" w:rsidRPr="009761E8" w:rsidRDefault="0081633A" w:rsidP="009761E8">
      <w:pPr>
        <w:spacing w:after="0" w:line="360" w:lineRule="auto"/>
        <w:ind w:left="170" w:right="57" w:firstLine="851"/>
        <w:jc w:val="both"/>
        <w:rPr>
          <w:rFonts w:ascii="Times New Roman" w:hAnsi="Times New Roman"/>
          <w:sz w:val="24"/>
          <w:szCs w:val="24"/>
        </w:rPr>
      </w:pPr>
    </w:p>
    <w:p w:rsidR="0081633A" w:rsidRPr="00E869D1" w:rsidRDefault="0081633A" w:rsidP="00E869D1">
      <w:pPr>
        <w:pStyle w:val="2"/>
        <w:spacing w:before="0" w:line="360" w:lineRule="auto"/>
        <w:jc w:val="center"/>
        <w:rPr>
          <w:rFonts w:ascii="Times New Roman" w:hAnsi="Times New Roman" w:cs="Times New Roman"/>
          <w:b/>
          <w:color w:val="auto"/>
          <w:sz w:val="24"/>
          <w:szCs w:val="24"/>
        </w:rPr>
      </w:pPr>
      <w:bookmarkStart w:id="7" w:name="_Toc513844333"/>
      <w:r w:rsidRPr="009761E8">
        <w:rPr>
          <w:rFonts w:ascii="Times New Roman" w:hAnsi="Times New Roman" w:cs="Times New Roman"/>
          <w:b/>
          <w:color w:val="auto"/>
          <w:sz w:val="24"/>
          <w:szCs w:val="24"/>
          <w:shd w:val="clear" w:color="auto" w:fill="FFFFFF"/>
        </w:rPr>
        <w:t>2.2 Анализ основных методов определения рыночной цены в России и пути их совершенствования</w:t>
      </w:r>
      <w:bookmarkEnd w:id="7"/>
      <w:r w:rsidRPr="009761E8">
        <w:rPr>
          <w:rFonts w:ascii="Times New Roman" w:hAnsi="Times New Roman" w:cs="Times New Roman"/>
          <w:b/>
          <w:color w:val="auto"/>
          <w:sz w:val="24"/>
          <w:szCs w:val="24"/>
          <w:shd w:val="clear" w:color="auto" w:fill="FFFFFF"/>
        </w:rPr>
        <w:t> </w:t>
      </w:r>
      <w:r w:rsidRPr="009761E8">
        <w:rPr>
          <w:rFonts w:ascii="Times New Roman" w:hAnsi="Times New Roman" w:cs="Times New Roman"/>
          <w:b/>
          <w:color w:val="auto"/>
          <w:sz w:val="24"/>
          <w:szCs w:val="24"/>
        </w:rPr>
        <w:br/>
      </w:r>
    </w:p>
    <w:p w:rsidR="00872737" w:rsidRDefault="00A6662E"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2B3D72" w:rsidRPr="009761E8">
        <w:rPr>
          <w:rFonts w:ascii="Times New Roman" w:hAnsi="Times New Roman" w:cs="Times New Roman"/>
          <w:sz w:val="24"/>
          <w:szCs w:val="24"/>
        </w:rPr>
        <w:t>В соответствии с НК РФ н</w:t>
      </w:r>
      <w:r w:rsidR="00872737" w:rsidRPr="009761E8">
        <w:rPr>
          <w:rFonts w:ascii="Times New Roman" w:hAnsi="Times New Roman" w:cs="Times New Roman"/>
          <w:sz w:val="24"/>
          <w:szCs w:val="24"/>
        </w:rPr>
        <w:t>ачиная с 2012 г. дл</w:t>
      </w:r>
      <w:r w:rsidR="002B3D72" w:rsidRPr="009761E8">
        <w:rPr>
          <w:rFonts w:ascii="Times New Roman" w:hAnsi="Times New Roman" w:cs="Times New Roman"/>
          <w:sz w:val="24"/>
          <w:szCs w:val="24"/>
        </w:rPr>
        <w:t>я определения соответствия цен контролируемых сделок</w:t>
      </w:r>
      <w:r w:rsidR="00872737" w:rsidRPr="009761E8">
        <w:rPr>
          <w:rFonts w:ascii="Times New Roman" w:hAnsi="Times New Roman" w:cs="Times New Roman"/>
          <w:sz w:val="24"/>
          <w:szCs w:val="24"/>
        </w:rPr>
        <w:t xml:space="preserve"> рыночным ФНС Р</w:t>
      </w:r>
      <w:r w:rsidR="002B3D72" w:rsidRPr="009761E8">
        <w:rPr>
          <w:rFonts w:ascii="Times New Roman" w:hAnsi="Times New Roman" w:cs="Times New Roman"/>
          <w:sz w:val="24"/>
          <w:szCs w:val="24"/>
        </w:rPr>
        <w:t>Ф</w:t>
      </w:r>
      <w:r w:rsidR="00872737" w:rsidRPr="009761E8">
        <w:rPr>
          <w:rFonts w:ascii="Times New Roman" w:hAnsi="Times New Roman" w:cs="Times New Roman"/>
          <w:sz w:val="24"/>
          <w:szCs w:val="24"/>
        </w:rPr>
        <w:t xml:space="preserve"> </w:t>
      </w:r>
      <w:r w:rsidR="002B3D72" w:rsidRPr="009761E8">
        <w:rPr>
          <w:rFonts w:ascii="Times New Roman" w:hAnsi="Times New Roman" w:cs="Times New Roman"/>
          <w:sz w:val="24"/>
          <w:szCs w:val="24"/>
        </w:rPr>
        <w:t>допускает применение пяти различных способов</w:t>
      </w:r>
      <w:r w:rsidR="00872737" w:rsidRPr="009761E8">
        <w:rPr>
          <w:rFonts w:ascii="Times New Roman" w:hAnsi="Times New Roman" w:cs="Times New Roman"/>
          <w:sz w:val="24"/>
          <w:szCs w:val="24"/>
        </w:rPr>
        <w:t xml:space="preserve">: </w:t>
      </w:r>
      <w:r w:rsidR="002B3D72" w:rsidRPr="009761E8">
        <w:rPr>
          <w:rFonts w:ascii="Times New Roman" w:hAnsi="Times New Roman" w:cs="Times New Roman"/>
          <w:sz w:val="24"/>
          <w:szCs w:val="24"/>
        </w:rPr>
        <w:t>метод со</w:t>
      </w:r>
      <w:r w:rsidR="00872737" w:rsidRPr="009761E8">
        <w:rPr>
          <w:rFonts w:ascii="Times New Roman" w:hAnsi="Times New Roman" w:cs="Times New Roman"/>
          <w:sz w:val="24"/>
          <w:szCs w:val="24"/>
        </w:rPr>
        <w:t>поставимых рыночных цен</w:t>
      </w:r>
      <w:r w:rsidR="002B3D72" w:rsidRPr="009761E8">
        <w:rPr>
          <w:rFonts w:ascii="Times New Roman" w:hAnsi="Times New Roman" w:cs="Times New Roman"/>
          <w:sz w:val="24"/>
          <w:szCs w:val="24"/>
        </w:rPr>
        <w:t>, метод цены последующей реализации,</w:t>
      </w:r>
      <w:r w:rsidR="00872737" w:rsidRPr="009761E8">
        <w:rPr>
          <w:rFonts w:ascii="Times New Roman" w:hAnsi="Times New Roman" w:cs="Times New Roman"/>
          <w:sz w:val="24"/>
          <w:szCs w:val="24"/>
        </w:rPr>
        <w:t xml:space="preserve"> затратный</w:t>
      </w:r>
      <w:r w:rsidR="002B3D72" w:rsidRPr="009761E8">
        <w:rPr>
          <w:rFonts w:ascii="Times New Roman" w:hAnsi="Times New Roman" w:cs="Times New Roman"/>
          <w:sz w:val="24"/>
          <w:szCs w:val="24"/>
        </w:rPr>
        <w:t xml:space="preserve"> метод, метод сопоставимой рентабельности метод распределения прибыли, а также комбинации </w:t>
      </w:r>
      <w:r w:rsidR="00872737" w:rsidRPr="009761E8">
        <w:rPr>
          <w:rFonts w:ascii="Times New Roman" w:hAnsi="Times New Roman" w:cs="Times New Roman"/>
          <w:sz w:val="24"/>
          <w:szCs w:val="24"/>
        </w:rPr>
        <w:t xml:space="preserve">двух или более </w:t>
      </w:r>
      <w:r w:rsidR="002B3D72" w:rsidRPr="009761E8">
        <w:rPr>
          <w:rFonts w:ascii="Times New Roman" w:hAnsi="Times New Roman" w:cs="Times New Roman"/>
          <w:sz w:val="24"/>
          <w:szCs w:val="24"/>
        </w:rPr>
        <w:t xml:space="preserve">вышеперечисленных </w:t>
      </w:r>
      <w:r w:rsidR="00872737" w:rsidRPr="009761E8">
        <w:rPr>
          <w:rFonts w:ascii="Times New Roman" w:hAnsi="Times New Roman" w:cs="Times New Roman"/>
          <w:sz w:val="24"/>
          <w:szCs w:val="24"/>
        </w:rPr>
        <w:t>методов [1, ст. 105.9 – 105.13]</w:t>
      </w:r>
      <w:r w:rsidR="002B3D72" w:rsidRPr="009761E8">
        <w:rPr>
          <w:rFonts w:ascii="Times New Roman" w:hAnsi="Times New Roman" w:cs="Times New Roman"/>
          <w:sz w:val="24"/>
          <w:szCs w:val="24"/>
        </w:rPr>
        <w:t>.</w:t>
      </w:r>
    </w:p>
    <w:p w:rsidR="00313C9A" w:rsidRPr="00313C9A" w:rsidRDefault="00313C9A" w:rsidP="00313C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Выбор </w:t>
      </w:r>
      <w:r w:rsidRPr="00313C9A">
        <w:rPr>
          <w:rFonts w:ascii="Times New Roman" w:hAnsi="Times New Roman" w:cs="Times New Roman"/>
          <w:sz w:val="24"/>
          <w:szCs w:val="24"/>
        </w:rPr>
        <w:t>метод</w:t>
      </w:r>
      <w:r>
        <w:rPr>
          <w:rFonts w:ascii="Times New Roman" w:hAnsi="Times New Roman" w:cs="Times New Roman"/>
          <w:sz w:val="24"/>
          <w:szCs w:val="24"/>
        </w:rPr>
        <w:t>а</w:t>
      </w:r>
      <w:r w:rsidRPr="00313C9A">
        <w:rPr>
          <w:rFonts w:ascii="Times New Roman" w:hAnsi="Times New Roman" w:cs="Times New Roman"/>
          <w:sz w:val="24"/>
          <w:szCs w:val="24"/>
        </w:rPr>
        <w:t xml:space="preserve"> ТЦО должен позволять налогоплательщику </w:t>
      </w:r>
      <w:r>
        <w:rPr>
          <w:rFonts w:ascii="Times New Roman" w:hAnsi="Times New Roman" w:cs="Times New Roman"/>
          <w:sz w:val="24"/>
          <w:szCs w:val="24"/>
        </w:rPr>
        <w:t xml:space="preserve">с максимальной точностью определить цену контролируемой </w:t>
      </w:r>
      <w:r w:rsidRPr="00313C9A">
        <w:rPr>
          <w:rFonts w:ascii="Times New Roman" w:hAnsi="Times New Roman" w:cs="Times New Roman"/>
          <w:sz w:val="24"/>
          <w:szCs w:val="24"/>
        </w:rPr>
        <w:t>сделки, которая соответствовала бы рыночному уровню.</w:t>
      </w:r>
    </w:p>
    <w:p w:rsidR="006B4D56" w:rsidRDefault="006B4D56" w:rsidP="00313C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Среди факторов, в наибольшей степени влияющих на выбор метода, используемого при определении трансфертной </w:t>
      </w:r>
      <w:r w:rsidR="00A10599">
        <w:rPr>
          <w:rFonts w:ascii="Times New Roman" w:hAnsi="Times New Roman" w:cs="Times New Roman"/>
          <w:sz w:val="24"/>
          <w:szCs w:val="24"/>
        </w:rPr>
        <w:t>цены, можно выделить следующие</w:t>
      </w:r>
      <w:r w:rsidR="00A10599">
        <w:rPr>
          <w:rStyle w:val="ac"/>
          <w:rFonts w:ascii="Times New Roman" w:hAnsi="Times New Roman" w:cs="Times New Roman"/>
          <w:sz w:val="24"/>
          <w:szCs w:val="24"/>
        </w:rPr>
        <w:footnoteReference w:id="3"/>
      </w:r>
      <w:r w:rsidRPr="006B4D56">
        <w:rPr>
          <w:rFonts w:ascii="Times New Roman" w:hAnsi="Times New Roman" w:cs="Times New Roman"/>
          <w:sz w:val="24"/>
          <w:szCs w:val="24"/>
        </w:rPr>
        <w:t xml:space="preserve"> </w:t>
      </w:r>
      <w:r>
        <w:rPr>
          <w:rFonts w:ascii="Times New Roman" w:hAnsi="Times New Roman" w:cs="Times New Roman"/>
          <w:sz w:val="24"/>
          <w:szCs w:val="24"/>
        </w:rPr>
        <w:t>:</w:t>
      </w:r>
    </w:p>
    <w:p w:rsidR="006B4D56" w:rsidRPr="009B5C45" w:rsidRDefault="006B4D56" w:rsidP="009B5C45">
      <w:pPr>
        <w:pStyle w:val="a3"/>
        <w:numPr>
          <w:ilvl w:val="0"/>
          <w:numId w:val="23"/>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 xml:space="preserve">сущность и </w:t>
      </w:r>
      <w:r w:rsidR="00313C9A" w:rsidRPr="009B5C45">
        <w:rPr>
          <w:rFonts w:ascii="Times New Roman" w:hAnsi="Times New Roman" w:cs="Times New Roman"/>
          <w:sz w:val="24"/>
          <w:szCs w:val="24"/>
        </w:rPr>
        <w:t>сложность</w:t>
      </w:r>
      <w:r w:rsidRPr="009B5C45">
        <w:rPr>
          <w:rFonts w:ascii="Times New Roman" w:hAnsi="Times New Roman" w:cs="Times New Roman"/>
          <w:sz w:val="24"/>
          <w:szCs w:val="24"/>
        </w:rPr>
        <w:t xml:space="preserve"> сделки</w:t>
      </w:r>
    </w:p>
    <w:p w:rsidR="006B4D56" w:rsidRPr="009B5C45" w:rsidRDefault="006B4D56" w:rsidP="009B5C45">
      <w:pPr>
        <w:pStyle w:val="a3"/>
        <w:numPr>
          <w:ilvl w:val="0"/>
          <w:numId w:val="23"/>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возможность</w:t>
      </w:r>
      <w:r w:rsidR="000943A6" w:rsidRPr="009B5C45">
        <w:rPr>
          <w:rFonts w:ascii="Times New Roman" w:hAnsi="Times New Roman" w:cs="Times New Roman"/>
          <w:sz w:val="24"/>
          <w:szCs w:val="24"/>
        </w:rPr>
        <w:t xml:space="preserve"> сопоставить</w:t>
      </w:r>
      <w:r w:rsidR="00313C9A" w:rsidRPr="009B5C45">
        <w:rPr>
          <w:rFonts w:ascii="Times New Roman" w:hAnsi="Times New Roman" w:cs="Times New Roman"/>
          <w:sz w:val="24"/>
          <w:szCs w:val="24"/>
        </w:rPr>
        <w:t xml:space="preserve"> налогоплательщика и </w:t>
      </w:r>
      <w:r w:rsidR="000943A6" w:rsidRPr="009B5C45">
        <w:rPr>
          <w:rFonts w:ascii="Times New Roman" w:hAnsi="Times New Roman" w:cs="Times New Roman"/>
          <w:sz w:val="24"/>
          <w:szCs w:val="24"/>
        </w:rPr>
        <w:t>потенциальную компанию, которая в дальнейшем может выступать как сопоставимая</w:t>
      </w:r>
      <w:r w:rsidR="00313C9A" w:rsidRPr="009B5C45">
        <w:rPr>
          <w:rFonts w:ascii="Times New Roman" w:hAnsi="Times New Roman" w:cs="Times New Roman"/>
          <w:sz w:val="24"/>
          <w:szCs w:val="24"/>
        </w:rPr>
        <w:t xml:space="preserve">; </w:t>
      </w:r>
    </w:p>
    <w:p w:rsidR="000943A6" w:rsidRPr="009B5C45" w:rsidRDefault="000943A6" w:rsidP="009B5C45">
      <w:pPr>
        <w:pStyle w:val="a3"/>
        <w:numPr>
          <w:ilvl w:val="0"/>
          <w:numId w:val="23"/>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lastRenderedPageBreak/>
        <w:t xml:space="preserve">наличие или отсутствие достоверной исчерпываемой </w:t>
      </w:r>
      <w:r w:rsidR="00313C9A" w:rsidRPr="009B5C45">
        <w:rPr>
          <w:rFonts w:ascii="Times New Roman" w:hAnsi="Times New Roman" w:cs="Times New Roman"/>
          <w:sz w:val="24"/>
          <w:szCs w:val="24"/>
        </w:rPr>
        <w:t>информации</w:t>
      </w:r>
      <w:r w:rsidRPr="009B5C45">
        <w:rPr>
          <w:rFonts w:ascii="Times New Roman" w:hAnsi="Times New Roman" w:cs="Times New Roman"/>
          <w:sz w:val="24"/>
          <w:szCs w:val="24"/>
        </w:rPr>
        <w:t xml:space="preserve"> о финансовом учете</w:t>
      </w:r>
      <w:r w:rsidR="00313C9A" w:rsidRPr="009B5C45">
        <w:rPr>
          <w:rFonts w:ascii="Times New Roman" w:hAnsi="Times New Roman" w:cs="Times New Roman"/>
          <w:sz w:val="24"/>
          <w:szCs w:val="24"/>
        </w:rPr>
        <w:t xml:space="preserve"> </w:t>
      </w:r>
    </w:p>
    <w:p w:rsidR="006B4D56" w:rsidRPr="009B5C45" w:rsidRDefault="00313C9A" w:rsidP="009B5C45">
      <w:pPr>
        <w:pStyle w:val="a3"/>
        <w:numPr>
          <w:ilvl w:val="0"/>
          <w:numId w:val="23"/>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 xml:space="preserve">обоснованность </w:t>
      </w:r>
      <w:r w:rsidR="00260FE1" w:rsidRPr="009B5C45">
        <w:rPr>
          <w:rFonts w:ascii="Times New Roman" w:hAnsi="Times New Roman" w:cs="Times New Roman"/>
          <w:sz w:val="24"/>
          <w:szCs w:val="24"/>
        </w:rPr>
        <w:t>предположений</w:t>
      </w:r>
      <w:r w:rsidRPr="009B5C45">
        <w:rPr>
          <w:rFonts w:ascii="Times New Roman" w:hAnsi="Times New Roman" w:cs="Times New Roman"/>
          <w:sz w:val="24"/>
          <w:szCs w:val="24"/>
        </w:rPr>
        <w:t>,</w:t>
      </w:r>
      <w:r w:rsidR="00260FE1" w:rsidRPr="009B5C45">
        <w:rPr>
          <w:rFonts w:ascii="Times New Roman" w:hAnsi="Times New Roman" w:cs="Times New Roman"/>
          <w:sz w:val="24"/>
          <w:szCs w:val="24"/>
        </w:rPr>
        <w:t xml:space="preserve"> которые используются при проведении анализа относительно возможности применения отдельных методов трансфертного ценообразования</w:t>
      </w:r>
      <w:r w:rsidRPr="009B5C45">
        <w:rPr>
          <w:rFonts w:ascii="Times New Roman" w:hAnsi="Times New Roman" w:cs="Times New Roman"/>
          <w:sz w:val="24"/>
          <w:szCs w:val="24"/>
        </w:rPr>
        <w:t xml:space="preserve"> </w:t>
      </w:r>
    </w:p>
    <w:p w:rsidR="00313C9A" w:rsidRPr="00313C9A" w:rsidRDefault="00260FE1" w:rsidP="00313C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действительности, наиболее сложным на практике представляется нахождение сопоставимых сделок, сопоставимых компаний, определение критерия </w:t>
      </w:r>
      <w:r w:rsidR="00313C9A" w:rsidRPr="00313C9A">
        <w:rPr>
          <w:rFonts w:ascii="Times New Roman" w:hAnsi="Times New Roman" w:cs="Times New Roman"/>
          <w:sz w:val="24"/>
          <w:szCs w:val="24"/>
        </w:rPr>
        <w:t xml:space="preserve">сопоставимости. </w:t>
      </w:r>
    </w:p>
    <w:p w:rsidR="00260FE1" w:rsidRDefault="00260FE1" w:rsidP="00313C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13C9A" w:rsidRPr="00313C9A">
        <w:rPr>
          <w:rFonts w:ascii="Times New Roman" w:hAnsi="Times New Roman" w:cs="Times New Roman"/>
          <w:sz w:val="24"/>
          <w:szCs w:val="24"/>
        </w:rPr>
        <w:t>Необходимо проанализировать</w:t>
      </w:r>
      <w:r>
        <w:rPr>
          <w:rFonts w:ascii="Times New Roman" w:hAnsi="Times New Roman" w:cs="Times New Roman"/>
          <w:sz w:val="24"/>
          <w:szCs w:val="24"/>
        </w:rPr>
        <w:t xml:space="preserve"> пять критериев сопоставимости:</w:t>
      </w:r>
    </w:p>
    <w:p w:rsidR="00313C9A" w:rsidRPr="009B5C45" w:rsidRDefault="00313C9A" w:rsidP="009B5C45">
      <w:pPr>
        <w:pStyle w:val="a3"/>
        <w:numPr>
          <w:ilvl w:val="0"/>
          <w:numId w:val="25"/>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природа и сопоставимость товара (или услуги);</w:t>
      </w:r>
    </w:p>
    <w:p w:rsidR="00260FE1" w:rsidRPr="009B5C45" w:rsidRDefault="00313C9A" w:rsidP="009B5C45">
      <w:pPr>
        <w:pStyle w:val="a3"/>
        <w:numPr>
          <w:ilvl w:val="0"/>
          <w:numId w:val="25"/>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 xml:space="preserve">сопоставимость экономических условий; </w:t>
      </w:r>
    </w:p>
    <w:p w:rsidR="00260FE1" w:rsidRPr="009B5C45" w:rsidRDefault="00313C9A" w:rsidP="009B5C45">
      <w:pPr>
        <w:pStyle w:val="a3"/>
        <w:numPr>
          <w:ilvl w:val="0"/>
          <w:numId w:val="25"/>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 xml:space="preserve">сопоставимость бизнес-стратегий; </w:t>
      </w:r>
    </w:p>
    <w:p w:rsidR="00313C9A" w:rsidRPr="009B5C45" w:rsidRDefault="00313C9A" w:rsidP="009B5C45">
      <w:pPr>
        <w:pStyle w:val="a3"/>
        <w:numPr>
          <w:ilvl w:val="0"/>
          <w:numId w:val="25"/>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сопоставимость условий договора;</w:t>
      </w:r>
    </w:p>
    <w:p w:rsidR="00313C9A" w:rsidRPr="009B5C45" w:rsidRDefault="00313C9A" w:rsidP="009B5C45">
      <w:pPr>
        <w:pStyle w:val="a3"/>
        <w:numPr>
          <w:ilvl w:val="0"/>
          <w:numId w:val="25"/>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сопоставимость функционала сторон (функции, риски и активы).</w:t>
      </w:r>
    </w:p>
    <w:p w:rsidR="00313C9A" w:rsidRPr="00313C9A" w:rsidRDefault="0068241F" w:rsidP="009B5C4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w:t>
      </w:r>
      <w:r w:rsidR="00313C9A" w:rsidRPr="00313C9A">
        <w:rPr>
          <w:rFonts w:ascii="Times New Roman" w:hAnsi="Times New Roman" w:cs="Times New Roman"/>
          <w:sz w:val="24"/>
          <w:szCs w:val="24"/>
        </w:rPr>
        <w:t>показателей</w:t>
      </w:r>
      <w:r>
        <w:rPr>
          <w:rFonts w:ascii="Times New Roman" w:hAnsi="Times New Roman" w:cs="Times New Roman"/>
          <w:sz w:val="24"/>
          <w:szCs w:val="24"/>
        </w:rPr>
        <w:t xml:space="preserve"> сопоставимости предусматриваются следующие </w:t>
      </w:r>
      <w:r w:rsidRPr="00313C9A">
        <w:rPr>
          <w:rFonts w:ascii="Times New Roman" w:hAnsi="Times New Roman" w:cs="Times New Roman"/>
          <w:sz w:val="24"/>
          <w:szCs w:val="24"/>
        </w:rPr>
        <w:t>аспекты</w:t>
      </w:r>
      <w:r w:rsidR="00313C9A" w:rsidRPr="00313C9A">
        <w:rPr>
          <w:rFonts w:ascii="Times New Roman" w:hAnsi="Times New Roman" w:cs="Times New Roman"/>
          <w:sz w:val="24"/>
          <w:szCs w:val="24"/>
        </w:rPr>
        <w:t>:</w:t>
      </w:r>
    </w:p>
    <w:p w:rsidR="00313C9A" w:rsidRPr="009B5C45" w:rsidRDefault="0068241F" w:rsidP="009B5C45">
      <w:pPr>
        <w:pStyle w:val="a3"/>
        <w:numPr>
          <w:ilvl w:val="0"/>
          <w:numId w:val="28"/>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их применение</w:t>
      </w:r>
      <w:r w:rsidR="00313C9A" w:rsidRPr="009B5C45">
        <w:rPr>
          <w:rFonts w:ascii="Times New Roman" w:hAnsi="Times New Roman" w:cs="Times New Roman"/>
          <w:sz w:val="24"/>
          <w:szCs w:val="24"/>
        </w:rPr>
        <w:t xml:space="preserve"> </w:t>
      </w:r>
      <w:r w:rsidRPr="009B5C45">
        <w:rPr>
          <w:rFonts w:ascii="Times New Roman" w:hAnsi="Times New Roman" w:cs="Times New Roman"/>
          <w:sz w:val="24"/>
          <w:szCs w:val="24"/>
        </w:rPr>
        <w:t xml:space="preserve">невозможно при наличии </w:t>
      </w:r>
      <w:r w:rsidR="00313C9A" w:rsidRPr="009B5C45">
        <w:rPr>
          <w:rFonts w:ascii="Times New Roman" w:hAnsi="Times New Roman" w:cs="Times New Roman"/>
          <w:sz w:val="24"/>
          <w:szCs w:val="24"/>
        </w:rPr>
        <w:t>менее че</w:t>
      </w:r>
      <w:r w:rsidRPr="009B5C45">
        <w:rPr>
          <w:rFonts w:ascii="Times New Roman" w:hAnsi="Times New Roman" w:cs="Times New Roman"/>
          <w:sz w:val="24"/>
          <w:szCs w:val="24"/>
        </w:rPr>
        <w:t xml:space="preserve">тырех сопоставимых сделок на рынке (в перечень таких сделок в наибольшей приоритетности, как правило, входят сделки, которые были совершены </w:t>
      </w:r>
      <w:r w:rsidR="00313C9A" w:rsidRPr="009B5C45">
        <w:rPr>
          <w:rFonts w:ascii="Times New Roman" w:hAnsi="Times New Roman" w:cs="Times New Roman"/>
          <w:sz w:val="24"/>
          <w:szCs w:val="24"/>
        </w:rPr>
        <w:t>налогоплательщ</w:t>
      </w:r>
      <w:r w:rsidRPr="009B5C45">
        <w:rPr>
          <w:rFonts w:ascii="Times New Roman" w:hAnsi="Times New Roman" w:cs="Times New Roman"/>
          <w:sz w:val="24"/>
          <w:szCs w:val="24"/>
        </w:rPr>
        <w:t xml:space="preserve">иком с независимыми лицами, при их наличии); как следствие, </w:t>
      </w:r>
      <w:r w:rsidR="00313C9A" w:rsidRPr="009B5C45">
        <w:rPr>
          <w:rFonts w:ascii="Times New Roman" w:hAnsi="Times New Roman" w:cs="Times New Roman"/>
          <w:sz w:val="24"/>
          <w:szCs w:val="24"/>
        </w:rPr>
        <w:t>наличие</w:t>
      </w:r>
      <w:r w:rsidRPr="009B5C45">
        <w:rPr>
          <w:rFonts w:ascii="Times New Roman" w:hAnsi="Times New Roman" w:cs="Times New Roman"/>
          <w:sz w:val="24"/>
          <w:szCs w:val="24"/>
        </w:rPr>
        <w:t xml:space="preserve"> информации о финансовых отчетностях</w:t>
      </w:r>
      <w:r w:rsidR="00313C9A" w:rsidRPr="009B5C45">
        <w:rPr>
          <w:rFonts w:ascii="Times New Roman" w:hAnsi="Times New Roman" w:cs="Times New Roman"/>
          <w:sz w:val="24"/>
          <w:szCs w:val="24"/>
        </w:rPr>
        <w:t xml:space="preserve"> четырех</w:t>
      </w:r>
      <w:r w:rsidRPr="009B5C45">
        <w:rPr>
          <w:rFonts w:ascii="Times New Roman" w:hAnsi="Times New Roman" w:cs="Times New Roman"/>
          <w:sz w:val="24"/>
          <w:szCs w:val="24"/>
        </w:rPr>
        <w:t xml:space="preserve"> и более</w:t>
      </w:r>
      <w:r w:rsidR="00313C9A" w:rsidRPr="009B5C45">
        <w:rPr>
          <w:rFonts w:ascii="Times New Roman" w:hAnsi="Times New Roman" w:cs="Times New Roman"/>
          <w:sz w:val="24"/>
          <w:szCs w:val="24"/>
        </w:rPr>
        <w:t xml:space="preserve"> сопоставимых </w:t>
      </w:r>
      <w:r w:rsidRPr="009B5C45">
        <w:rPr>
          <w:rFonts w:ascii="Times New Roman" w:hAnsi="Times New Roman" w:cs="Times New Roman"/>
          <w:sz w:val="24"/>
          <w:szCs w:val="24"/>
        </w:rPr>
        <w:t>компаний</w:t>
      </w:r>
      <w:r w:rsidR="00313C9A" w:rsidRPr="009B5C45">
        <w:rPr>
          <w:rFonts w:ascii="Times New Roman" w:hAnsi="Times New Roman" w:cs="Times New Roman"/>
          <w:sz w:val="24"/>
          <w:szCs w:val="24"/>
        </w:rPr>
        <w:t>;</w:t>
      </w:r>
    </w:p>
    <w:p w:rsidR="00313C9A" w:rsidRPr="009B5C45" w:rsidRDefault="00E8669A" w:rsidP="009B5C45">
      <w:pPr>
        <w:pStyle w:val="a3"/>
        <w:numPr>
          <w:ilvl w:val="0"/>
          <w:numId w:val="28"/>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 xml:space="preserve">компания, которая проводит контролируемую сделку, должна осуществлять свою деятельность в той же отрасли, что и компании, сопоставляющиеся с данной </w:t>
      </w:r>
      <w:r w:rsidR="00313C9A" w:rsidRPr="009B5C45">
        <w:rPr>
          <w:rFonts w:ascii="Times New Roman" w:hAnsi="Times New Roman" w:cs="Times New Roman"/>
          <w:sz w:val="24"/>
          <w:szCs w:val="24"/>
        </w:rPr>
        <w:t>(</w:t>
      </w:r>
      <w:r w:rsidRPr="009B5C45">
        <w:rPr>
          <w:rFonts w:ascii="Times New Roman" w:hAnsi="Times New Roman" w:cs="Times New Roman"/>
          <w:sz w:val="24"/>
          <w:szCs w:val="24"/>
        </w:rPr>
        <w:t>рассматривая монополизацию</w:t>
      </w:r>
      <w:r w:rsidR="00313C9A" w:rsidRPr="009B5C45">
        <w:rPr>
          <w:rFonts w:ascii="Times New Roman" w:hAnsi="Times New Roman" w:cs="Times New Roman"/>
          <w:sz w:val="24"/>
          <w:szCs w:val="24"/>
        </w:rPr>
        <w:t xml:space="preserve"> рынка,</w:t>
      </w:r>
      <w:r w:rsidRPr="009B5C45">
        <w:rPr>
          <w:rFonts w:ascii="Times New Roman" w:hAnsi="Times New Roman" w:cs="Times New Roman"/>
          <w:sz w:val="24"/>
          <w:szCs w:val="24"/>
        </w:rPr>
        <w:t xml:space="preserve"> например, в случае обоснования </w:t>
      </w:r>
      <w:r w:rsidR="002A0377" w:rsidRPr="009B5C45">
        <w:rPr>
          <w:rFonts w:ascii="Times New Roman" w:hAnsi="Times New Roman" w:cs="Times New Roman"/>
          <w:sz w:val="24"/>
          <w:szCs w:val="24"/>
        </w:rPr>
        <w:t>цены, примененной крупной государственной компанией, данное</w:t>
      </w:r>
      <w:r w:rsidR="00313C9A" w:rsidRPr="009B5C45">
        <w:rPr>
          <w:rFonts w:ascii="Times New Roman" w:hAnsi="Times New Roman" w:cs="Times New Roman"/>
          <w:sz w:val="24"/>
          <w:szCs w:val="24"/>
        </w:rPr>
        <w:t xml:space="preserve"> условие не выполняется </w:t>
      </w:r>
      <w:r w:rsidR="002A0377" w:rsidRPr="009B5C45">
        <w:rPr>
          <w:rFonts w:ascii="Times New Roman" w:hAnsi="Times New Roman" w:cs="Times New Roman"/>
          <w:sz w:val="24"/>
          <w:szCs w:val="24"/>
        </w:rPr>
        <w:t>–</w:t>
      </w:r>
      <w:r w:rsidR="00313C9A" w:rsidRPr="009B5C45">
        <w:rPr>
          <w:rFonts w:ascii="Times New Roman" w:hAnsi="Times New Roman" w:cs="Times New Roman"/>
          <w:sz w:val="24"/>
          <w:szCs w:val="24"/>
        </w:rPr>
        <w:t xml:space="preserve"> </w:t>
      </w:r>
      <w:r w:rsidR="002A0377" w:rsidRPr="009B5C45">
        <w:rPr>
          <w:rFonts w:ascii="Times New Roman" w:hAnsi="Times New Roman" w:cs="Times New Roman"/>
          <w:sz w:val="24"/>
          <w:szCs w:val="24"/>
        </w:rPr>
        <w:t xml:space="preserve">в подобном случае </w:t>
      </w:r>
      <w:r w:rsidRPr="009B5C45">
        <w:rPr>
          <w:rFonts w:ascii="Times New Roman" w:hAnsi="Times New Roman" w:cs="Times New Roman"/>
          <w:sz w:val="24"/>
          <w:szCs w:val="24"/>
        </w:rPr>
        <w:t xml:space="preserve">рентабельность </w:t>
      </w:r>
      <w:r w:rsidR="002A0377" w:rsidRPr="009B5C45">
        <w:rPr>
          <w:rFonts w:ascii="Times New Roman" w:hAnsi="Times New Roman" w:cs="Times New Roman"/>
          <w:sz w:val="24"/>
          <w:szCs w:val="24"/>
        </w:rPr>
        <w:t>необходимо</w:t>
      </w:r>
      <w:r w:rsidRPr="009B5C45">
        <w:rPr>
          <w:rFonts w:ascii="Times New Roman" w:hAnsi="Times New Roman" w:cs="Times New Roman"/>
          <w:sz w:val="24"/>
          <w:szCs w:val="24"/>
        </w:rPr>
        <w:t xml:space="preserve"> </w:t>
      </w:r>
      <w:r w:rsidR="002A0377" w:rsidRPr="009B5C45">
        <w:rPr>
          <w:rFonts w:ascii="Times New Roman" w:hAnsi="Times New Roman" w:cs="Times New Roman"/>
          <w:sz w:val="24"/>
          <w:szCs w:val="24"/>
        </w:rPr>
        <w:t>рассчитывать</w:t>
      </w:r>
      <w:r w:rsidRPr="009B5C45">
        <w:rPr>
          <w:rFonts w:ascii="Times New Roman" w:hAnsi="Times New Roman" w:cs="Times New Roman"/>
          <w:sz w:val="24"/>
          <w:szCs w:val="24"/>
        </w:rPr>
        <w:t xml:space="preserve"> </w:t>
      </w:r>
      <w:r w:rsidR="00313C9A" w:rsidRPr="009B5C45">
        <w:rPr>
          <w:rFonts w:ascii="Times New Roman" w:hAnsi="Times New Roman" w:cs="Times New Roman"/>
          <w:sz w:val="24"/>
          <w:szCs w:val="24"/>
        </w:rPr>
        <w:t xml:space="preserve">по организациям в смежных отраслях, </w:t>
      </w:r>
      <w:r w:rsidR="002A0377" w:rsidRPr="009B5C45">
        <w:rPr>
          <w:rFonts w:ascii="Times New Roman" w:hAnsi="Times New Roman" w:cs="Times New Roman"/>
          <w:sz w:val="24"/>
          <w:szCs w:val="24"/>
        </w:rPr>
        <w:t xml:space="preserve">которые можно </w:t>
      </w:r>
      <w:r w:rsidR="00313C9A" w:rsidRPr="009B5C45">
        <w:rPr>
          <w:rFonts w:ascii="Times New Roman" w:hAnsi="Times New Roman" w:cs="Times New Roman"/>
          <w:sz w:val="24"/>
          <w:szCs w:val="24"/>
        </w:rPr>
        <w:t>сопостави</w:t>
      </w:r>
      <w:r w:rsidR="002A0377" w:rsidRPr="009B5C45">
        <w:rPr>
          <w:rFonts w:ascii="Times New Roman" w:hAnsi="Times New Roman" w:cs="Times New Roman"/>
          <w:sz w:val="24"/>
          <w:szCs w:val="24"/>
        </w:rPr>
        <w:t>ть</w:t>
      </w:r>
      <w:r w:rsidR="00313C9A" w:rsidRPr="009B5C45">
        <w:rPr>
          <w:rFonts w:ascii="Times New Roman" w:hAnsi="Times New Roman" w:cs="Times New Roman"/>
          <w:sz w:val="24"/>
          <w:szCs w:val="24"/>
        </w:rPr>
        <w:t xml:space="preserve"> по выполняем</w:t>
      </w:r>
      <w:r w:rsidR="002A0377" w:rsidRPr="009B5C45">
        <w:rPr>
          <w:rFonts w:ascii="Times New Roman" w:hAnsi="Times New Roman" w:cs="Times New Roman"/>
          <w:sz w:val="24"/>
          <w:szCs w:val="24"/>
        </w:rPr>
        <w:t>ым функциональным</w:t>
      </w:r>
      <w:r w:rsidR="00313C9A" w:rsidRPr="009B5C45">
        <w:rPr>
          <w:rFonts w:ascii="Times New Roman" w:hAnsi="Times New Roman" w:cs="Times New Roman"/>
          <w:sz w:val="24"/>
          <w:szCs w:val="24"/>
        </w:rPr>
        <w:t xml:space="preserve"> пр</w:t>
      </w:r>
      <w:r w:rsidR="002A0377" w:rsidRPr="009B5C45">
        <w:rPr>
          <w:rFonts w:ascii="Times New Roman" w:hAnsi="Times New Roman" w:cs="Times New Roman"/>
          <w:sz w:val="24"/>
          <w:szCs w:val="24"/>
        </w:rPr>
        <w:t>офилям</w:t>
      </w:r>
      <w:r w:rsidR="00313C9A" w:rsidRPr="009B5C45">
        <w:rPr>
          <w:rFonts w:ascii="Times New Roman" w:hAnsi="Times New Roman" w:cs="Times New Roman"/>
          <w:sz w:val="24"/>
          <w:szCs w:val="24"/>
        </w:rPr>
        <w:t>);</w:t>
      </w:r>
    </w:p>
    <w:p w:rsidR="00313C9A" w:rsidRPr="009B5C45" w:rsidRDefault="002A0377" w:rsidP="009B5C45">
      <w:pPr>
        <w:pStyle w:val="a3"/>
        <w:numPr>
          <w:ilvl w:val="0"/>
          <w:numId w:val="28"/>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положительное значение чистых активов</w:t>
      </w:r>
      <w:r w:rsidR="00313C9A" w:rsidRPr="009B5C45">
        <w:rPr>
          <w:rFonts w:ascii="Times New Roman" w:hAnsi="Times New Roman" w:cs="Times New Roman"/>
          <w:sz w:val="24"/>
          <w:szCs w:val="24"/>
        </w:rPr>
        <w:t xml:space="preserve"> организаций;</w:t>
      </w:r>
    </w:p>
    <w:p w:rsidR="00313C9A" w:rsidRPr="009B5C45" w:rsidRDefault="00313C9A" w:rsidP="009B5C45">
      <w:pPr>
        <w:pStyle w:val="a3"/>
        <w:numPr>
          <w:ilvl w:val="0"/>
          <w:numId w:val="28"/>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организации не являются убыточными не менее чем в двух из трех анализируемых лет;</w:t>
      </w:r>
    </w:p>
    <w:p w:rsidR="00313C9A" w:rsidRPr="009B5C45" w:rsidRDefault="002A0377" w:rsidP="009B5C45">
      <w:pPr>
        <w:pStyle w:val="a3"/>
        <w:numPr>
          <w:ilvl w:val="0"/>
          <w:numId w:val="28"/>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отсутствие зависимости организаций с другими организациями</w:t>
      </w:r>
      <w:r w:rsidR="00313C9A" w:rsidRPr="009B5C45">
        <w:rPr>
          <w:rFonts w:ascii="Times New Roman" w:hAnsi="Times New Roman" w:cs="Times New Roman"/>
          <w:sz w:val="24"/>
          <w:szCs w:val="24"/>
        </w:rPr>
        <w:t xml:space="preserve"> (доля прямого и (или) косвенного участ</w:t>
      </w:r>
      <w:r w:rsidRPr="009B5C45">
        <w:rPr>
          <w:rFonts w:ascii="Times New Roman" w:hAnsi="Times New Roman" w:cs="Times New Roman"/>
          <w:sz w:val="24"/>
          <w:szCs w:val="24"/>
        </w:rPr>
        <w:t xml:space="preserve">ия не </w:t>
      </w:r>
      <w:r w:rsidR="00313C9A" w:rsidRPr="009B5C45">
        <w:rPr>
          <w:rFonts w:ascii="Times New Roman" w:hAnsi="Times New Roman" w:cs="Times New Roman"/>
          <w:sz w:val="24"/>
          <w:szCs w:val="24"/>
        </w:rPr>
        <w:t>должна составлять более 25, 50% в случаях, когда после применения всех перечисленн</w:t>
      </w:r>
      <w:r w:rsidRPr="009B5C45">
        <w:rPr>
          <w:rFonts w:ascii="Times New Roman" w:hAnsi="Times New Roman" w:cs="Times New Roman"/>
          <w:sz w:val="24"/>
          <w:szCs w:val="24"/>
        </w:rPr>
        <w:t xml:space="preserve">ых критериев в выборке осталось </w:t>
      </w:r>
      <w:r w:rsidR="00313C9A" w:rsidRPr="009B5C45">
        <w:rPr>
          <w:rFonts w:ascii="Times New Roman" w:hAnsi="Times New Roman" w:cs="Times New Roman"/>
          <w:sz w:val="24"/>
          <w:szCs w:val="24"/>
        </w:rPr>
        <w:t>четыре организации);</w:t>
      </w:r>
    </w:p>
    <w:p w:rsidR="00313C9A" w:rsidRPr="009B5C45" w:rsidRDefault="002A0377" w:rsidP="009B5C45">
      <w:pPr>
        <w:pStyle w:val="a3"/>
        <w:numPr>
          <w:ilvl w:val="0"/>
          <w:numId w:val="28"/>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lastRenderedPageBreak/>
        <w:t xml:space="preserve">расчёт </w:t>
      </w:r>
      <w:r w:rsidR="00313C9A" w:rsidRPr="009B5C45">
        <w:rPr>
          <w:rFonts w:ascii="Times New Roman" w:hAnsi="Times New Roman" w:cs="Times New Roman"/>
          <w:sz w:val="24"/>
          <w:szCs w:val="24"/>
        </w:rPr>
        <w:t>интервал</w:t>
      </w:r>
      <w:r w:rsidRPr="009B5C45">
        <w:rPr>
          <w:rFonts w:ascii="Times New Roman" w:hAnsi="Times New Roman" w:cs="Times New Roman"/>
          <w:sz w:val="24"/>
          <w:szCs w:val="24"/>
        </w:rPr>
        <w:t>а рентабельности производится</w:t>
      </w:r>
      <w:r w:rsidR="00313C9A" w:rsidRPr="009B5C45">
        <w:rPr>
          <w:rFonts w:ascii="Times New Roman" w:hAnsi="Times New Roman" w:cs="Times New Roman"/>
          <w:sz w:val="24"/>
          <w:szCs w:val="24"/>
        </w:rPr>
        <w:t xml:space="preserve"> на основе </w:t>
      </w:r>
      <w:r w:rsidRPr="009B5C45">
        <w:rPr>
          <w:rFonts w:ascii="Times New Roman" w:hAnsi="Times New Roman" w:cs="Times New Roman"/>
          <w:sz w:val="24"/>
          <w:szCs w:val="24"/>
        </w:rPr>
        <w:t xml:space="preserve">существующей </w:t>
      </w:r>
      <w:r w:rsidR="00313C9A" w:rsidRPr="009B5C45">
        <w:rPr>
          <w:rFonts w:ascii="Times New Roman" w:hAnsi="Times New Roman" w:cs="Times New Roman"/>
          <w:sz w:val="24"/>
          <w:szCs w:val="24"/>
        </w:rPr>
        <w:t>информации на</w:t>
      </w:r>
      <w:r w:rsidRPr="009B5C45">
        <w:rPr>
          <w:rFonts w:ascii="Times New Roman" w:hAnsi="Times New Roman" w:cs="Times New Roman"/>
          <w:sz w:val="24"/>
          <w:szCs w:val="24"/>
        </w:rPr>
        <w:t xml:space="preserve"> тот момент, когда совершается контролируемая сделка,</w:t>
      </w:r>
      <w:r w:rsidR="00313C9A" w:rsidRPr="009B5C45">
        <w:rPr>
          <w:rFonts w:ascii="Times New Roman" w:hAnsi="Times New Roman" w:cs="Times New Roman"/>
          <w:sz w:val="24"/>
          <w:szCs w:val="24"/>
        </w:rPr>
        <w:t xml:space="preserve"> но не позднее 31 декабря календарного года </w:t>
      </w:r>
      <w:r w:rsidRPr="009B5C45">
        <w:rPr>
          <w:rFonts w:ascii="Times New Roman" w:hAnsi="Times New Roman" w:cs="Times New Roman"/>
          <w:sz w:val="24"/>
          <w:szCs w:val="24"/>
        </w:rPr>
        <w:t xml:space="preserve">или же на основе данных бухгалтерского учета </w:t>
      </w:r>
      <w:r w:rsidR="00313C9A" w:rsidRPr="009B5C45">
        <w:rPr>
          <w:rFonts w:ascii="Times New Roman" w:hAnsi="Times New Roman" w:cs="Times New Roman"/>
          <w:sz w:val="24"/>
          <w:szCs w:val="24"/>
        </w:rPr>
        <w:t>за три календарных года,</w:t>
      </w:r>
    </w:p>
    <w:p w:rsidR="00313C9A" w:rsidRPr="009B5C45" w:rsidRDefault="002A0377" w:rsidP="009B5C45">
      <w:pPr>
        <w:pStyle w:val="a3"/>
        <w:numPr>
          <w:ilvl w:val="0"/>
          <w:numId w:val="28"/>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предшествующим</w:t>
      </w:r>
      <w:r w:rsidR="00313C9A" w:rsidRPr="009B5C45">
        <w:rPr>
          <w:rFonts w:ascii="Times New Roman" w:hAnsi="Times New Roman" w:cs="Times New Roman"/>
          <w:sz w:val="24"/>
          <w:szCs w:val="24"/>
        </w:rPr>
        <w:t xml:space="preserve"> календарному году, в котором была совершена анализируемая сделка.</w:t>
      </w:r>
    </w:p>
    <w:p w:rsidR="002A0377" w:rsidRDefault="002A0377"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Как говорилось ранее, НК РФ рекомендует производить расчет трансфертных цен любым из пяти методов,</w:t>
      </w:r>
      <w:r w:rsidR="00A058C4">
        <w:rPr>
          <w:rFonts w:ascii="Times New Roman" w:hAnsi="Times New Roman" w:cs="Times New Roman"/>
          <w:sz w:val="24"/>
          <w:szCs w:val="24"/>
        </w:rPr>
        <w:t xml:space="preserve"> который будет в наибольшей степени подходить при проведении конкретной сделки. Те</w:t>
      </w:r>
      <w:r w:rsidR="00314E85">
        <w:rPr>
          <w:rFonts w:ascii="Times New Roman" w:hAnsi="Times New Roman" w:cs="Times New Roman"/>
          <w:sz w:val="24"/>
          <w:szCs w:val="24"/>
        </w:rPr>
        <w:t>м не менее, существует некая</w:t>
      </w:r>
      <w:r w:rsidR="00A058C4">
        <w:rPr>
          <w:rFonts w:ascii="Times New Roman" w:hAnsi="Times New Roman" w:cs="Times New Roman"/>
          <w:sz w:val="24"/>
          <w:szCs w:val="24"/>
        </w:rPr>
        <w:t xml:space="preserve"> иерархия данных методов, показывающая приоритетность их ис</w:t>
      </w:r>
      <w:r w:rsidR="00E869D1">
        <w:rPr>
          <w:rFonts w:ascii="Times New Roman" w:hAnsi="Times New Roman" w:cs="Times New Roman"/>
          <w:sz w:val="24"/>
          <w:szCs w:val="24"/>
        </w:rPr>
        <w:t>пользования (Р</w:t>
      </w:r>
      <w:r w:rsidR="00A058C4">
        <w:rPr>
          <w:rFonts w:ascii="Times New Roman" w:hAnsi="Times New Roman" w:cs="Times New Roman"/>
          <w:sz w:val="24"/>
          <w:szCs w:val="24"/>
        </w:rPr>
        <w:t>ис</w:t>
      </w:r>
      <w:r w:rsidR="00E869D1">
        <w:rPr>
          <w:rFonts w:ascii="Times New Roman" w:hAnsi="Times New Roman" w:cs="Times New Roman"/>
          <w:sz w:val="24"/>
          <w:szCs w:val="24"/>
        </w:rPr>
        <w:t>унок</w:t>
      </w:r>
      <w:r w:rsidR="00A058C4">
        <w:rPr>
          <w:rFonts w:ascii="Times New Roman" w:hAnsi="Times New Roman" w:cs="Times New Roman"/>
          <w:sz w:val="24"/>
          <w:szCs w:val="24"/>
        </w:rPr>
        <w:t xml:space="preserve"> 1)</w:t>
      </w:r>
    </w:p>
    <w:p w:rsidR="009B5C45" w:rsidRDefault="009B5C45" w:rsidP="009761E8">
      <w:pPr>
        <w:spacing w:after="0" w:line="360" w:lineRule="auto"/>
        <w:jc w:val="both"/>
        <w:rPr>
          <w:rFonts w:ascii="Times New Roman" w:hAnsi="Times New Roman" w:cs="Times New Roman"/>
          <w:sz w:val="24"/>
          <w:szCs w:val="24"/>
        </w:rPr>
      </w:pPr>
    </w:p>
    <w:p w:rsidR="00240A44" w:rsidRDefault="00240A44" w:rsidP="00E869D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848100" cy="3229655"/>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Пирамида.png"/>
                    <pic:cNvPicPr/>
                  </pic:nvPicPr>
                  <pic:blipFill>
                    <a:blip r:embed="rId8">
                      <a:extLst>
                        <a:ext uri="{28A0092B-C50C-407E-A947-70E740481C1C}">
                          <a14:useLocalDpi xmlns:a14="http://schemas.microsoft.com/office/drawing/2010/main" val="0"/>
                        </a:ext>
                      </a:extLst>
                    </a:blip>
                    <a:stretch>
                      <a:fillRect/>
                    </a:stretch>
                  </pic:blipFill>
                  <pic:spPr>
                    <a:xfrm>
                      <a:off x="0" y="0"/>
                      <a:ext cx="3858482" cy="3238368"/>
                    </a:xfrm>
                    <a:prstGeom prst="rect">
                      <a:avLst/>
                    </a:prstGeom>
                  </pic:spPr>
                </pic:pic>
              </a:graphicData>
            </a:graphic>
          </wp:inline>
        </w:drawing>
      </w:r>
    </w:p>
    <w:p w:rsidR="00A058C4" w:rsidRDefault="00E869D1" w:rsidP="006955E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1.</w:t>
      </w:r>
      <w:r w:rsidR="00240A44">
        <w:rPr>
          <w:rFonts w:ascii="Times New Roman" w:hAnsi="Times New Roman" w:cs="Times New Roman"/>
          <w:sz w:val="24"/>
          <w:szCs w:val="24"/>
        </w:rPr>
        <w:t xml:space="preserve"> Иерархия методов</w:t>
      </w:r>
      <w:r>
        <w:rPr>
          <w:rFonts w:ascii="Times New Roman" w:hAnsi="Times New Roman" w:cs="Times New Roman"/>
          <w:sz w:val="24"/>
          <w:szCs w:val="24"/>
        </w:rPr>
        <w:t xml:space="preserve"> трансфертного ценообразования</w:t>
      </w:r>
    </w:p>
    <w:p w:rsidR="009B5C45" w:rsidRDefault="009B5C45" w:rsidP="006955EF">
      <w:pPr>
        <w:spacing w:after="0" w:line="360" w:lineRule="auto"/>
        <w:jc w:val="center"/>
        <w:rPr>
          <w:rFonts w:ascii="Times New Roman" w:hAnsi="Times New Roman" w:cs="Times New Roman"/>
          <w:sz w:val="24"/>
          <w:szCs w:val="24"/>
        </w:rPr>
      </w:pPr>
    </w:p>
    <w:p w:rsidR="00872737" w:rsidRPr="009761E8" w:rsidRDefault="00872737" w:rsidP="008A2D2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1. Метод сопоставимых рыночных цен</w:t>
      </w:r>
    </w:p>
    <w:p w:rsidR="00EE3018" w:rsidRPr="009761E8" w:rsidRDefault="00872737" w:rsidP="008A2D2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Метод со</w:t>
      </w:r>
      <w:r w:rsidR="00FF3241" w:rsidRPr="009761E8">
        <w:rPr>
          <w:rFonts w:ascii="Times New Roman" w:hAnsi="Times New Roman" w:cs="Times New Roman"/>
          <w:sz w:val="24"/>
          <w:szCs w:val="24"/>
        </w:rPr>
        <w:t xml:space="preserve">поставимых рыночных цен - наиболее используемый на практике. Он применим </w:t>
      </w:r>
      <w:r w:rsidRPr="009761E8">
        <w:rPr>
          <w:rFonts w:ascii="Times New Roman" w:hAnsi="Times New Roman" w:cs="Times New Roman"/>
          <w:sz w:val="24"/>
          <w:szCs w:val="24"/>
        </w:rPr>
        <w:t xml:space="preserve">при наличии </w:t>
      </w:r>
      <w:r w:rsidR="00FF3241" w:rsidRPr="009761E8">
        <w:rPr>
          <w:rFonts w:ascii="Times New Roman" w:hAnsi="Times New Roman" w:cs="Times New Roman"/>
          <w:sz w:val="24"/>
          <w:szCs w:val="24"/>
        </w:rPr>
        <w:t>информации хотя бы об одной сделке</w:t>
      </w:r>
      <w:r w:rsidRPr="009761E8">
        <w:rPr>
          <w:rFonts w:ascii="Times New Roman" w:hAnsi="Times New Roman" w:cs="Times New Roman"/>
          <w:sz w:val="24"/>
          <w:szCs w:val="24"/>
        </w:rPr>
        <w:t>,</w:t>
      </w:r>
      <w:r w:rsidR="00FF3241" w:rsidRPr="009761E8">
        <w:rPr>
          <w:rFonts w:ascii="Times New Roman" w:hAnsi="Times New Roman" w:cs="Times New Roman"/>
          <w:sz w:val="24"/>
          <w:szCs w:val="24"/>
        </w:rPr>
        <w:t xml:space="preserve"> которую можно сопоставить анализируемой полностью или же частично, применив соответствующие корректировки. Сущность данного</w:t>
      </w:r>
      <w:r w:rsidRPr="009761E8">
        <w:rPr>
          <w:rFonts w:ascii="Times New Roman" w:hAnsi="Times New Roman" w:cs="Times New Roman"/>
          <w:sz w:val="24"/>
          <w:szCs w:val="24"/>
        </w:rPr>
        <w:t xml:space="preserve"> метода </w:t>
      </w:r>
      <w:r w:rsidR="00FF3241" w:rsidRPr="009761E8">
        <w:rPr>
          <w:rFonts w:ascii="Times New Roman" w:hAnsi="Times New Roman" w:cs="Times New Roman"/>
          <w:sz w:val="24"/>
          <w:szCs w:val="24"/>
        </w:rPr>
        <w:t>состоит в сравнении цены</w:t>
      </w:r>
      <w:r w:rsidRPr="009761E8">
        <w:rPr>
          <w:rFonts w:ascii="Times New Roman" w:hAnsi="Times New Roman" w:cs="Times New Roman"/>
          <w:sz w:val="24"/>
          <w:szCs w:val="24"/>
        </w:rPr>
        <w:t xml:space="preserve"> това</w:t>
      </w:r>
      <w:r w:rsidR="00FF3241" w:rsidRPr="009761E8">
        <w:rPr>
          <w:rFonts w:ascii="Times New Roman" w:hAnsi="Times New Roman" w:cs="Times New Roman"/>
          <w:sz w:val="24"/>
          <w:szCs w:val="24"/>
        </w:rPr>
        <w:t>ров (работ, услуг) в рамках контролируемой сделки</w:t>
      </w:r>
      <w:r w:rsidRPr="009761E8">
        <w:rPr>
          <w:rFonts w:ascii="Times New Roman" w:hAnsi="Times New Roman" w:cs="Times New Roman"/>
          <w:sz w:val="24"/>
          <w:szCs w:val="24"/>
        </w:rPr>
        <w:t xml:space="preserve"> </w:t>
      </w:r>
      <w:r w:rsidR="00FF3241" w:rsidRPr="009761E8">
        <w:rPr>
          <w:rFonts w:ascii="Times New Roman" w:hAnsi="Times New Roman" w:cs="Times New Roman"/>
          <w:sz w:val="24"/>
          <w:szCs w:val="24"/>
        </w:rPr>
        <w:t>с ценами, установленными для</w:t>
      </w:r>
      <w:r w:rsidRPr="009761E8">
        <w:rPr>
          <w:rFonts w:ascii="Times New Roman" w:hAnsi="Times New Roman" w:cs="Times New Roman"/>
          <w:sz w:val="24"/>
          <w:szCs w:val="24"/>
        </w:rPr>
        <w:t xml:space="preserve"> аналогичных товаров (работ, услуг) по сопоста</w:t>
      </w:r>
      <w:r w:rsidR="00FF3241" w:rsidRPr="009761E8">
        <w:rPr>
          <w:rFonts w:ascii="Times New Roman" w:hAnsi="Times New Roman" w:cs="Times New Roman"/>
          <w:sz w:val="24"/>
          <w:szCs w:val="24"/>
        </w:rPr>
        <w:t>вимым сделкам, которые были проведены невзаимосвязанными</w:t>
      </w:r>
      <w:r w:rsidRPr="009761E8">
        <w:rPr>
          <w:rFonts w:ascii="Times New Roman" w:hAnsi="Times New Roman" w:cs="Times New Roman"/>
          <w:sz w:val="24"/>
          <w:szCs w:val="24"/>
        </w:rPr>
        <w:t xml:space="preserve"> </w:t>
      </w:r>
      <w:r w:rsidR="00FF3241" w:rsidRPr="009761E8">
        <w:rPr>
          <w:rFonts w:ascii="Times New Roman" w:hAnsi="Times New Roman" w:cs="Times New Roman"/>
          <w:sz w:val="24"/>
          <w:szCs w:val="24"/>
        </w:rPr>
        <w:t>экономическими субъектами</w:t>
      </w:r>
      <w:r w:rsidRPr="009761E8">
        <w:rPr>
          <w:rFonts w:ascii="Times New Roman" w:hAnsi="Times New Roman" w:cs="Times New Roman"/>
          <w:sz w:val="24"/>
          <w:szCs w:val="24"/>
        </w:rPr>
        <w:t xml:space="preserve">. </w:t>
      </w:r>
      <w:r w:rsidR="00894491" w:rsidRPr="009761E8">
        <w:rPr>
          <w:rFonts w:ascii="Times New Roman" w:hAnsi="Times New Roman" w:cs="Times New Roman"/>
          <w:sz w:val="24"/>
          <w:szCs w:val="24"/>
        </w:rPr>
        <w:t>Основную роль</w:t>
      </w:r>
      <w:r w:rsidRPr="009761E8">
        <w:rPr>
          <w:rFonts w:ascii="Times New Roman" w:hAnsi="Times New Roman" w:cs="Times New Roman"/>
          <w:sz w:val="24"/>
          <w:szCs w:val="24"/>
        </w:rPr>
        <w:t xml:space="preserve"> </w:t>
      </w:r>
      <w:r w:rsidR="00894491" w:rsidRPr="009761E8">
        <w:rPr>
          <w:rFonts w:ascii="Times New Roman" w:hAnsi="Times New Roman" w:cs="Times New Roman"/>
          <w:sz w:val="24"/>
          <w:szCs w:val="24"/>
        </w:rPr>
        <w:t xml:space="preserve">при применении этого метода выполняет принцип </w:t>
      </w:r>
      <w:r w:rsidRPr="009761E8">
        <w:rPr>
          <w:rFonts w:ascii="Times New Roman" w:hAnsi="Times New Roman" w:cs="Times New Roman"/>
          <w:sz w:val="24"/>
          <w:szCs w:val="24"/>
        </w:rPr>
        <w:t>«</w:t>
      </w:r>
      <w:r w:rsidR="00894491" w:rsidRPr="009761E8">
        <w:rPr>
          <w:rFonts w:ascii="Times New Roman" w:hAnsi="Times New Roman" w:cs="Times New Roman"/>
          <w:sz w:val="24"/>
          <w:szCs w:val="24"/>
        </w:rPr>
        <w:t xml:space="preserve">на </w:t>
      </w:r>
      <w:r w:rsidR="00894491" w:rsidRPr="009761E8">
        <w:rPr>
          <w:rFonts w:ascii="Times New Roman" w:hAnsi="Times New Roman" w:cs="Times New Roman"/>
          <w:sz w:val="24"/>
          <w:szCs w:val="24"/>
        </w:rPr>
        <w:lastRenderedPageBreak/>
        <w:t xml:space="preserve">расстоянии </w:t>
      </w:r>
      <w:r w:rsidRPr="009761E8">
        <w:rPr>
          <w:rFonts w:ascii="Times New Roman" w:hAnsi="Times New Roman" w:cs="Times New Roman"/>
          <w:sz w:val="24"/>
          <w:szCs w:val="24"/>
        </w:rPr>
        <w:t xml:space="preserve">вытянутой руки». </w:t>
      </w:r>
      <w:r w:rsidR="00894491" w:rsidRPr="009761E8">
        <w:rPr>
          <w:rFonts w:ascii="Times New Roman" w:hAnsi="Times New Roman" w:cs="Times New Roman"/>
          <w:sz w:val="24"/>
          <w:szCs w:val="24"/>
        </w:rPr>
        <w:t>Сопоставимые сделки могут быть р</w:t>
      </w:r>
      <w:r w:rsidR="00EE3018" w:rsidRPr="009761E8">
        <w:rPr>
          <w:rFonts w:ascii="Times New Roman" w:hAnsi="Times New Roman" w:cs="Times New Roman"/>
          <w:sz w:val="24"/>
          <w:szCs w:val="24"/>
        </w:rPr>
        <w:t xml:space="preserve">азделены на две </w:t>
      </w:r>
      <w:r w:rsidR="00894491" w:rsidRPr="009761E8">
        <w:rPr>
          <w:rFonts w:ascii="Times New Roman" w:hAnsi="Times New Roman" w:cs="Times New Roman"/>
          <w:sz w:val="24"/>
          <w:szCs w:val="24"/>
        </w:rPr>
        <w:t>группы</w:t>
      </w:r>
      <w:r w:rsidR="00E869D1">
        <w:rPr>
          <w:rFonts w:ascii="Times New Roman" w:hAnsi="Times New Roman" w:cs="Times New Roman"/>
          <w:sz w:val="24"/>
          <w:szCs w:val="24"/>
        </w:rPr>
        <w:t>: внутренние и внешние (Рисунок</w:t>
      </w:r>
      <w:r w:rsidR="00A058C4">
        <w:rPr>
          <w:rFonts w:ascii="Times New Roman" w:hAnsi="Times New Roman" w:cs="Times New Roman"/>
          <w:sz w:val="24"/>
          <w:szCs w:val="24"/>
        </w:rPr>
        <w:t xml:space="preserve"> 2</w:t>
      </w:r>
      <w:r w:rsidRPr="009761E8">
        <w:rPr>
          <w:rFonts w:ascii="Times New Roman" w:hAnsi="Times New Roman" w:cs="Times New Roman"/>
          <w:sz w:val="24"/>
          <w:szCs w:val="24"/>
        </w:rPr>
        <w:t>).</w:t>
      </w:r>
    </w:p>
    <w:p w:rsidR="00270904" w:rsidRPr="009761E8" w:rsidRDefault="009C1411"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noProof/>
          <w:sz w:val="24"/>
          <w:szCs w:val="24"/>
          <w:lang w:eastAsia="ru-RU"/>
        </w:rPr>
        <w:drawing>
          <wp:inline distT="0" distB="0" distL="0" distR="0" wp14:anchorId="380EFE83" wp14:editId="3246B4D8">
            <wp:extent cx="5181600" cy="3048000"/>
            <wp:effectExtent l="0" t="38100" r="381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9F4F2A" w:rsidRPr="009761E8">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7BA1488" wp14:editId="38B29F04">
                <wp:simplePos x="0" y="0"/>
                <wp:positionH relativeFrom="column">
                  <wp:posOffset>4349115</wp:posOffset>
                </wp:positionH>
                <wp:positionV relativeFrom="paragraph">
                  <wp:posOffset>1466850</wp:posOffset>
                </wp:positionV>
                <wp:extent cx="0" cy="371475"/>
                <wp:effectExtent l="76200" t="0" r="76200" b="4762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371475"/>
                        </a:xfrm>
                        <a:prstGeom prst="line">
                          <a:avLst/>
                        </a:prstGeom>
                        <a:ln w="381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E52F5" id="Прямая соединительная линия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42.45pt,115.5pt" to="342.4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" strokecolor="#5b9bd5 [3204]" strokeweight="3pt">
                <v:stroke endarrow="block" joinstyle="miter"/>
              </v:line>
            </w:pict>
          </mc:Fallback>
        </mc:AlternateContent>
      </w:r>
      <w:r w:rsidR="009F4F2A" w:rsidRPr="009761E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78B2ECD" wp14:editId="718F39D9">
                <wp:simplePos x="0" y="0"/>
                <wp:positionH relativeFrom="column">
                  <wp:posOffset>1767840</wp:posOffset>
                </wp:positionH>
                <wp:positionV relativeFrom="paragraph">
                  <wp:posOffset>2047875</wp:posOffset>
                </wp:positionV>
                <wp:extent cx="1790700" cy="161925"/>
                <wp:effectExtent l="19050" t="19050" r="19050" b="47625"/>
                <wp:wrapNone/>
                <wp:docPr id="4" name="Двойная стрелка влево/вправо 4"/>
                <wp:cNvGraphicFramePr/>
                <a:graphic xmlns:a="http://schemas.openxmlformats.org/drawingml/2006/main">
                  <a:graphicData uri="http://schemas.microsoft.com/office/word/2010/wordprocessingShape">
                    <wps:wsp>
                      <wps:cNvSpPr/>
                      <wps:spPr>
                        <a:xfrm>
                          <a:off x="0" y="0"/>
                          <a:ext cx="1790700" cy="1619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8A1E1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4" o:spid="_x0000_s1026" type="#_x0000_t69" style="position:absolute;margin-left:139.2pt;margin-top:161.25pt;width:141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" adj="977" fillcolor="#5b9bd5 [3204]" strokecolor="#1f4d78 [1604]" strokeweight="1pt"/>
            </w:pict>
          </mc:Fallback>
        </mc:AlternateContent>
      </w:r>
      <w:r w:rsidR="009F4F2A" w:rsidRPr="009761E8">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EAB2FB2" wp14:editId="28518EDD">
                <wp:simplePos x="0" y="0"/>
                <wp:positionH relativeFrom="column">
                  <wp:posOffset>939165</wp:posOffset>
                </wp:positionH>
                <wp:positionV relativeFrom="paragraph">
                  <wp:posOffset>1133475</wp:posOffset>
                </wp:positionV>
                <wp:extent cx="0" cy="371475"/>
                <wp:effectExtent l="57150" t="38100" r="57150" b="2857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371475"/>
                        </a:xfrm>
                        <a:prstGeom prst="line">
                          <a:avLst/>
                        </a:prstGeom>
                        <a:ln w="38100">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55B16" id="Прямая соединительная линия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3.95pt,89.25pt" to="73.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" strokecolor="#5b9bd5 [3204]" strokeweight="3pt">
                <v:stroke startarrow="block" joinstyle="miter"/>
              </v:line>
            </w:pict>
          </mc:Fallback>
        </mc:AlternateContent>
      </w:r>
      <w:r w:rsidR="00270904" w:rsidRPr="009761E8">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BE28DE6" wp14:editId="1D6A93B0">
                <wp:simplePos x="0" y="0"/>
                <wp:positionH relativeFrom="column">
                  <wp:posOffset>3253740</wp:posOffset>
                </wp:positionH>
                <wp:positionV relativeFrom="paragraph">
                  <wp:posOffset>1466850</wp:posOffset>
                </wp:positionV>
                <wp:extent cx="1114425" cy="9525"/>
                <wp:effectExtent l="19050" t="19050" r="9525" b="28575"/>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1114425"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A8D2B" id="Прямая соединительная линия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2pt,115.5pt" to="343.9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" strokecolor="#5b9bd5 [3204]" strokeweight="3pt">
                <v:stroke joinstyle="miter"/>
              </v:line>
            </w:pict>
          </mc:Fallback>
        </mc:AlternateContent>
      </w:r>
      <w:r w:rsidR="00270904" w:rsidRPr="009761E8">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CB08654" wp14:editId="3B1E119E">
                <wp:simplePos x="0" y="0"/>
                <wp:positionH relativeFrom="column">
                  <wp:posOffset>929639</wp:posOffset>
                </wp:positionH>
                <wp:positionV relativeFrom="paragraph">
                  <wp:posOffset>1485899</wp:posOffset>
                </wp:positionV>
                <wp:extent cx="1114425" cy="9525"/>
                <wp:effectExtent l="19050" t="19050" r="9525"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1114425"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C342A" id="Прямая соединительная линия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117pt" to="160.9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" strokecolor="#5b9bd5 [3204]" strokeweight="3pt">
                <v:stroke joinstyle="miter"/>
              </v:line>
            </w:pict>
          </mc:Fallback>
        </mc:AlternateContent>
      </w:r>
      <w:r w:rsidR="00270904" w:rsidRPr="009761E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B96B0B8" wp14:editId="2F063FE9">
                <wp:simplePos x="0" y="0"/>
                <wp:positionH relativeFrom="column">
                  <wp:posOffset>1739265</wp:posOffset>
                </wp:positionH>
                <wp:positionV relativeFrom="paragraph">
                  <wp:posOffset>704850</wp:posOffset>
                </wp:positionV>
                <wp:extent cx="1790700" cy="161925"/>
                <wp:effectExtent l="19050" t="19050" r="19050" b="47625"/>
                <wp:wrapNone/>
                <wp:docPr id="3" name="Двойная стрелка влево/вправо 3"/>
                <wp:cNvGraphicFramePr/>
                <a:graphic xmlns:a="http://schemas.openxmlformats.org/drawingml/2006/main">
                  <a:graphicData uri="http://schemas.microsoft.com/office/word/2010/wordprocessingShape">
                    <wps:wsp>
                      <wps:cNvSpPr/>
                      <wps:spPr>
                        <a:xfrm>
                          <a:off x="0" y="0"/>
                          <a:ext cx="1790700" cy="1619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FBD0D0" id="Двойная стрелка влево/вправо 3" o:spid="_x0000_s1026" type="#_x0000_t69" style="position:absolute;margin-left:136.95pt;margin-top:55.5pt;width:141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" adj="977" fillcolor="#5b9bd5 [3204]" strokecolor="#1f4d78 [1604]" strokeweight="1pt"/>
            </w:pict>
          </mc:Fallback>
        </mc:AlternateContent>
      </w:r>
      <w:r w:rsidR="00872737" w:rsidRPr="009761E8">
        <w:rPr>
          <w:rFonts w:ascii="Times New Roman" w:hAnsi="Times New Roman" w:cs="Times New Roman"/>
          <w:sz w:val="24"/>
          <w:szCs w:val="24"/>
        </w:rPr>
        <w:t xml:space="preserve"> </w:t>
      </w:r>
    </w:p>
    <w:p w:rsidR="009F4F2A" w:rsidRDefault="00A058C4" w:rsidP="00E869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2</w:t>
      </w:r>
      <w:r w:rsidR="009F4F2A" w:rsidRPr="009761E8">
        <w:rPr>
          <w:rFonts w:ascii="Times New Roman" w:hAnsi="Times New Roman" w:cs="Times New Roman"/>
          <w:sz w:val="24"/>
          <w:szCs w:val="24"/>
        </w:rPr>
        <w:t>.</w:t>
      </w:r>
      <w:r w:rsidR="0007694B" w:rsidRPr="009761E8">
        <w:rPr>
          <w:rFonts w:ascii="Times New Roman" w:hAnsi="Times New Roman" w:cs="Times New Roman"/>
          <w:sz w:val="24"/>
          <w:szCs w:val="24"/>
        </w:rPr>
        <w:t xml:space="preserve"> Внутренние</w:t>
      </w:r>
      <w:r w:rsidR="00E869D1">
        <w:rPr>
          <w:rFonts w:ascii="Times New Roman" w:hAnsi="Times New Roman" w:cs="Times New Roman"/>
          <w:sz w:val="24"/>
          <w:szCs w:val="24"/>
        </w:rPr>
        <w:t xml:space="preserve"> и внешние сопоставимые сделки</w:t>
      </w:r>
    </w:p>
    <w:p w:rsidR="009B5C45" w:rsidRPr="009761E8" w:rsidRDefault="009B5C45" w:rsidP="00E869D1">
      <w:pPr>
        <w:spacing w:after="0" w:line="360" w:lineRule="auto"/>
        <w:jc w:val="center"/>
        <w:rPr>
          <w:rFonts w:ascii="Times New Roman" w:hAnsi="Times New Roman" w:cs="Times New Roman"/>
          <w:sz w:val="24"/>
          <w:szCs w:val="24"/>
        </w:rPr>
      </w:pPr>
    </w:p>
    <w:p w:rsidR="00B749B6" w:rsidRPr="009761E8" w:rsidRDefault="00177607" w:rsidP="008A2D2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На представленной схеме «Х» является контролируемой сделкой налогооблагаемого лица</w:t>
      </w:r>
      <w:r w:rsidR="00872737" w:rsidRPr="009761E8">
        <w:rPr>
          <w:rFonts w:ascii="Times New Roman" w:hAnsi="Times New Roman" w:cs="Times New Roman"/>
          <w:sz w:val="24"/>
          <w:szCs w:val="24"/>
        </w:rPr>
        <w:t xml:space="preserve">. </w:t>
      </w:r>
      <w:r w:rsidRPr="009761E8">
        <w:rPr>
          <w:rFonts w:ascii="Times New Roman" w:hAnsi="Times New Roman" w:cs="Times New Roman"/>
          <w:sz w:val="24"/>
          <w:szCs w:val="24"/>
        </w:rPr>
        <w:t>При выявлении его сделки «</w:t>
      </w:r>
      <w:r w:rsidRPr="009761E8">
        <w:rPr>
          <w:rFonts w:ascii="Times New Roman" w:hAnsi="Times New Roman" w:cs="Times New Roman"/>
          <w:sz w:val="24"/>
          <w:szCs w:val="24"/>
          <w:lang w:val="en-US"/>
        </w:rPr>
        <w:t>Y</w:t>
      </w:r>
      <w:r w:rsidRPr="009761E8">
        <w:rPr>
          <w:rFonts w:ascii="Times New Roman" w:hAnsi="Times New Roman" w:cs="Times New Roman"/>
          <w:sz w:val="24"/>
          <w:szCs w:val="24"/>
        </w:rPr>
        <w:t>», которая является сопоставимой относительно «</w:t>
      </w:r>
      <w:r w:rsidRPr="009761E8">
        <w:rPr>
          <w:rFonts w:ascii="Times New Roman" w:hAnsi="Times New Roman" w:cs="Times New Roman"/>
          <w:sz w:val="24"/>
          <w:szCs w:val="24"/>
          <w:lang w:val="en-US"/>
        </w:rPr>
        <w:t>X</w:t>
      </w:r>
      <w:r w:rsidRPr="009761E8">
        <w:rPr>
          <w:rFonts w:ascii="Times New Roman" w:hAnsi="Times New Roman" w:cs="Times New Roman"/>
          <w:sz w:val="24"/>
          <w:szCs w:val="24"/>
        </w:rPr>
        <w:t>», с не взаимозависимым экономическим</w:t>
      </w:r>
      <w:r w:rsidR="00A65268" w:rsidRPr="009761E8">
        <w:rPr>
          <w:rFonts w:ascii="Times New Roman" w:hAnsi="Times New Roman" w:cs="Times New Roman"/>
          <w:sz w:val="24"/>
          <w:szCs w:val="24"/>
        </w:rPr>
        <w:t xml:space="preserve"> субъектами - </w:t>
      </w:r>
      <w:r w:rsidRPr="009761E8">
        <w:rPr>
          <w:rFonts w:ascii="Times New Roman" w:hAnsi="Times New Roman" w:cs="Times New Roman"/>
          <w:sz w:val="24"/>
          <w:szCs w:val="24"/>
        </w:rPr>
        <w:t xml:space="preserve">такая сделка будет </w:t>
      </w:r>
      <w:r w:rsidR="00A65268" w:rsidRPr="009761E8">
        <w:rPr>
          <w:rFonts w:ascii="Times New Roman" w:hAnsi="Times New Roman" w:cs="Times New Roman"/>
          <w:sz w:val="24"/>
          <w:szCs w:val="24"/>
        </w:rPr>
        <w:t>называться</w:t>
      </w:r>
      <w:r w:rsidRPr="009761E8">
        <w:rPr>
          <w:rFonts w:ascii="Times New Roman" w:hAnsi="Times New Roman" w:cs="Times New Roman"/>
          <w:sz w:val="24"/>
          <w:szCs w:val="24"/>
        </w:rPr>
        <w:t xml:space="preserve"> внутренней</w:t>
      </w:r>
      <w:r w:rsidR="00872737" w:rsidRPr="009761E8">
        <w:rPr>
          <w:rFonts w:ascii="Times New Roman" w:hAnsi="Times New Roman" w:cs="Times New Roman"/>
          <w:sz w:val="24"/>
          <w:szCs w:val="24"/>
        </w:rPr>
        <w:t xml:space="preserve">. Сделки, </w:t>
      </w:r>
      <w:r w:rsidR="00A65268" w:rsidRPr="009761E8">
        <w:rPr>
          <w:rFonts w:ascii="Times New Roman" w:hAnsi="Times New Roman" w:cs="Times New Roman"/>
          <w:sz w:val="24"/>
          <w:szCs w:val="24"/>
        </w:rPr>
        <w:t>которые могут быть сопоставлены</w:t>
      </w:r>
      <w:r w:rsidR="00872737" w:rsidRPr="009761E8">
        <w:rPr>
          <w:rFonts w:ascii="Times New Roman" w:hAnsi="Times New Roman" w:cs="Times New Roman"/>
          <w:sz w:val="24"/>
          <w:szCs w:val="24"/>
        </w:rPr>
        <w:t xml:space="preserve"> со </w:t>
      </w:r>
      <w:r w:rsidR="00A65268" w:rsidRPr="009761E8">
        <w:rPr>
          <w:rFonts w:ascii="Times New Roman" w:hAnsi="Times New Roman" w:cs="Times New Roman"/>
          <w:sz w:val="24"/>
          <w:szCs w:val="24"/>
        </w:rPr>
        <w:t>сделками</w:t>
      </w:r>
      <w:r w:rsidR="00872737" w:rsidRPr="009761E8">
        <w:rPr>
          <w:rFonts w:ascii="Times New Roman" w:hAnsi="Times New Roman" w:cs="Times New Roman"/>
          <w:sz w:val="24"/>
          <w:szCs w:val="24"/>
        </w:rPr>
        <w:t xml:space="preserve"> между </w:t>
      </w:r>
      <w:r w:rsidR="00A65268" w:rsidRPr="009761E8">
        <w:rPr>
          <w:rFonts w:ascii="Times New Roman" w:hAnsi="Times New Roman" w:cs="Times New Roman"/>
          <w:sz w:val="24"/>
          <w:szCs w:val="24"/>
        </w:rPr>
        <w:t>фирмами</w:t>
      </w:r>
      <w:r w:rsidR="00872737" w:rsidRPr="009761E8">
        <w:rPr>
          <w:rFonts w:ascii="Times New Roman" w:hAnsi="Times New Roman" w:cs="Times New Roman"/>
          <w:sz w:val="24"/>
          <w:szCs w:val="24"/>
        </w:rPr>
        <w:t xml:space="preserve">, в которых не </w:t>
      </w:r>
      <w:r w:rsidR="00A65268" w:rsidRPr="009761E8">
        <w:rPr>
          <w:rFonts w:ascii="Times New Roman" w:hAnsi="Times New Roman" w:cs="Times New Roman"/>
          <w:sz w:val="24"/>
          <w:szCs w:val="24"/>
        </w:rPr>
        <w:t>принимает участие производитель, уплачивающий налоги,</w:t>
      </w:r>
      <w:r w:rsidR="00872737" w:rsidRPr="009761E8">
        <w:rPr>
          <w:rFonts w:ascii="Times New Roman" w:hAnsi="Times New Roman" w:cs="Times New Roman"/>
          <w:sz w:val="24"/>
          <w:szCs w:val="24"/>
        </w:rPr>
        <w:t xml:space="preserve"> </w:t>
      </w:r>
      <w:r w:rsidR="00A65268" w:rsidRPr="009761E8">
        <w:rPr>
          <w:rFonts w:ascii="Times New Roman" w:hAnsi="Times New Roman" w:cs="Times New Roman"/>
          <w:sz w:val="24"/>
          <w:szCs w:val="24"/>
        </w:rPr>
        <w:t>(в данном случае это будет сделка «</w:t>
      </w:r>
      <w:r w:rsidR="00A65268" w:rsidRPr="009761E8">
        <w:rPr>
          <w:rFonts w:ascii="Times New Roman" w:hAnsi="Times New Roman" w:cs="Times New Roman"/>
          <w:sz w:val="24"/>
          <w:szCs w:val="24"/>
          <w:lang w:val="en-US"/>
        </w:rPr>
        <w:t>Y</w:t>
      </w:r>
      <w:r w:rsidR="00872737" w:rsidRPr="009761E8">
        <w:rPr>
          <w:rFonts w:ascii="Times New Roman" w:hAnsi="Times New Roman" w:cs="Times New Roman"/>
          <w:sz w:val="24"/>
          <w:szCs w:val="24"/>
        </w:rPr>
        <w:t xml:space="preserve">»), </w:t>
      </w:r>
      <w:r w:rsidR="00A65268" w:rsidRPr="009761E8">
        <w:rPr>
          <w:rFonts w:ascii="Times New Roman" w:hAnsi="Times New Roman" w:cs="Times New Roman"/>
          <w:sz w:val="24"/>
          <w:szCs w:val="24"/>
        </w:rPr>
        <w:t>принято называть</w:t>
      </w:r>
      <w:r w:rsidR="00872737" w:rsidRPr="009761E8">
        <w:rPr>
          <w:rFonts w:ascii="Times New Roman" w:hAnsi="Times New Roman" w:cs="Times New Roman"/>
          <w:sz w:val="24"/>
          <w:szCs w:val="24"/>
        </w:rPr>
        <w:t xml:space="preserve"> внешними сопоставимыми сделками. </w:t>
      </w:r>
      <w:r w:rsidR="00A65268" w:rsidRPr="009761E8">
        <w:rPr>
          <w:rFonts w:ascii="Times New Roman" w:hAnsi="Times New Roman" w:cs="Times New Roman"/>
          <w:sz w:val="24"/>
          <w:szCs w:val="24"/>
        </w:rPr>
        <w:t>Если существует информация о двух и более сопоставимых сделках</w:t>
      </w:r>
      <w:r w:rsidR="00872737" w:rsidRPr="009761E8">
        <w:rPr>
          <w:rFonts w:ascii="Times New Roman" w:hAnsi="Times New Roman" w:cs="Times New Roman"/>
          <w:sz w:val="24"/>
          <w:szCs w:val="24"/>
        </w:rPr>
        <w:t xml:space="preserve">, </w:t>
      </w:r>
      <w:r w:rsidR="00A65268" w:rsidRPr="009761E8">
        <w:rPr>
          <w:rFonts w:ascii="Times New Roman" w:hAnsi="Times New Roman" w:cs="Times New Roman"/>
          <w:sz w:val="24"/>
          <w:szCs w:val="24"/>
        </w:rPr>
        <w:t xml:space="preserve">в качестве предмета в которых выступают </w:t>
      </w:r>
      <w:r w:rsidR="00872737" w:rsidRPr="009761E8">
        <w:rPr>
          <w:rFonts w:ascii="Times New Roman" w:hAnsi="Times New Roman" w:cs="Times New Roman"/>
          <w:sz w:val="24"/>
          <w:szCs w:val="24"/>
        </w:rPr>
        <w:t>идентичные (однор</w:t>
      </w:r>
      <w:r w:rsidR="00A65268" w:rsidRPr="009761E8">
        <w:rPr>
          <w:rFonts w:ascii="Times New Roman" w:hAnsi="Times New Roman" w:cs="Times New Roman"/>
          <w:sz w:val="24"/>
          <w:szCs w:val="24"/>
        </w:rPr>
        <w:t xml:space="preserve">одные) товары (работы, услуги), то в соответствии со статьей 105.9 НК РФ появляется необходимость в определении </w:t>
      </w:r>
      <w:r w:rsidR="00872737" w:rsidRPr="009761E8">
        <w:rPr>
          <w:rFonts w:ascii="Times New Roman" w:hAnsi="Times New Roman" w:cs="Times New Roman"/>
          <w:sz w:val="24"/>
          <w:szCs w:val="24"/>
        </w:rPr>
        <w:t>интервал</w:t>
      </w:r>
      <w:r w:rsidR="00A65268" w:rsidRPr="009761E8">
        <w:rPr>
          <w:rFonts w:ascii="Times New Roman" w:hAnsi="Times New Roman" w:cs="Times New Roman"/>
          <w:sz w:val="24"/>
          <w:szCs w:val="24"/>
        </w:rPr>
        <w:t>а рыночных цен</w:t>
      </w:r>
      <w:r w:rsidR="00872737" w:rsidRPr="009761E8">
        <w:rPr>
          <w:rFonts w:ascii="Times New Roman" w:hAnsi="Times New Roman" w:cs="Times New Roman"/>
          <w:sz w:val="24"/>
          <w:szCs w:val="24"/>
        </w:rPr>
        <w:t>.</w:t>
      </w:r>
      <w:r w:rsidR="00A65268" w:rsidRPr="009761E8">
        <w:rPr>
          <w:rFonts w:ascii="Times New Roman" w:hAnsi="Times New Roman" w:cs="Times New Roman"/>
          <w:sz w:val="24"/>
          <w:szCs w:val="24"/>
        </w:rPr>
        <w:t xml:space="preserve"> Далее, если анализируемая цена входит в диапазон рассчитанного интервала, то </w:t>
      </w:r>
      <w:r w:rsidR="00B749B6" w:rsidRPr="009761E8">
        <w:rPr>
          <w:rFonts w:ascii="Times New Roman" w:hAnsi="Times New Roman" w:cs="Times New Roman"/>
          <w:sz w:val="24"/>
          <w:szCs w:val="24"/>
        </w:rPr>
        <w:t>цена является рыночной</w:t>
      </w:r>
      <w:r w:rsidR="00872737" w:rsidRPr="009761E8">
        <w:rPr>
          <w:rFonts w:ascii="Times New Roman" w:hAnsi="Times New Roman" w:cs="Times New Roman"/>
          <w:sz w:val="24"/>
          <w:szCs w:val="24"/>
        </w:rPr>
        <w:t>.</w:t>
      </w:r>
      <w:r w:rsidR="00B749B6" w:rsidRPr="009761E8">
        <w:rPr>
          <w:rFonts w:ascii="Times New Roman" w:hAnsi="Times New Roman" w:cs="Times New Roman"/>
          <w:sz w:val="24"/>
          <w:szCs w:val="24"/>
        </w:rPr>
        <w:t xml:space="preserve"> При отклонениях ниже (выше) интервала рыночных цен принято использовать цену, которая соответствует</w:t>
      </w:r>
      <w:r w:rsidR="00872737" w:rsidRPr="009761E8">
        <w:rPr>
          <w:rFonts w:ascii="Times New Roman" w:hAnsi="Times New Roman" w:cs="Times New Roman"/>
          <w:sz w:val="24"/>
          <w:szCs w:val="24"/>
        </w:rPr>
        <w:t xml:space="preserve"> </w:t>
      </w:r>
      <w:r w:rsidR="00B749B6" w:rsidRPr="009761E8">
        <w:rPr>
          <w:rFonts w:ascii="Times New Roman" w:hAnsi="Times New Roman" w:cs="Times New Roman"/>
          <w:sz w:val="24"/>
          <w:szCs w:val="24"/>
        </w:rPr>
        <w:t>наибольшему</w:t>
      </w:r>
      <w:r w:rsidR="00872737" w:rsidRPr="009761E8">
        <w:rPr>
          <w:rFonts w:ascii="Times New Roman" w:hAnsi="Times New Roman" w:cs="Times New Roman"/>
          <w:sz w:val="24"/>
          <w:szCs w:val="24"/>
        </w:rPr>
        <w:t xml:space="preserve"> (</w:t>
      </w:r>
      <w:r w:rsidR="00B749B6" w:rsidRPr="009761E8">
        <w:rPr>
          <w:rFonts w:ascii="Times New Roman" w:hAnsi="Times New Roman" w:cs="Times New Roman"/>
          <w:sz w:val="24"/>
          <w:szCs w:val="24"/>
        </w:rPr>
        <w:t>наименьшему</w:t>
      </w:r>
      <w:r w:rsidR="00872737" w:rsidRPr="009761E8">
        <w:rPr>
          <w:rFonts w:ascii="Times New Roman" w:hAnsi="Times New Roman" w:cs="Times New Roman"/>
          <w:sz w:val="24"/>
          <w:szCs w:val="24"/>
        </w:rPr>
        <w:t xml:space="preserve">) значению </w:t>
      </w:r>
      <w:r w:rsidR="00B749B6" w:rsidRPr="009761E8">
        <w:rPr>
          <w:rFonts w:ascii="Times New Roman" w:hAnsi="Times New Roman" w:cs="Times New Roman"/>
          <w:sz w:val="24"/>
          <w:szCs w:val="24"/>
        </w:rPr>
        <w:t xml:space="preserve">рассматриваемого </w:t>
      </w:r>
      <w:r w:rsidR="00872737" w:rsidRPr="009761E8">
        <w:rPr>
          <w:rFonts w:ascii="Times New Roman" w:hAnsi="Times New Roman" w:cs="Times New Roman"/>
          <w:sz w:val="24"/>
          <w:szCs w:val="24"/>
        </w:rPr>
        <w:t>интер</w:t>
      </w:r>
      <w:r w:rsidR="00B749B6" w:rsidRPr="009761E8">
        <w:rPr>
          <w:rFonts w:ascii="Times New Roman" w:hAnsi="Times New Roman" w:cs="Times New Roman"/>
          <w:sz w:val="24"/>
          <w:szCs w:val="24"/>
        </w:rPr>
        <w:t>вала.</w:t>
      </w:r>
    </w:p>
    <w:p w:rsidR="00F14C1C" w:rsidRDefault="002139AA" w:rsidP="003026DA">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872737" w:rsidRPr="009761E8">
        <w:rPr>
          <w:rFonts w:ascii="Times New Roman" w:hAnsi="Times New Roman" w:cs="Times New Roman"/>
          <w:sz w:val="24"/>
          <w:szCs w:val="24"/>
        </w:rPr>
        <w:t>Пример 1</w:t>
      </w:r>
      <w:r w:rsidR="00865276">
        <w:rPr>
          <w:rFonts w:ascii="Times New Roman" w:hAnsi="Times New Roman" w:cs="Times New Roman"/>
          <w:sz w:val="24"/>
          <w:szCs w:val="24"/>
        </w:rPr>
        <w:t>.1.</w:t>
      </w:r>
      <w:r w:rsidR="00B749B6" w:rsidRPr="009761E8">
        <w:rPr>
          <w:rFonts w:ascii="Times New Roman" w:hAnsi="Times New Roman" w:cs="Times New Roman"/>
          <w:sz w:val="24"/>
          <w:szCs w:val="24"/>
        </w:rPr>
        <w:t xml:space="preserve"> Компании заключают между собой сделку, которая призна</w:t>
      </w:r>
      <w:r w:rsidR="003026DA">
        <w:rPr>
          <w:rFonts w:ascii="Times New Roman" w:hAnsi="Times New Roman" w:cs="Times New Roman"/>
          <w:sz w:val="24"/>
          <w:szCs w:val="24"/>
        </w:rPr>
        <w:t>ется контролируемой, по цене 10,2 тыс.</w:t>
      </w:r>
      <w:r w:rsidR="00B749B6" w:rsidRPr="009761E8">
        <w:rPr>
          <w:rFonts w:ascii="Times New Roman" w:hAnsi="Times New Roman" w:cs="Times New Roman"/>
          <w:sz w:val="24"/>
          <w:szCs w:val="24"/>
        </w:rPr>
        <w:t xml:space="preserve"> рублей</w:t>
      </w:r>
      <w:r w:rsidR="00E01557">
        <w:rPr>
          <w:rFonts w:ascii="Times New Roman" w:hAnsi="Times New Roman" w:cs="Times New Roman"/>
          <w:sz w:val="24"/>
          <w:szCs w:val="24"/>
        </w:rPr>
        <w:t xml:space="preserve"> за единицу реализуемой продукции</w:t>
      </w:r>
      <w:r w:rsidR="00B749B6" w:rsidRPr="009761E8">
        <w:rPr>
          <w:rFonts w:ascii="Times New Roman" w:hAnsi="Times New Roman" w:cs="Times New Roman"/>
          <w:sz w:val="24"/>
          <w:szCs w:val="24"/>
        </w:rPr>
        <w:t xml:space="preserve">. В ходе исследований было выявлено </w:t>
      </w:r>
      <w:r w:rsidR="00B339D4">
        <w:rPr>
          <w:rFonts w:ascii="Times New Roman" w:hAnsi="Times New Roman" w:cs="Times New Roman"/>
          <w:sz w:val="24"/>
          <w:szCs w:val="24"/>
        </w:rPr>
        <w:t>шесть сопоставимых сделок</w:t>
      </w:r>
      <w:r w:rsidR="00B749B6" w:rsidRPr="009761E8">
        <w:rPr>
          <w:rFonts w:ascii="Times New Roman" w:hAnsi="Times New Roman" w:cs="Times New Roman"/>
          <w:sz w:val="24"/>
          <w:szCs w:val="24"/>
        </w:rPr>
        <w:t>,</w:t>
      </w:r>
      <w:r w:rsidR="00B339D4">
        <w:rPr>
          <w:rFonts w:ascii="Times New Roman" w:hAnsi="Times New Roman" w:cs="Times New Roman"/>
          <w:sz w:val="24"/>
          <w:szCs w:val="24"/>
        </w:rPr>
        <w:t xml:space="preserve"> данные о которых указаны в </w:t>
      </w:r>
      <w:r w:rsidR="007F68C4">
        <w:rPr>
          <w:rFonts w:ascii="Times New Roman" w:hAnsi="Times New Roman" w:cs="Times New Roman"/>
          <w:sz w:val="24"/>
          <w:szCs w:val="24"/>
        </w:rPr>
        <w:t xml:space="preserve">Приложении </w:t>
      </w:r>
      <w:r w:rsidR="0064140C">
        <w:rPr>
          <w:rFonts w:ascii="Times New Roman" w:hAnsi="Times New Roman" w:cs="Times New Roman"/>
          <w:sz w:val="24"/>
          <w:szCs w:val="24"/>
        </w:rPr>
        <w:t>1</w:t>
      </w:r>
      <w:r w:rsidR="0085702E">
        <w:rPr>
          <w:rFonts w:ascii="Times New Roman" w:hAnsi="Times New Roman" w:cs="Times New Roman"/>
          <w:sz w:val="24"/>
          <w:szCs w:val="24"/>
        </w:rPr>
        <w:t>.1</w:t>
      </w:r>
      <w:r w:rsidR="00CE12D7" w:rsidRPr="009761E8">
        <w:rPr>
          <w:rFonts w:ascii="Times New Roman" w:hAnsi="Times New Roman" w:cs="Times New Roman"/>
          <w:sz w:val="24"/>
          <w:szCs w:val="24"/>
        </w:rPr>
        <w:t xml:space="preserve">. </w:t>
      </w:r>
    </w:p>
    <w:p w:rsidR="00F14C1C" w:rsidRDefault="00F14C1C" w:rsidP="003026DA">
      <w:pPr>
        <w:spacing w:after="0" w:line="360" w:lineRule="auto"/>
        <w:jc w:val="both"/>
        <w:rPr>
          <w:rFonts w:ascii="Times New Roman" w:hAnsi="Times New Roman" w:cs="Times New Roman"/>
          <w:sz w:val="24"/>
          <w:szCs w:val="24"/>
        </w:rPr>
      </w:pPr>
    </w:p>
    <w:p w:rsidR="00F14C1C" w:rsidRDefault="00F14C1C" w:rsidP="003026DA">
      <w:pPr>
        <w:spacing w:after="0" w:line="360" w:lineRule="auto"/>
        <w:jc w:val="both"/>
        <w:rPr>
          <w:rFonts w:ascii="Times New Roman" w:hAnsi="Times New Roman" w:cs="Times New Roman"/>
          <w:sz w:val="24"/>
          <w:szCs w:val="24"/>
        </w:rPr>
      </w:pPr>
    </w:p>
    <w:p w:rsidR="00F14C1C" w:rsidRDefault="00F14C1C" w:rsidP="003026DA">
      <w:pPr>
        <w:spacing w:after="0" w:line="360" w:lineRule="auto"/>
        <w:jc w:val="both"/>
        <w:rPr>
          <w:rFonts w:ascii="Times New Roman" w:hAnsi="Times New Roman" w:cs="Times New Roman"/>
          <w:sz w:val="24"/>
          <w:szCs w:val="24"/>
        </w:rPr>
      </w:pPr>
    </w:p>
    <w:p w:rsidR="00F14C1C" w:rsidRDefault="00F14C1C" w:rsidP="003026DA">
      <w:pPr>
        <w:spacing w:after="0" w:line="360" w:lineRule="auto"/>
        <w:jc w:val="both"/>
        <w:rPr>
          <w:rFonts w:ascii="Times New Roman" w:hAnsi="Times New Roman" w:cs="Times New Roman"/>
          <w:sz w:val="24"/>
          <w:szCs w:val="24"/>
        </w:rPr>
      </w:pPr>
    </w:p>
    <w:p w:rsidR="00F14C1C" w:rsidRDefault="00F14C1C" w:rsidP="003026DA">
      <w:pPr>
        <w:spacing w:after="0" w:line="360" w:lineRule="auto"/>
        <w:jc w:val="both"/>
        <w:rPr>
          <w:rFonts w:ascii="Times New Roman" w:hAnsi="Times New Roman" w:cs="Times New Roman"/>
          <w:sz w:val="24"/>
          <w:szCs w:val="24"/>
        </w:rPr>
      </w:pPr>
    </w:p>
    <w:p w:rsidR="00F14C1C" w:rsidRDefault="00F14C1C" w:rsidP="003026DA">
      <w:pPr>
        <w:spacing w:after="0" w:line="360" w:lineRule="auto"/>
        <w:jc w:val="both"/>
        <w:rPr>
          <w:rFonts w:ascii="Times New Roman" w:hAnsi="Times New Roman" w:cs="Times New Roman"/>
          <w:sz w:val="24"/>
          <w:szCs w:val="24"/>
        </w:rPr>
      </w:pPr>
    </w:p>
    <w:p w:rsidR="00872737" w:rsidRDefault="00B339D4" w:rsidP="008570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Расчет рыночной цены производится следующим образом:</w:t>
      </w:r>
      <w:r w:rsidR="00872737" w:rsidRPr="009761E8">
        <w:rPr>
          <w:rFonts w:ascii="Times New Roman" w:hAnsi="Times New Roman" w:cs="Times New Roman"/>
          <w:sz w:val="24"/>
          <w:szCs w:val="24"/>
        </w:rPr>
        <w:t xml:space="preserve"> </w:t>
      </w:r>
      <w:r w:rsidR="003026DA">
        <w:rPr>
          <w:rFonts w:ascii="Times New Roman" w:hAnsi="Times New Roman" w:cs="Times New Roman"/>
          <w:sz w:val="24"/>
          <w:szCs w:val="24"/>
        </w:rPr>
        <w:t>д</w:t>
      </w:r>
      <w:r>
        <w:rPr>
          <w:rFonts w:ascii="Times New Roman" w:hAnsi="Times New Roman" w:cs="Times New Roman"/>
          <w:sz w:val="24"/>
          <w:szCs w:val="24"/>
        </w:rPr>
        <w:t xml:space="preserve">елим </w:t>
      </w:r>
      <w:r w:rsidRPr="00B339D4">
        <w:rPr>
          <w:rFonts w:ascii="Times New Roman" w:hAnsi="Times New Roman" w:cs="Times New Roman"/>
          <w:sz w:val="24"/>
          <w:szCs w:val="24"/>
        </w:rPr>
        <w:t>количество</w:t>
      </w:r>
      <w:r w:rsidR="00CE12D7" w:rsidRPr="00B339D4">
        <w:rPr>
          <w:rFonts w:ascii="Times New Roman" w:hAnsi="Times New Roman" w:cs="Times New Roman"/>
          <w:sz w:val="24"/>
          <w:szCs w:val="24"/>
        </w:rPr>
        <w:t xml:space="preserve"> сопоставимых сделок на 4:</w:t>
      </w:r>
      <w:r>
        <w:rPr>
          <w:rFonts w:ascii="Times New Roman" w:hAnsi="Times New Roman" w:cs="Times New Roman"/>
          <w:sz w:val="24"/>
          <w:szCs w:val="24"/>
        </w:rPr>
        <w:t xml:space="preserve"> 6/4 = 1,5</w:t>
      </w:r>
      <w:r w:rsidR="00872737" w:rsidRPr="00B339D4">
        <w:rPr>
          <w:rFonts w:ascii="Times New Roman" w:hAnsi="Times New Roman" w:cs="Times New Roman"/>
          <w:sz w:val="24"/>
          <w:szCs w:val="24"/>
        </w:rPr>
        <w:t xml:space="preserve">. </w:t>
      </w:r>
      <w:r>
        <w:rPr>
          <w:rFonts w:ascii="Times New Roman" w:hAnsi="Times New Roman" w:cs="Times New Roman"/>
          <w:sz w:val="24"/>
          <w:szCs w:val="24"/>
        </w:rPr>
        <w:t>Так как 1,5</w:t>
      </w:r>
      <w:r w:rsidR="00CE12D7" w:rsidRPr="00B339D4">
        <w:rPr>
          <w:rFonts w:ascii="Times New Roman" w:hAnsi="Times New Roman" w:cs="Times New Roman"/>
          <w:sz w:val="24"/>
          <w:szCs w:val="24"/>
        </w:rPr>
        <w:t xml:space="preserve"> – </w:t>
      </w:r>
      <w:r>
        <w:rPr>
          <w:rFonts w:ascii="Times New Roman" w:hAnsi="Times New Roman" w:cs="Times New Roman"/>
          <w:sz w:val="24"/>
          <w:szCs w:val="24"/>
        </w:rPr>
        <w:t>не</w:t>
      </w:r>
      <w:r w:rsidR="00CE12D7" w:rsidRPr="00B339D4">
        <w:rPr>
          <w:rFonts w:ascii="Times New Roman" w:hAnsi="Times New Roman" w:cs="Times New Roman"/>
          <w:sz w:val="24"/>
          <w:szCs w:val="24"/>
        </w:rPr>
        <w:t xml:space="preserve">целочисленное значение, то </w:t>
      </w:r>
      <w:r>
        <w:rPr>
          <w:rFonts w:ascii="Times New Roman" w:hAnsi="Times New Roman" w:cs="Times New Roman"/>
          <w:sz w:val="24"/>
          <w:szCs w:val="24"/>
        </w:rPr>
        <w:t>округляем в большую сторону – 2. В</w:t>
      </w:r>
      <w:r w:rsidR="00CE12D7" w:rsidRPr="00B339D4">
        <w:rPr>
          <w:rFonts w:ascii="Times New Roman" w:hAnsi="Times New Roman" w:cs="Times New Roman"/>
          <w:sz w:val="24"/>
          <w:szCs w:val="24"/>
        </w:rPr>
        <w:t xml:space="preserve"> соответствии с пп.2 п.3 ст.105.9 НК РФ</w:t>
      </w:r>
      <w:r>
        <w:rPr>
          <w:rFonts w:ascii="Times New Roman" w:hAnsi="Times New Roman" w:cs="Times New Roman"/>
          <w:sz w:val="24"/>
          <w:szCs w:val="24"/>
        </w:rPr>
        <w:t xml:space="preserve">, так как </w:t>
      </w:r>
      <w:r w:rsidRPr="00B339D4">
        <w:rPr>
          <w:rFonts w:ascii="Times New Roman" w:hAnsi="Times New Roman" w:cs="Times New Roman"/>
          <w:sz w:val="24"/>
          <w:szCs w:val="24"/>
        </w:rPr>
        <w:t>цена ед</w:t>
      </w:r>
      <w:r>
        <w:rPr>
          <w:rFonts w:ascii="Times New Roman" w:hAnsi="Times New Roman" w:cs="Times New Roman"/>
          <w:sz w:val="24"/>
          <w:szCs w:val="24"/>
        </w:rPr>
        <w:t>иницы реализованной продукции №</w:t>
      </w:r>
      <w:r w:rsidRPr="00B339D4">
        <w:rPr>
          <w:rFonts w:ascii="Times New Roman" w:hAnsi="Times New Roman" w:cs="Times New Roman"/>
          <w:sz w:val="24"/>
          <w:szCs w:val="24"/>
        </w:rPr>
        <w:t xml:space="preserve">2 </w:t>
      </w:r>
      <w:r>
        <w:rPr>
          <w:rFonts w:ascii="Times New Roman" w:hAnsi="Times New Roman" w:cs="Times New Roman"/>
          <w:sz w:val="24"/>
          <w:szCs w:val="24"/>
        </w:rPr>
        <w:t>–</w:t>
      </w:r>
      <w:r w:rsidRPr="00B339D4">
        <w:rPr>
          <w:rFonts w:ascii="Times New Roman" w:hAnsi="Times New Roman" w:cs="Times New Roman"/>
          <w:sz w:val="24"/>
          <w:szCs w:val="24"/>
        </w:rPr>
        <w:t xml:space="preserve"> </w:t>
      </w:r>
      <w:r>
        <w:rPr>
          <w:rFonts w:ascii="Times New Roman" w:hAnsi="Times New Roman" w:cs="Times New Roman"/>
          <w:sz w:val="24"/>
          <w:szCs w:val="24"/>
        </w:rPr>
        <w:t>10,4</w:t>
      </w:r>
      <w:r w:rsidRPr="00B339D4">
        <w:rPr>
          <w:rFonts w:ascii="Times New Roman" w:hAnsi="Times New Roman" w:cs="Times New Roman"/>
          <w:sz w:val="24"/>
          <w:szCs w:val="24"/>
        </w:rPr>
        <w:t xml:space="preserve"> тыс. руб., </w:t>
      </w:r>
      <w:r>
        <w:rPr>
          <w:rFonts w:ascii="Times New Roman" w:hAnsi="Times New Roman" w:cs="Times New Roman"/>
          <w:sz w:val="24"/>
          <w:szCs w:val="24"/>
        </w:rPr>
        <w:t xml:space="preserve">то </w:t>
      </w:r>
      <w:r w:rsidRPr="00B339D4">
        <w:rPr>
          <w:rFonts w:ascii="Times New Roman" w:hAnsi="Times New Roman" w:cs="Times New Roman"/>
          <w:sz w:val="24"/>
          <w:szCs w:val="24"/>
        </w:rPr>
        <w:t xml:space="preserve">именно это </w:t>
      </w:r>
      <w:r>
        <w:rPr>
          <w:rFonts w:ascii="Times New Roman" w:hAnsi="Times New Roman" w:cs="Times New Roman"/>
          <w:sz w:val="24"/>
          <w:szCs w:val="24"/>
        </w:rPr>
        <w:t>зна</w:t>
      </w:r>
      <w:r w:rsidR="003026DA">
        <w:rPr>
          <w:rFonts w:ascii="Times New Roman" w:hAnsi="Times New Roman" w:cs="Times New Roman"/>
          <w:sz w:val="24"/>
          <w:szCs w:val="24"/>
        </w:rPr>
        <w:t>чение будет являться минимальной</w:t>
      </w:r>
      <w:r>
        <w:rPr>
          <w:rFonts w:ascii="Times New Roman" w:hAnsi="Times New Roman" w:cs="Times New Roman"/>
          <w:sz w:val="24"/>
          <w:szCs w:val="24"/>
        </w:rPr>
        <w:t xml:space="preserve"> границ</w:t>
      </w:r>
      <w:r w:rsidR="003026DA">
        <w:rPr>
          <w:rFonts w:ascii="Times New Roman" w:hAnsi="Times New Roman" w:cs="Times New Roman"/>
          <w:sz w:val="24"/>
          <w:szCs w:val="24"/>
        </w:rPr>
        <w:t>е</w:t>
      </w:r>
      <w:r>
        <w:rPr>
          <w:rFonts w:ascii="Times New Roman" w:hAnsi="Times New Roman" w:cs="Times New Roman"/>
          <w:sz w:val="24"/>
          <w:szCs w:val="24"/>
        </w:rPr>
        <w:t>й</w:t>
      </w:r>
      <w:r w:rsidRPr="00B339D4">
        <w:rPr>
          <w:rFonts w:ascii="Times New Roman" w:hAnsi="Times New Roman" w:cs="Times New Roman"/>
          <w:sz w:val="24"/>
          <w:szCs w:val="24"/>
        </w:rPr>
        <w:t xml:space="preserve"> интервала </w:t>
      </w:r>
      <w:r w:rsidR="003026DA">
        <w:rPr>
          <w:rFonts w:ascii="Times New Roman" w:hAnsi="Times New Roman" w:cs="Times New Roman"/>
          <w:sz w:val="24"/>
          <w:szCs w:val="24"/>
        </w:rPr>
        <w:t>рыночной</w:t>
      </w:r>
      <w:r w:rsidRPr="00B339D4">
        <w:rPr>
          <w:rFonts w:ascii="Times New Roman" w:hAnsi="Times New Roman" w:cs="Times New Roman"/>
          <w:sz w:val="24"/>
          <w:szCs w:val="24"/>
        </w:rPr>
        <w:t xml:space="preserve"> цен</w:t>
      </w:r>
      <w:r w:rsidR="003026DA">
        <w:rPr>
          <w:rFonts w:ascii="Times New Roman" w:hAnsi="Times New Roman" w:cs="Times New Roman"/>
          <w:sz w:val="24"/>
          <w:szCs w:val="24"/>
        </w:rPr>
        <w:t>ы</w:t>
      </w:r>
      <w:r w:rsidR="00872737" w:rsidRPr="00B339D4">
        <w:rPr>
          <w:rFonts w:ascii="Times New Roman" w:hAnsi="Times New Roman" w:cs="Times New Roman"/>
          <w:sz w:val="24"/>
          <w:szCs w:val="24"/>
        </w:rPr>
        <w:t xml:space="preserve">. </w:t>
      </w:r>
      <w:r w:rsidR="00CE12D7" w:rsidRPr="00B339D4">
        <w:rPr>
          <w:rFonts w:ascii="Times New Roman" w:hAnsi="Times New Roman" w:cs="Times New Roman"/>
          <w:sz w:val="24"/>
          <w:szCs w:val="24"/>
        </w:rPr>
        <w:t xml:space="preserve">При расчете максимального значения интервала </w:t>
      </w:r>
      <w:r w:rsidR="00872737" w:rsidRPr="00B339D4">
        <w:rPr>
          <w:rFonts w:ascii="Times New Roman" w:hAnsi="Times New Roman" w:cs="Times New Roman"/>
          <w:sz w:val="24"/>
          <w:szCs w:val="24"/>
        </w:rPr>
        <w:t>в соответствии</w:t>
      </w:r>
      <w:r w:rsidR="001D3E93" w:rsidRPr="00B339D4">
        <w:rPr>
          <w:rFonts w:ascii="Times New Roman" w:hAnsi="Times New Roman" w:cs="Times New Roman"/>
          <w:sz w:val="24"/>
          <w:szCs w:val="24"/>
        </w:rPr>
        <w:t xml:space="preserve"> с </w:t>
      </w:r>
      <w:r w:rsidR="00CE12D7" w:rsidRPr="00B339D4">
        <w:rPr>
          <w:rFonts w:ascii="Times New Roman" w:hAnsi="Times New Roman" w:cs="Times New Roman"/>
          <w:sz w:val="24"/>
          <w:szCs w:val="24"/>
        </w:rPr>
        <w:t>пп.3 п.3 ст.105.9 НК РФ нужно умножить общее кол</w:t>
      </w:r>
      <w:r w:rsidR="003026DA">
        <w:rPr>
          <w:rFonts w:ascii="Times New Roman" w:hAnsi="Times New Roman" w:cs="Times New Roman"/>
          <w:sz w:val="24"/>
          <w:szCs w:val="24"/>
        </w:rPr>
        <w:t>ичество сделок на 0,75. Имеем: 6 × 0,75 = 4,5</w:t>
      </w:r>
      <w:r w:rsidR="00CE12D7" w:rsidRPr="00B339D4">
        <w:rPr>
          <w:rFonts w:ascii="Times New Roman" w:hAnsi="Times New Roman" w:cs="Times New Roman"/>
          <w:sz w:val="24"/>
          <w:szCs w:val="24"/>
        </w:rPr>
        <w:t xml:space="preserve"> – </w:t>
      </w:r>
      <w:r w:rsidR="003026DA">
        <w:rPr>
          <w:rFonts w:ascii="Times New Roman" w:hAnsi="Times New Roman" w:cs="Times New Roman"/>
          <w:sz w:val="24"/>
          <w:szCs w:val="24"/>
        </w:rPr>
        <w:t>не</w:t>
      </w:r>
      <w:r w:rsidR="00CE12D7" w:rsidRPr="00B339D4">
        <w:rPr>
          <w:rFonts w:ascii="Times New Roman" w:hAnsi="Times New Roman" w:cs="Times New Roman"/>
          <w:sz w:val="24"/>
          <w:szCs w:val="24"/>
        </w:rPr>
        <w:t xml:space="preserve">целочисленное значение, следовательно, </w:t>
      </w:r>
      <w:r w:rsidR="003026DA">
        <w:rPr>
          <w:rFonts w:ascii="Times New Roman" w:hAnsi="Times New Roman" w:cs="Times New Roman"/>
          <w:sz w:val="24"/>
          <w:szCs w:val="24"/>
        </w:rPr>
        <w:t xml:space="preserve">округляем до 5. Сделка №5 </w:t>
      </w:r>
      <w:r w:rsidR="001D3E93" w:rsidRPr="00B339D4">
        <w:rPr>
          <w:rFonts w:ascii="Times New Roman" w:hAnsi="Times New Roman" w:cs="Times New Roman"/>
          <w:sz w:val="24"/>
          <w:szCs w:val="24"/>
        </w:rPr>
        <w:t xml:space="preserve">будет являться максимальным </w:t>
      </w:r>
      <w:r w:rsidR="00872737" w:rsidRPr="00B339D4">
        <w:rPr>
          <w:rFonts w:ascii="Times New Roman" w:hAnsi="Times New Roman" w:cs="Times New Roman"/>
          <w:sz w:val="24"/>
          <w:szCs w:val="24"/>
        </w:rPr>
        <w:t>значение</w:t>
      </w:r>
      <w:r w:rsidR="003026DA">
        <w:rPr>
          <w:rFonts w:ascii="Times New Roman" w:hAnsi="Times New Roman" w:cs="Times New Roman"/>
          <w:sz w:val="24"/>
          <w:szCs w:val="24"/>
        </w:rPr>
        <w:t>м</w:t>
      </w:r>
      <w:r w:rsidR="00872737" w:rsidRPr="00B339D4">
        <w:rPr>
          <w:rFonts w:ascii="Times New Roman" w:hAnsi="Times New Roman" w:cs="Times New Roman"/>
          <w:sz w:val="24"/>
          <w:szCs w:val="24"/>
        </w:rPr>
        <w:t xml:space="preserve"> интервала рыночных цен</w:t>
      </w:r>
      <w:r w:rsidR="001D3E93" w:rsidRPr="00B339D4">
        <w:rPr>
          <w:rFonts w:ascii="Times New Roman" w:hAnsi="Times New Roman" w:cs="Times New Roman"/>
          <w:sz w:val="24"/>
          <w:szCs w:val="24"/>
        </w:rPr>
        <w:t>. Далее необходимо сравнить, лежит ли цена нашей сделки в пределах от 210 до 290 млн р</w:t>
      </w:r>
      <w:r w:rsidR="003026DA">
        <w:rPr>
          <w:rFonts w:ascii="Times New Roman" w:hAnsi="Times New Roman" w:cs="Times New Roman"/>
          <w:sz w:val="24"/>
          <w:szCs w:val="24"/>
        </w:rPr>
        <w:t>ублей. Так как 10,4&gt; 10,2 &lt;13,2</w:t>
      </w:r>
      <w:r w:rsidR="001D3E93" w:rsidRPr="00B339D4">
        <w:rPr>
          <w:rFonts w:ascii="Times New Roman" w:hAnsi="Times New Roman" w:cs="Times New Roman"/>
          <w:sz w:val="24"/>
          <w:szCs w:val="24"/>
        </w:rPr>
        <w:t>, следовательно, наша цена сделки не попадает в рассчитанный интервал, то ее цена должна быть скорректирована в соответствии с действующим законодат</w:t>
      </w:r>
      <w:r w:rsidR="003026DA">
        <w:rPr>
          <w:rFonts w:ascii="Times New Roman" w:hAnsi="Times New Roman" w:cs="Times New Roman"/>
          <w:sz w:val="24"/>
          <w:szCs w:val="24"/>
        </w:rPr>
        <w:t>ельством для признания рыночной в большую сторону. То есть минимальная рыночная цена нашей сделки составит 10,4 тыс. рублей.</w:t>
      </w:r>
    </w:p>
    <w:p w:rsidR="00F14C1C" w:rsidRDefault="00865276" w:rsidP="00865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Пример 1.2. Допустим, что все те же компании заключают между собой сделку</w:t>
      </w:r>
      <w:r w:rsidR="00E01557">
        <w:rPr>
          <w:rFonts w:ascii="Times New Roman" w:hAnsi="Times New Roman" w:cs="Times New Roman"/>
          <w:sz w:val="24"/>
          <w:szCs w:val="24"/>
        </w:rPr>
        <w:t>, в которой цена единицы реализованной продукции составила 11,7 тыс. рублей, и</w:t>
      </w:r>
      <w:r>
        <w:rPr>
          <w:rFonts w:ascii="Times New Roman" w:hAnsi="Times New Roman" w:cs="Times New Roman"/>
          <w:sz w:val="24"/>
          <w:szCs w:val="24"/>
        </w:rPr>
        <w:t xml:space="preserve"> в ходе</w:t>
      </w:r>
      <w:r w:rsidR="00E01557">
        <w:rPr>
          <w:rFonts w:ascii="Times New Roman" w:hAnsi="Times New Roman" w:cs="Times New Roman"/>
          <w:sz w:val="24"/>
          <w:szCs w:val="24"/>
        </w:rPr>
        <w:t xml:space="preserve"> исследований было выявлено не шесть, а восемь</w:t>
      </w:r>
      <w:r>
        <w:rPr>
          <w:rFonts w:ascii="Times New Roman" w:hAnsi="Times New Roman" w:cs="Times New Roman"/>
          <w:sz w:val="24"/>
          <w:szCs w:val="24"/>
        </w:rPr>
        <w:t xml:space="preserve"> сопоставимых сделок (см. </w:t>
      </w:r>
      <w:r w:rsidR="0085702E">
        <w:rPr>
          <w:rFonts w:ascii="Times New Roman" w:hAnsi="Times New Roman" w:cs="Times New Roman"/>
          <w:sz w:val="24"/>
          <w:szCs w:val="24"/>
        </w:rPr>
        <w:t xml:space="preserve">Приложение </w:t>
      </w:r>
      <w:r w:rsidR="0064140C">
        <w:rPr>
          <w:rFonts w:ascii="Times New Roman" w:hAnsi="Times New Roman" w:cs="Times New Roman"/>
          <w:sz w:val="24"/>
          <w:szCs w:val="24"/>
        </w:rPr>
        <w:t>1.2</w:t>
      </w:r>
      <w:r>
        <w:rPr>
          <w:rFonts w:ascii="Times New Roman" w:hAnsi="Times New Roman" w:cs="Times New Roman"/>
          <w:sz w:val="24"/>
          <w:szCs w:val="24"/>
        </w:rPr>
        <w:t xml:space="preserve">). </w:t>
      </w:r>
    </w:p>
    <w:p w:rsidR="00865276" w:rsidRPr="00E01557" w:rsidRDefault="00865276" w:rsidP="008570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Делим 8</w:t>
      </w:r>
      <w:r w:rsidRPr="00865276">
        <w:rPr>
          <w:rFonts w:ascii="Times New Roman" w:hAnsi="Times New Roman" w:cs="Times New Roman"/>
          <w:sz w:val="24"/>
          <w:szCs w:val="24"/>
        </w:rPr>
        <w:t xml:space="preserve">/4 = 2 – </w:t>
      </w:r>
      <w:r>
        <w:rPr>
          <w:rFonts w:ascii="Times New Roman" w:hAnsi="Times New Roman" w:cs="Times New Roman"/>
          <w:sz w:val="24"/>
          <w:szCs w:val="24"/>
        </w:rPr>
        <w:t xml:space="preserve">целочисленное значение, следовательно, найдем среднее арифметическое сделки под порядковым номером 2 и следующей за ней, то есть </w:t>
      </w:r>
      <w:r w:rsidRPr="00865276">
        <w:rPr>
          <w:rFonts w:ascii="Times New Roman" w:hAnsi="Times New Roman" w:cs="Times New Roman"/>
          <w:sz w:val="24"/>
          <w:szCs w:val="24"/>
        </w:rPr>
        <w:t>3</w:t>
      </w:r>
      <w:r>
        <w:rPr>
          <w:rFonts w:ascii="Times New Roman" w:hAnsi="Times New Roman" w:cs="Times New Roman"/>
          <w:sz w:val="24"/>
          <w:szCs w:val="24"/>
        </w:rPr>
        <w:t>-й: (10,1 + 10,4)</w:t>
      </w:r>
      <w:r w:rsidRPr="00865276">
        <w:rPr>
          <w:rFonts w:ascii="Times New Roman" w:hAnsi="Times New Roman" w:cs="Times New Roman"/>
          <w:sz w:val="24"/>
          <w:szCs w:val="24"/>
        </w:rPr>
        <w:t xml:space="preserve">/2 = 10,25 </w:t>
      </w:r>
      <w:r>
        <w:rPr>
          <w:rFonts w:ascii="Times New Roman" w:hAnsi="Times New Roman" w:cs="Times New Roman"/>
          <w:sz w:val="24"/>
          <w:szCs w:val="24"/>
        </w:rPr>
        <w:t xml:space="preserve">тыс. рублей, что будет являться минимальным значением интервала. </w:t>
      </w:r>
      <w:r w:rsidR="00E01557">
        <w:rPr>
          <w:rFonts w:ascii="Times New Roman" w:hAnsi="Times New Roman" w:cs="Times New Roman"/>
          <w:sz w:val="24"/>
          <w:szCs w:val="24"/>
        </w:rPr>
        <w:t>Теперь умножим число сопоставимых сделок на 0,75 и получим целое число 6. Значит максимальное значение интервала будет находиться как среднее между сделкой №6 и сделкой №7: (11,5+11,6)</w:t>
      </w:r>
      <w:r w:rsidR="00E01557" w:rsidRPr="00E01557">
        <w:rPr>
          <w:rFonts w:ascii="Times New Roman" w:hAnsi="Times New Roman" w:cs="Times New Roman"/>
          <w:sz w:val="24"/>
          <w:szCs w:val="24"/>
        </w:rPr>
        <w:t xml:space="preserve">/2 = </w:t>
      </w:r>
      <w:r w:rsidR="00E01557">
        <w:rPr>
          <w:rFonts w:ascii="Times New Roman" w:hAnsi="Times New Roman" w:cs="Times New Roman"/>
          <w:sz w:val="24"/>
          <w:szCs w:val="24"/>
        </w:rPr>
        <w:t xml:space="preserve">11,55. Так как цена продукции составила 11,7, тыс. рублей что не попадает в интервал </w:t>
      </w:r>
      <w:r w:rsidR="00E01557" w:rsidRPr="00E01557">
        <w:rPr>
          <w:rFonts w:ascii="Times New Roman" w:hAnsi="Times New Roman" w:cs="Times New Roman"/>
          <w:sz w:val="24"/>
          <w:szCs w:val="24"/>
        </w:rPr>
        <w:t>[</w:t>
      </w:r>
      <w:r w:rsidR="00E01557">
        <w:rPr>
          <w:rFonts w:ascii="Times New Roman" w:hAnsi="Times New Roman" w:cs="Times New Roman"/>
          <w:sz w:val="24"/>
          <w:szCs w:val="24"/>
        </w:rPr>
        <w:t>10,25</w:t>
      </w:r>
      <w:r w:rsidR="00E01557" w:rsidRPr="00E01557">
        <w:rPr>
          <w:rFonts w:ascii="Times New Roman" w:hAnsi="Times New Roman" w:cs="Times New Roman"/>
          <w:sz w:val="24"/>
          <w:szCs w:val="24"/>
        </w:rPr>
        <w:t>;</w:t>
      </w:r>
      <w:r w:rsidR="00E01557">
        <w:rPr>
          <w:rFonts w:ascii="Times New Roman" w:hAnsi="Times New Roman" w:cs="Times New Roman"/>
          <w:sz w:val="24"/>
          <w:szCs w:val="24"/>
        </w:rPr>
        <w:t>11,55</w:t>
      </w:r>
      <w:r w:rsidR="00E01557" w:rsidRPr="00E01557">
        <w:rPr>
          <w:rFonts w:ascii="Times New Roman" w:hAnsi="Times New Roman" w:cs="Times New Roman"/>
          <w:sz w:val="24"/>
          <w:szCs w:val="24"/>
        </w:rPr>
        <w:t>],</w:t>
      </w:r>
      <w:r w:rsidR="00E01557">
        <w:rPr>
          <w:rFonts w:ascii="Times New Roman" w:hAnsi="Times New Roman" w:cs="Times New Roman"/>
          <w:sz w:val="24"/>
          <w:szCs w:val="24"/>
        </w:rPr>
        <w:t xml:space="preserve"> то существует необходимость в корректировках в меньшую сторону, то есть максимальная цена единицы продукции по рассматриваемой сделки будет составлять 11,55 тыс. рублей.</w:t>
      </w:r>
    </w:p>
    <w:p w:rsidR="001D3E93" w:rsidRPr="009761E8" w:rsidRDefault="001D3E93"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Несмотря на то, что метод сопоставимых рыночных цен является наиболее приоритетным при определении трансфертной цены, тем не менее он содержит в себе несколько существенных недостатков</w:t>
      </w:r>
    </w:p>
    <w:p w:rsidR="001D3E93" w:rsidRPr="009761E8" w:rsidRDefault="001D3E93"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Прежде всего возникает вопрос о том, каким образом будет определяться интервал рыночных цен в случае, если имеется информация лишь по одной сопоставимой сделке, </w:t>
      </w:r>
      <w:r w:rsidRPr="009761E8">
        <w:rPr>
          <w:rFonts w:ascii="Times New Roman" w:hAnsi="Times New Roman" w:cs="Times New Roman"/>
          <w:sz w:val="24"/>
          <w:szCs w:val="24"/>
        </w:rPr>
        <w:lastRenderedPageBreak/>
        <w:t xml:space="preserve">например, по цене 310 млн рублей. Стоит ли признавать эту цену рыночной, и каким образом она может быть скорректирована? Более того, как было сказано ранее, рассматриваемый метод применим относительно идентичных (однородных товаров). </w:t>
      </w:r>
      <w:r w:rsidR="009906EB" w:rsidRPr="009761E8">
        <w:rPr>
          <w:rFonts w:ascii="Times New Roman" w:hAnsi="Times New Roman" w:cs="Times New Roman"/>
          <w:sz w:val="24"/>
          <w:szCs w:val="24"/>
        </w:rPr>
        <w:t>Но данные понятия сильно разнятся в зависимости от тех или иных обстоятельств. Например, если речь идет о нефти, производимой двумя марками, то мы можем назвать этот товар однородным. Но в нефтепродуктах очень важную роль играют такие факторы как качество продукта (например, плотность), условия ее добычи, используемое оборудование и т.д., которые могут существенно повлиять на цену. Именно поэтому в большинстве случаях крайне сложно найти идентичные товары. Также существуют определенные трудности в установлении даты, на которую приходится расчет цены, так как временной разрыв между проведением тех или иных сделок объективно может существенно повлиять на производимые расчеты. Более того, стоит брать во внимание нестабильность рынка и естественные колебания цен.</w:t>
      </w:r>
      <w:r w:rsidR="00871460" w:rsidRPr="009761E8">
        <w:rPr>
          <w:rFonts w:ascii="Times New Roman" w:hAnsi="Times New Roman" w:cs="Times New Roman"/>
          <w:sz w:val="24"/>
          <w:szCs w:val="24"/>
        </w:rPr>
        <w:t xml:space="preserve"> Еще одним недостатком можно назвать неприменимость метода сопоставимых цен относительно товаров и услуг в силу их индивидуальных особенностей.</w:t>
      </w:r>
    </w:p>
    <w:p w:rsidR="00872737" w:rsidRPr="009761E8" w:rsidRDefault="00872737" w:rsidP="0085702E">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2. Метод цены последующей реализации</w:t>
      </w:r>
    </w:p>
    <w:p w:rsidR="002139AA" w:rsidRPr="009761E8" w:rsidRDefault="00871460" w:rsidP="0085702E">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При отсутствии оснований</w:t>
      </w:r>
      <w:r w:rsidR="00872737" w:rsidRPr="009761E8">
        <w:rPr>
          <w:rFonts w:ascii="Times New Roman" w:hAnsi="Times New Roman" w:cs="Times New Roman"/>
          <w:sz w:val="24"/>
          <w:szCs w:val="24"/>
        </w:rPr>
        <w:t xml:space="preserve"> для </w:t>
      </w:r>
      <w:r w:rsidRPr="009761E8">
        <w:rPr>
          <w:rFonts w:ascii="Times New Roman" w:hAnsi="Times New Roman" w:cs="Times New Roman"/>
          <w:sz w:val="24"/>
          <w:szCs w:val="24"/>
        </w:rPr>
        <w:t>применения вышеизложенного</w:t>
      </w:r>
      <w:r w:rsidR="00872737" w:rsidRPr="009761E8">
        <w:rPr>
          <w:rFonts w:ascii="Times New Roman" w:hAnsi="Times New Roman" w:cs="Times New Roman"/>
          <w:sz w:val="24"/>
          <w:szCs w:val="24"/>
        </w:rPr>
        <w:t xml:space="preserve"> ме</w:t>
      </w:r>
      <w:r w:rsidRPr="009761E8">
        <w:rPr>
          <w:rFonts w:ascii="Times New Roman" w:hAnsi="Times New Roman" w:cs="Times New Roman"/>
          <w:sz w:val="24"/>
          <w:szCs w:val="24"/>
        </w:rPr>
        <w:t>тода зачастую используют</w:t>
      </w:r>
      <w:r w:rsidR="00872737" w:rsidRPr="009761E8">
        <w:rPr>
          <w:rFonts w:ascii="Times New Roman" w:hAnsi="Times New Roman" w:cs="Times New Roman"/>
          <w:sz w:val="24"/>
          <w:szCs w:val="24"/>
        </w:rPr>
        <w:t xml:space="preserve"> метод последующей реализации. </w:t>
      </w:r>
      <w:r w:rsidRPr="009761E8">
        <w:rPr>
          <w:rFonts w:ascii="Times New Roman" w:hAnsi="Times New Roman" w:cs="Times New Roman"/>
          <w:sz w:val="24"/>
          <w:szCs w:val="24"/>
        </w:rPr>
        <w:t>Этот метод является наиболее подходящим для сделок, в которых происходит перепродажа покупателем приобретенных ранее</w:t>
      </w:r>
      <w:r w:rsidR="00872737" w:rsidRPr="009761E8">
        <w:rPr>
          <w:rFonts w:ascii="Times New Roman" w:hAnsi="Times New Roman" w:cs="Times New Roman"/>
          <w:sz w:val="24"/>
          <w:szCs w:val="24"/>
        </w:rPr>
        <w:t xml:space="preserve"> товар</w:t>
      </w:r>
      <w:r w:rsidRPr="009761E8">
        <w:rPr>
          <w:rFonts w:ascii="Times New Roman" w:hAnsi="Times New Roman" w:cs="Times New Roman"/>
          <w:sz w:val="24"/>
          <w:szCs w:val="24"/>
        </w:rPr>
        <w:t xml:space="preserve">ов </w:t>
      </w:r>
      <w:r w:rsidR="00872737" w:rsidRPr="009761E8">
        <w:rPr>
          <w:rFonts w:ascii="Times New Roman" w:hAnsi="Times New Roman" w:cs="Times New Roman"/>
          <w:sz w:val="24"/>
          <w:szCs w:val="24"/>
        </w:rPr>
        <w:t xml:space="preserve">у взаимозависимого лица другому лицу, </w:t>
      </w:r>
      <w:r w:rsidRPr="009761E8">
        <w:rPr>
          <w:rFonts w:ascii="Times New Roman" w:hAnsi="Times New Roman" w:cs="Times New Roman"/>
          <w:sz w:val="24"/>
          <w:szCs w:val="24"/>
        </w:rPr>
        <w:t>который в свою очередь не является</w:t>
      </w:r>
      <w:r w:rsidR="00872737" w:rsidRPr="009761E8">
        <w:rPr>
          <w:rFonts w:ascii="Times New Roman" w:hAnsi="Times New Roman" w:cs="Times New Roman"/>
          <w:sz w:val="24"/>
          <w:szCs w:val="24"/>
        </w:rPr>
        <w:t xml:space="preserve"> взаимозависимым с </w:t>
      </w:r>
      <w:r w:rsidRPr="009761E8">
        <w:rPr>
          <w:rFonts w:ascii="Times New Roman" w:hAnsi="Times New Roman" w:cs="Times New Roman"/>
          <w:sz w:val="24"/>
          <w:szCs w:val="24"/>
        </w:rPr>
        <w:t>ним (</w:t>
      </w:r>
      <w:r w:rsidR="00872737" w:rsidRPr="009761E8">
        <w:rPr>
          <w:rFonts w:ascii="Times New Roman" w:hAnsi="Times New Roman" w:cs="Times New Roman"/>
          <w:sz w:val="24"/>
          <w:szCs w:val="24"/>
        </w:rPr>
        <w:t xml:space="preserve">п.2 ст.105.10 НК РФ). Для </w:t>
      </w:r>
      <w:r w:rsidRPr="009761E8">
        <w:rPr>
          <w:rFonts w:ascii="Times New Roman" w:hAnsi="Times New Roman" w:cs="Times New Roman"/>
          <w:sz w:val="24"/>
          <w:szCs w:val="24"/>
        </w:rPr>
        <w:t xml:space="preserve">того, чтобы определить цену по </w:t>
      </w:r>
      <w:r w:rsidR="008E7955" w:rsidRPr="009761E8">
        <w:rPr>
          <w:rFonts w:ascii="Times New Roman" w:hAnsi="Times New Roman" w:cs="Times New Roman"/>
          <w:sz w:val="24"/>
          <w:szCs w:val="24"/>
        </w:rPr>
        <w:t>методу цены последующей реализации</w:t>
      </w:r>
      <w:r w:rsidRPr="009761E8">
        <w:rPr>
          <w:rFonts w:ascii="Times New Roman" w:hAnsi="Times New Roman" w:cs="Times New Roman"/>
          <w:sz w:val="24"/>
          <w:szCs w:val="24"/>
        </w:rPr>
        <w:t>, необходимо прежде всего рассчитать такой показатель как валовая рентабельность компании</w:t>
      </w:r>
      <w:r w:rsidR="002139AA" w:rsidRPr="009761E8">
        <w:rPr>
          <w:rFonts w:ascii="Times New Roman" w:hAnsi="Times New Roman" w:cs="Times New Roman"/>
          <w:sz w:val="24"/>
          <w:szCs w:val="24"/>
        </w:rPr>
        <w:t>, которая выступает в качестве</w:t>
      </w:r>
      <w:r w:rsidR="00872737" w:rsidRPr="009761E8">
        <w:rPr>
          <w:rFonts w:ascii="Times New Roman" w:hAnsi="Times New Roman" w:cs="Times New Roman"/>
          <w:sz w:val="24"/>
          <w:szCs w:val="24"/>
        </w:rPr>
        <w:t xml:space="preserve"> покупател</w:t>
      </w:r>
      <w:r w:rsidR="002139AA" w:rsidRPr="009761E8">
        <w:rPr>
          <w:rFonts w:ascii="Times New Roman" w:hAnsi="Times New Roman" w:cs="Times New Roman"/>
          <w:sz w:val="24"/>
          <w:szCs w:val="24"/>
        </w:rPr>
        <w:t>я, и сравнить его</w:t>
      </w:r>
      <w:r w:rsidR="00872737" w:rsidRPr="009761E8">
        <w:rPr>
          <w:rFonts w:ascii="Times New Roman" w:hAnsi="Times New Roman" w:cs="Times New Roman"/>
          <w:sz w:val="24"/>
          <w:szCs w:val="24"/>
        </w:rPr>
        <w:t xml:space="preserve"> с </w:t>
      </w:r>
      <w:r w:rsidR="002139AA" w:rsidRPr="009761E8">
        <w:rPr>
          <w:rFonts w:ascii="Times New Roman" w:hAnsi="Times New Roman" w:cs="Times New Roman"/>
          <w:sz w:val="24"/>
          <w:szCs w:val="24"/>
        </w:rPr>
        <w:t>показателем рыночного интервала рентабельности</w:t>
      </w:r>
      <w:r w:rsidR="00872737" w:rsidRPr="009761E8">
        <w:rPr>
          <w:rFonts w:ascii="Times New Roman" w:hAnsi="Times New Roman" w:cs="Times New Roman"/>
          <w:sz w:val="24"/>
          <w:szCs w:val="24"/>
        </w:rPr>
        <w:t xml:space="preserve">. </w:t>
      </w:r>
    </w:p>
    <w:p w:rsidR="00E01557" w:rsidRDefault="002139AA"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9C1411">
        <w:rPr>
          <w:rFonts w:ascii="Times New Roman" w:hAnsi="Times New Roman" w:cs="Times New Roman"/>
          <w:sz w:val="24"/>
          <w:szCs w:val="24"/>
        </w:rPr>
        <w:t xml:space="preserve">Пример </w:t>
      </w:r>
      <w:r w:rsidR="00E01557">
        <w:rPr>
          <w:rFonts w:ascii="Times New Roman" w:hAnsi="Times New Roman" w:cs="Times New Roman"/>
          <w:sz w:val="24"/>
          <w:szCs w:val="24"/>
        </w:rPr>
        <w:t xml:space="preserve">2. </w:t>
      </w:r>
    </w:p>
    <w:p w:rsidR="00E869D1" w:rsidRDefault="00E869D1"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85702E">
        <w:rPr>
          <w:rFonts w:ascii="Times New Roman" w:hAnsi="Times New Roman" w:cs="Times New Roman"/>
          <w:sz w:val="24"/>
          <w:szCs w:val="24"/>
        </w:rPr>
        <w:t>1</w:t>
      </w:r>
      <w:r>
        <w:rPr>
          <w:rFonts w:ascii="Times New Roman" w:hAnsi="Times New Roman" w:cs="Times New Roman"/>
          <w:sz w:val="24"/>
          <w:szCs w:val="24"/>
        </w:rPr>
        <w:t>. Исходные данные анализируемой сделки</w:t>
      </w:r>
    </w:p>
    <w:p w:rsidR="009B5C45" w:rsidRDefault="009B5C45" w:rsidP="009761E8">
      <w:pPr>
        <w:spacing w:after="0" w:line="360" w:lineRule="auto"/>
        <w:jc w:val="both"/>
        <w:rPr>
          <w:rFonts w:ascii="Times New Roman" w:hAnsi="Times New Roman" w:cs="Times New Roman"/>
          <w:sz w:val="24"/>
          <w:szCs w:val="24"/>
        </w:rPr>
      </w:pPr>
    </w:p>
    <w:tbl>
      <w:tblPr>
        <w:tblW w:w="9444" w:type="dxa"/>
        <w:tblLook w:val="04A0" w:firstRow="1" w:lastRow="0" w:firstColumn="1" w:lastColumn="0" w:noHBand="0" w:noVBand="1"/>
      </w:tblPr>
      <w:tblGrid>
        <w:gridCol w:w="1217"/>
        <w:gridCol w:w="1090"/>
        <w:gridCol w:w="1506"/>
        <w:gridCol w:w="1177"/>
        <w:gridCol w:w="1439"/>
        <w:gridCol w:w="1458"/>
        <w:gridCol w:w="1635"/>
      </w:tblGrid>
      <w:tr w:rsidR="00C93C87" w:rsidRPr="00C93C87" w:rsidTr="009C1411">
        <w:trPr>
          <w:trHeight w:val="303"/>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87" w:rsidRPr="00C93C87" w:rsidRDefault="00C93C87" w:rsidP="009C1411">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Количество товаров, ед.</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C93C87" w:rsidRPr="00C93C87" w:rsidRDefault="00C93C87" w:rsidP="009C1411">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Покупная цена единицы товара, тыс. руб.</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C93C87" w:rsidRPr="00C93C87" w:rsidRDefault="00C93C87" w:rsidP="009C1411">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Себестоимость товара, тыс. руб.</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93C87" w:rsidRPr="00C93C87" w:rsidRDefault="00C93C87" w:rsidP="009C1411">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Продажная цена единицы товара, тыс. руб.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93C87" w:rsidRPr="00C93C87" w:rsidRDefault="00C93C87" w:rsidP="009C1411">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Выручка перепродавца, тыс. руб.</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C93C87" w:rsidRPr="00C93C87" w:rsidRDefault="00C93C87" w:rsidP="009C1411">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Валовая прибыль перепродавца, тыс. руб.</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C93C87" w:rsidRPr="00C93C87" w:rsidRDefault="00C93C87" w:rsidP="009C1411">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Валовая рентабельность перепродавца, %</w:t>
            </w:r>
          </w:p>
        </w:tc>
      </w:tr>
      <w:tr w:rsidR="00C93C87" w:rsidRPr="00C93C87" w:rsidTr="00C93C87">
        <w:trPr>
          <w:trHeight w:val="303"/>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C93C87" w:rsidRPr="00C93C87" w:rsidRDefault="00C93C87" w:rsidP="00C93C87">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9000</w:t>
            </w:r>
          </w:p>
        </w:tc>
        <w:tc>
          <w:tcPr>
            <w:tcW w:w="1090" w:type="dxa"/>
            <w:tcBorders>
              <w:top w:val="nil"/>
              <w:left w:val="nil"/>
              <w:bottom w:val="single" w:sz="4" w:space="0" w:color="auto"/>
              <w:right w:val="single" w:sz="4" w:space="0" w:color="auto"/>
            </w:tcBorders>
            <w:shd w:val="clear" w:color="auto" w:fill="auto"/>
            <w:noWrap/>
            <w:vAlign w:val="bottom"/>
            <w:hideMark/>
          </w:tcPr>
          <w:p w:rsidR="00C93C87" w:rsidRPr="00C93C87" w:rsidRDefault="00C93C87" w:rsidP="00C93C87">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150</w:t>
            </w:r>
          </w:p>
        </w:tc>
        <w:tc>
          <w:tcPr>
            <w:tcW w:w="1484" w:type="dxa"/>
            <w:tcBorders>
              <w:top w:val="nil"/>
              <w:left w:val="nil"/>
              <w:bottom w:val="single" w:sz="4" w:space="0" w:color="auto"/>
              <w:right w:val="single" w:sz="4" w:space="0" w:color="auto"/>
            </w:tcBorders>
            <w:shd w:val="clear" w:color="auto" w:fill="auto"/>
            <w:noWrap/>
            <w:vAlign w:val="bottom"/>
            <w:hideMark/>
          </w:tcPr>
          <w:p w:rsidR="00C93C87" w:rsidRPr="00C93C87" w:rsidRDefault="00C93C87" w:rsidP="00C93C87">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450000</w:t>
            </w:r>
          </w:p>
        </w:tc>
        <w:tc>
          <w:tcPr>
            <w:tcW w:w="1160" w:type="dxa"/>
            <w:tcBorders>
              <w:top w:val="nil"/>
              <w:left w:val="nil"/>
              <w:bottom w:val="single" w:sz="4" w:space="0" w:color="auto"/>
              <w:right w:val="single" w:sz="4" w:space="0" w:color="auto"/>
            </w:tcBorders>
            <w:shd w:val="clear" w:color="auto" w:fill="auto"/>
            <w:noWrap/>
            <w:vAlign w:val="bottom"/>
            <w:hideMark/>
          </w:tcPr>
          <w:p w:rsidR="00C93C87" w:rsidRPr="00C93C87" w:rsidRDefault="00C93C87" w:rsidP="00C93C87">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336</w:t>
            </w:r>
          </w:p>
        </w:tc>
        <w:tc>
          <w:tcPr>
            <w:tcW w:w="1418" w:type="dxa"/>
            <w:tcBorders>
              <w:top w:val="nil"/>
              <w:left w:val="nil"/>
              <w:bottom w:val="single" w:sz="4" w:space="0" w:color="auto"/>
              <w:right w:val="single" w:sz="4" w:space="0" w:color="auto"/>
            </w:tcBorders>
            <w:shd w:val="clear" w:color="auto" w:fill="auto"/>
            <w:noWrap/>
            <w:vAlign w:val="bottom"/>
            <w:hideMark/>
          </w:tcPr>
          <w:p w:rsidR="00C93C87" w:rsidRPr="00C93C87" w:rsidRDefault="00C93C87" w:rsidP="00C93C87">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1008000</w:t>
            </w:r>
          </w:p>
        </w:tc>
        <w:tc>
          <w:tcPr>
            <w:tcW w:w="1458" w:type="dxa"/>
            <w:tcBorders>
              <w:top w:val="nil"/>
              <w:left w:val="nil"/>
              <w:bottom w:val="single" w:sz="4" w:space="0" w:color="auto"/>
              <w:right w:val="single" w:sz="4" w:space="0" w:color="auto"/>
            </w:tcBorders>
            <w:shd w:val="clear" w:color="auto" w:fill="auto"/>
            <w:noWrap/>
            <w:vAlign w:val="bottom"/>
            <w:hideMark/>
          </w:tcPr>
          <w:p w:rsidR="00C93C87" w:rsidRPr="00C93C87" w:rsidRDefault="00C93C87" w:rsidP="00C93C87">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558000</w:t>
            </w:r>
          </w:p>
        </w:tc>
        <w:tc>
          <w:tcPr>
            <w:tcW w:w="1635" w:type="dxa"/>
            <w:tcBorders>
              <w:top w:val="nil"/>
              <w:left w:val="nil"/>
              <w:bottom w:val="single" w:sz="4" w:space="0" w:color="auto"/>
              <w:right w:val="single" w:sz="4" w:space="0" w:color="auto"/>
            </w:tcBorders>
            <w:shd w:val="clear" w:color="auto" w:fill="auto"/>
            <w:noWrap/>
            <w:vAlign w:val="bottom"/>
            <w:hideMark/>
          </w:tcPr>
          <w:p w:rsidR="00C93C87" w:rsidRPr="00C93C87" w:rsidRDefault="00C93C87" w:rsidP="00C93C87">
            <w:pPr>
              <w:spacing w:after="0" w:line="240" w:lineRule="auto"/>
              <w:jc w:val="center"/>
              <w:rPr>
                <w:rFonts w:ascii="Times New Roman" w:eastAsia="Times New Roman" w:hAnsi="Times New Roman" w:cs="Times New Roman"/>
                <w:color w:val="000000"/>
                <w:sz w:val="20"/>
                <w:szCs w:val="20"/>
                <w:lang w:eastAsia="ru-RU"/>
              </w:rPr>
            </w:pPr>
            <w:r w:rsidRPr="00C93C87">
              <w:rPr>
                <w:rFonts w:ascii="Times New Roman" w:eastAsia="Times New Roman" w:hAnsi="Times New Roman" w:cs="Times New Roman"/>
                <w:color w:val="000000"/>
                <w:sz w:val="20"/>
                <w:szCs w:val="20"/>
                <w:lang w:eastAsia="ru-RU"/>
              </w:rPr>
              <w:t>55,4</w:t>
            </w:r>
          </w:p>
        </w:tc>
      </w:tr>
    </w:tbl>
    <w:p w:rsidR="009C1411" w:rsidRDefault="009C1411" w:rsidP="009842F2">
      <w:pPr>
        <w:spacing w:after="0" w:line="360" w:lineRule="auto"/>
        <w:jc w:val="center"/>
        <w:rPr>
          <w:rFonts w:ascii="Times New Roman" w:hAnsi="Times New Roman" w:cs="Times New Roman"/>
          <w:sz w:val="24"/>
          <w:szCs w:val="24"/>
        </w:rPr>
      </w:pPr>
    </w:p>
    <w:p w:rsidR="009842F2" w:rsidRDefault="00EC6DEB" w:rsidP="00652F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Изначально необходимо найти показатель валовой рентабельности анализируемой сделки. </w:t>
      </w:r>
    </w:p>
    <w:p w:rsidR="00652F63" w:rsidRPr="009842F2" w:rsidRDefault="00652F63" w:rsidP="009842F2">
      <w:pPr>
        <w:spacing w:after="0" w:line="360" w:lineRule="auto"/>
        <w:jc w:val="center"/>
        <w:rPr>
          <w:rFonts w:ascii="Times New Roman" w:hAnsi="Times New Roman" w:cs="Times New Roman"/>
          <w:sz w:val="24"/>
          <w:szCs w:val="24"/>
        </w:rPr>
      </w:pPr>
    </w:p>
    <w:p w:rsidR="00652F63" w:rsidRDefault="009842F2" w:rsidP="009842F2">
      <w:pPr>
        <w:spacing w:after="0" w:line="360" w:lineRule="auto"/>
        <w:jc w:val="center"/>
        <w:rPr>
          <w:rFonts w:ascii="Times New Roman" w:hAnsi="Times New Roman" w:cs="Times New Roman"/>
          <w:sz w:val="24"/>
          <w:szCs w:val="24"/>
        </w:rPr>
      </w:pPr>
      <w:r w:rsidRPr="009842F2">
        <w:rPr>
          <w:rFonts w:ascii="Times New Roman" w:hAnsi="Times New Roman" w:cs="Times New Roman"/>
          <w:sz w:val="24"/>
          <w:szCs w:val="24"/>
        </w:rPr>
        <w:t xml:space="preserve">Выручка = </w:t>
      </w:r>
      <w:r w:rsidR="000E6FBC">
        <w:rPr>
          <w:rFonts w:ascii="Times New Roman" w:hAnsi="Times New Roman" w:cs="Times New Roman"/>
          <w:sz w:val="24"/>
          <w:szCs w:val="24"/>
        </w:rPr>
        <w:t>Объем продукции</w:t>
      </w:r>
      <w:r w:rsidRPr="009842F2">
        <w:rPr>
          <w:rFonts w:ascii="Times New Roman" w:hAnsi="Times New Roman" w:cs="Times New Roman"/>
          <w:sz w:val="24"/>
          <w:szCs w:val="24"/>
        </w:rPr>
        <w:t xml:space="preserve"> x </w:t>
      </w:r>
      <w:r w:rsidR="000E6FBC">
        <w:rPr>
          <w:rFonts w:ascii="Times New Roman" w:hAnsi="Times New Roman" w:cs="Times New Roman"/>
          <w:sz w:val="24"/>
          <w:szCs w:val="24"/>
        </w:rPr>
        <w:t xml:space="preserve">Продажная цена </w:t>
      </w:r>
      <w:r w:rsidR="00652F63">
        <w:rPr>
          <w:rFonts w:ascii="Times New Roman" w:hAnsi="Times New Roman" w:cs="Times New Roman"/>
          <w:sz w:val="24"/>
          <w:szCs w:val="24"/>
        </w:rPr>
        <w:t>(1)</w:t>
      </w:r>
    </w:p>
    <w:p w:rsidR="00652F63" w:rsidRDefault="00E91283" w:rsidP="009842F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p>
    <w:p w:rsidR="009842F2" w:rsidRDefault="00652F63" w:rsidP="00E9128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Исходя из формулы (1), Выручка = </w:t>
      </w:r>
      <w:r w:rsidR="000E6FBC">
        <w:rPr>
          <w:rFonts w:ascii="Times New Roman" w:hAnsi="Times New Roman" w:cs="Times New Roman"/>
          <w:sz w:val="24"/>
          <w:szCs w:val="24"/>
        </w:rPr>
        <w:t>9</w:t>
      </w:r>
      <w:r w:rsidR="009842F2" w:rsidRPr="009842F2">
        <w:rPr>
          <w:rFonts w:ascii="Times New Roman" w:hAnsi="Times New Roman" w:cs="Times New Roman"/>
          <w:sz w:val="24"/>
          <w:szCs w:val="24"/>
        </w:rPr>
        <w:t xml:space="preserve">000 x </w:t>
      </w:r>
      <w:r w:rsidR="000E6FBC">
        <w:rPr>
          <w:rFonts w:ascii="Times New Roman" w:hAnsi="Times New Roman" w:cs="Times New Roman"/>
          <w:sz w:val="24"/>
          <w:szCs w:val="24"/>
        </w:rPr>
        <w:t>336</w:t>
      </w:r>
      <w:r w:rsidR="009842F2" w:rsidRPr="009842F2">
        <w:rPr>
          <w:rFonts w:ascii="Times New Roman" w:hAnsi="Times New Roman" w:cs="Times New Roman"/>
          <w:sz w:val="24"/>
          <w:szCs w:val="24"/>
        </w:rPr>
        <w:t xml:space="preserve"> = </w:t>
      </w:r>
      <w:r w:rsidR="000E6FBC">
        <w:rPr>
          <w:rFonts w:ascii="Times New Roman" w:hAnsi="Times New Roman" w:cs="Times New Roman"/>
          <w:sz w:val="24"/>
          <w:szCs w:val="24"/>
        </w:rPr>
        <w:t>3024000</w:t>
      </w:r>
      <w:r w:rsidR="009842F2" w:rsidRPr="009842F2">
        <w:rPr>
          <w:rFonts w:ascii="Times New Roman" w:hAnsi="Times New Roman" w:cs="Times New Roman"/>
          <w:sz w:val="24"/>
          <w:szCs w:val="24"/>
        </w:rPr>
        <w:t xml:space="preserve"> (тыс. руб.).</w:t>
      </w:r>
    </w:p>
    <w:p w:rsidR="00652F63" w:rsidRPr="009842F2" w:rsidRDefault="00652F63" w:rsidP="009842F2">
      <w:pPr>
        <w:spacing w:after="0" w:line="360" w:lineRule="auto"/>
        <w:jc w:val="center"/>
        <w:rPr>
          <w:rFonts w:ascii="Times New Roman" w:hAnsi="Times New Roman" w:cs="Times New Roman"/>
          <w:sz w:val="24"/>
          <w:szCs w:val="24"/>
        </w:rPr>
      </w:pPr>
    </w:p>
    <w:p w:rsidR="00652F63" w:rsidRDefault="009842F2" w:rsidP="009842F2">
      <w:pPr>
        <w:spacing w:after="0" w:line="360" w:lineRule="auto"/>
        <w:jc w:val="center"/>
        <w:rPr>
          <w:rFonts w:ascii="Times New Roman" w:hAnsi="Times New Roman" w:cs="Times New Roman"/>
          <w:sz w:val="24"/>
          <w:szCs w:val="24"/>
        </w:rPr>
      </w:pPr>
      <w:r w:rsidRPr="009842F2">
        <w:rPr>
          <w:rFonts w:ascii="Times New Roman" w:hAnsi="Times New Roman" w:cs="Times New Roman"/>
          <w:sz w:val="24"/>
          <w:szCs w:val="24"/>
        </w:rPr>
        <w:t xml:space="preserve">Себестоимость = </w:t>
      </w:r>
      <w:r w:rsidR="000E6FBC">
        <w:rPr>
          <w:rFonts w:ascii="Times New Roman" w:hAnsi="Times New Roman" w:cs="Times New Roman"/>
          <w:sz w:val="24"/>
          <w:szCs w:val="24"/>
        </w:rPr>
        <w:t>Объем продукции</w:t>
      </w:r>
      <w:r w:rsidR="000E6FBC" w:rsidRPr="009842F2">
        <w:rPr>
          <w:rFonts w:ascii="Times New Roman" w:hAnsi="Times New Roman" w:cs="Times New Roman"/>
          <w:sz w:val="24"/>
          <w:szCs w:val="24"/>
        </w:rPr>
        <w:t xml:space="preserve"> </w:t>
      </w:r>
      <w:r w:rsidRPr="009842F2">
        <w:rPr>
          <w:rFonts w:ascii="Times New Roman" w:hAnsi="Times New Roman" w:cs="Times New Roman"/>
          <w:sz w:val="24"/>
          <w:szCs w:val="24"/>
        </w:rPr>
        <w:t xml:space="preserve">x </w:t>
      </w:r>
      <w:r w:rsidR="000E6FBC">
        <w:rPr>
          <w:rFonts w:ascii="Times New Roman" w:hAnsi="Times New Roman" w:cs="Times New Roman"/>
          <w:sz w:val="24"/>
          <w:szCs w:val="24"/>
        </w:rPr>
        <w:t>Закупочная цена перепродавца</w:t>
      </w:r>
      <w:r w:rsidRPr="009842F2">
        <w:rPr>
          <w:rFonts w:ascii="Times New Roman" w:hAnsi="Times New Roman" w:cs="Times New Roman"/>
          <w:sz w:val="24"/>
          <w:szCs w:val="24"/>
        </w:rPr>
        <w:t xml:space="preserve"> </w:t>
      </w:r>
      <w:r w:rsidR="00652F63">
        <w:rPr>
          <w:rFonts w:ascii="Times New Roman" w:hAnsi="Times New Roman" w:cs="Times New Roman"/>
          <w:sz w:val="24"/>
          <w:szCs w:val="24"/>
        </w:rPr>
        <w:t>(2)</w:t>
      </w:r>
    </w:p>
    <w:p w:rsidR="00652F63" w:rsidRDefault="00652F63" w:rsidP="009842F2">
      <w:pPr>
        <w:spacing w:after="0" w:line="360" w:lineRule="auto"/>
        <w:jc w:val="center"/>
        <w:rPr>
          <w:rFonts w:ascii="Times New Roman" w:hAnsi="Times New Roman" w:cs="Times New Roman"/>
          <w:sz w:val="24"/>
          <w:szCs w:val="24"/>
        </w:rPr>
      </w:pPr>
    </w:p>
    <w:p w:rsidR="009842F2" w:rsidRDefault="00652F63" w:rsidP="00E9128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 формуле (2) Себестоимость </w:t>
      </w:r>
      <w:r w:rsidR="009842F2" w:rsidRPr="009842F2">
        <w:rPr>
          <w:rFonts w:ascii="Times New Roman" w:hAnsi="Times New Roman" w:cs="Times New Roman"/>
          <w:sz w:val="24"/>
          <w:szCs w:val="24"/>
        </w:rPr>
        <w:t xml:space="preserve">= </w:t>
      </w:r>
      <w:r w:rsidR="000E6FBC">
        <w:rPr>
          <w:rFonts w:ascii="Times New Roman" w:hAnsi="Times New Roman" w:cs="Times New Roman"/>
          <w:sz w:val="24"/>
          <w:szCs w:val="24"/>
        </w:rPr>
        <w:t xml:space="preserve">150 x 9000 = 1350000 </w:t>
      </w:r>
      <w:r w:rsidR="009842F2" w:rsidRPr="009842F2">
        <w:rPr>
          <w:rFonts w:ascii="Times New Roman" w:hAnsi="Times New Roman" w:cs="Times New Roman"/>
          <w:sz w:val="24"/>
          <w:szCs w:val="24"/>
        </w:rPr>
        <w:t>(тыс. руб.).</w:t>
      </w:r>
    </w:p>
    <w:p w:rsidR="00652F63" w:rsidRDefault="00652F63" w:rsidP="009842F2">
      <w:pPr>
        <w:spacing w:after="0" w:line="360" w:lineRule="auto"/>
        <w:jc w:val="center"/>
        <w:rPr>
          <w:rFonts w:ascii="Times New Roman" w:hAnsi="Times New Roman" w:cs="Times New Roman"/>
          <w:sz w:val="24"/>
          <w:szCs w:val="24"/>
        </w:rPr>
      </w:pPr>
    </w:p>
    <w:p w:rsidR="00652F63" w:rsidRDefault="00652F63" w:rsidP="009842F2">
      <w:pPr>
        <w:spacing w:after="0" w:line="360" w:lineRule="auto"/>
        <w:jc w:val="center"/>
        <w:rPr>
          <w:rFonts w:ascii="Times New Roman" w:hAnsi="Times New Roman" w:cs="Times New Roman"/>
          <w:sz w:val="24"/>
          <w:szCs w:val="24"/>
        </w:rPr>
      </w:pPr>
      <w:r w:rsidRPr="009842F2">
        <w:rPr>
          <w:rFonts w:ascii="Times New Roman" w:hAnsi="Times New Roman" w:cs="Times New Roman"/>
          <w:sz w:val="24"/>
          <w:szCs w:val="24"/>
        </w:rPr>
        <w:t>Валовая пр</w:t>
      </w:r>
      <w:r>
        <w:rPr>
          <w:rFonts w:ascii="Times New Roman" w:hAnsi="Times New Roman" w:cs="Times New Roman"/>
          <w:sz w:val="24"/>
          <w:szCs w:val="24"/>
        </w:rPr>
        <w:t>ибыль = Выручка – Себестоимость (3)</w:t>
      </w:r>
    </w:p>
    <w:p w:rsidR="00652F63" w:rsidRPr="009842F2" w:rsidRDefault="00652F63" w:rsidP="009842F2">
      <w:pPr>
        <w:spacing w:after="0" w:line="360" w:lineRule="auto"/>
        <w:jc w:val="center"/>
        <w:rPr>
          <w:rFonts w:ascii="Times New Roman" w:hAnsi="Times New Roman" w:cs="Times New Roman"/>
          <w:sz w:val="24"/>
          <w:szCs w:val="24"/>
        </w:rPr>
      </w:pPr>
    </w:p>
    <w:p w:rsidR="00652F63" w:rsidRDefault="00652F63" w:rsidP="00E9128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Основываясь на формуле (3), </w:t>
      </w:r>
      <w:r w:rsidR="009842F2" w:rsidRPr="009842F2">
        <w:rPr>
          <w:rFonts w:ascii="Times New Roman" w:hAnsi="Times New Roman" w:cs="Times New Roman"/>
          <w:sz w:val="24"/>
          <w:szCs w:val="24"/>
        </w:rPr>
        <w:t xml:space="preserve">Валовая прибыль = </w:t>
      </w:r>
      <w:r w:rsidR="000E6FBC">
        <w:rPr>
          <w:rFonts w:ascii="Times New Roman" w:hAnsi="Times New Roman" w:cs="Times New Roman"/>
          <w:sz w:val="24"/>
          <w:szCs w:val="24"/>
        </w:rPr>
        <w:t>3024000</w:t>
      </w:r>
      <w:r w:rsidR="009842F2" w:rsidRPr="009842F2">
        <w:rPr>
          <w:rFonts w:ascii="Times New Roman" w:hAnsi="Times New Roman" w:cs="Times New Roman"/>
          <w:sz w:val="24"/>
          <w:szCs w:val="24"/>
        </w:rPr>
        <w:t xml:space="preserve"> - </w:t>
      </w:r>
      <w:r w:rsidR="000E6FBC">
        <w:rPr>
          <w:rFonts w:ascii="Times New Roman" w:hAnsi="Times New Roman" w:cs="Times New Roman"/>
          <w:sz w:val="24"/>
          <w:szCs w:val="24"/>
        </w:rPr>
        <w:t>1350000 = 1674000</w:t>
      </w:r>
      <w:r w:rsidR="009842F2" w:rsidRPr="009842F2">
        <w:rPr>
          <w:rFonts w:ascii="Times New Roman" w:hAnsi="Times New Roman" w:cs="Times New Roman"/>
          <w:sz w:val="24"/>
          <w:szCs w:val="24"/>
        </w:rPr>
        <w:t xml:space="preserve"> (тыс. руб.).</w:t>
      </w:r>
    </w:p>
    <w:p w:rsidR="00652F63" w:rsidRDefault="00652F63" w:rsidP="009842F2">
      <w:pPr>
        <w:spacing w:after="0" w:line="360" w:lineRule="auto"/>
        <w:jc w:val="center"/>
        <w:rPr>
          <w:rFonts w:ascii="Times New Roman" w:hAnsi="Times New Roman" w:cs="Times New Roman"/>
          <w:sz w:val="24"/>
          <w:szCs w:val="24"/>
        </w:rPr>
      </w:pPr>
    </w:p>
    <w:p w:rsidR="00652F63" w:rsidRDefault="00652F63" w:rsidP="00652F63">
      <w:pPr>
        <w:spacing w:after="0" w:line="360" w:lineRule="auto"/>
        <w:jc w:val="center"/>
        <w:rPr>
          <w:rFonts w:ascii="Times New Roman" w:hAnsi="Times New Roman" w:cs="Times New Roman"/>
          <w:sz w:val="24"/>
          <w:szCs w:val="24"/>
        </w:rPr>
      </w:pPr>
      <w:r w:rsidRPr="009842F2">
        <w:rPr>
          <w:rFonts w:ascii="Times New Roman" w:hAnsi="Times New Roman" w:cs="Times New Roman"/>
          <w:sz w:val="24"/>
          <w:szCs w:val="24"/>
        </w:rPr>
        <w:t>Валовая р</w:t>
      </w:r>
      <w:r>
        <w:rPr>
          <w:rFonts w:ascii="Times New Roman" w:hAnsi="Times New Roman" w:cs="Times New Roman"/>
          <w:sz w:val="24"/>
          <w:szCs w:val="24"/>
        </w:rPr>
        <w:t>ентабельность = Валовая прибыль : Выручка x 100% (4)</w:t>
      </w:r>
    </w:p>
    <w:p w:rsidR="00652F63" w:rsidRDefault="00652F63" w:rsidP="009842F2">
      <w:pPr>
        <w:spacing w:after="0" w:line="360" w:lineRule="auto"/>
        <w:jc w:val="center"/>
        <w:rPr>
          <w:rFonts w:ascii="Times New Roman" w:hAnsi="Times New Roman" w:cs="Times New Roman"/>
          <w:sz w:val="24"/>
          <w:szCs w:val="24"/>
        </w:rPr>
      </w:pPr>
    </w:p>
    <w:p w:rsidR="000E6FBC" w:rsidRDefault="00652F63" w:rsidP="00E9128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По формуле (4) </w:t>
      </w:r>
      <w:r w:rsidR="009842F2" w:rsidRPr="009842F2">
        <w:rPr>
          <w:rFonts w:ascii="Times New Roman" w:hAnsi="Times New Roman" w:cs="Times New Roman"/>
          <w:sz w:val="24"/>
          <w:szCs w:val="24"/>
        </w:rPr>
        <w:t xml:space="preserve">Валовая рентабельность = </w:t>
      </w:r>
      <w:r w:rsidR="000E6FBC">
        <w:rPr>
          <w:rFonts w:ascii="Times New Roman" w:hAnsi="Times New Roman" w:cs="Times New Roman"/>
          <w:sz w:val="24"/>
          <w:szCs w:val="24"/>
        </w:rPr>
        <w:t>1674000</w:t>
      </w:r>
      <w:r w:rsidR="009842F2" w:rsidRPr="009842F2">
        <w:rPr>
          <w:rFonts w:ascii="Times New Roman" w:hAnsi="Times New Roman" w:cs="Times New Roman"/>
          <w:sz w:val="24"/>
          <w:szCs w:val="24"/>
        </w:rPr>
        <w:t>:</w:t>
      </w:r>
      <w:r w:rsidR="000E6FBC" w:rsidRPr="000E6FBC">
        <w:rPr>
          <w:rFonts w:ascii="Times New Roman" w:hAnsi="Times New Roman" w:cs="Times New Roman"/>
          <w:sz w:val="24"/>
          <w:szCs w:val="24"/>
        </w:rPr>
        <w:t xml:space="preserve"> </w:t>
      </w:r>
      <w:r w:rsidR="000E6FBC">
        <w:rPr>
          <w:rFonts w:ascii="Times New Roman" w:hAnsi="Times New Roman" w:cs="Times New Roman"/>
          <w:sz w:val="24"/>
          <w:szCs w:val="24"/>
        </w:rPr>
        <w:t>3024000</w:t>
      </w:r>
      <w:r w:rsidR="009842F2" w:rsidRPr="009842F2">
        <w:rPr>
          <w:rFonts w:ascii="Times New Roman" w:hAnsi="Times New Roman" w:cs="Times New Roman"/>
          <w:sz w:val="24"/>
          <w:szCs w:val="24"/>
        </w:rPr>
        <w:t xml:space="preserve"> </w:t>
      </w:r>
      <w:r w:rsidR="000E6FBC">
        <w:rPr>
          <w:rFonts w:ascii="Times New Roman" w:hAnsi="Times New Roman" w:cs="Times New Roman"/>
          <w:sz w:val="24"/>
          <w:szCs w:val="24"/>
        </w:rPr>
        <w:t>x 100% = 55,4%.</w:t>
      </w:r>
    </w:p>
    <w:p w:rsidR="00F14C1C" w:rsidRDefault="009842F2" w:rsidP="00E91283">
      <w:pPr>
        <w:spacing w:after="0" w:line="360" w:lineRule="auto"/>
        <w:ind w:firstLine="708"/>
        <w:jc w:val="both"/>
        <w:rPr>
          <w:rFonts w:ascii="Times New Roman" w:hAnsi="Times New Roman" w:cs="Times New Roman"/>
          <w:sz w:val="24"/>
          <w:szCs w:val="24"/>
        </w:rPr>
      </w:pPr>
      <w:r w:rsidRPr="009842F2">
        <w:rPr>
          <w:rFonts w:ascii="Times New Roman" w:hAnsi="Times New Roman" w:cs="Times New Roman"/>
          <w:sz w:val="24"/>
          <w:szCs w:val="24"/>
        </w:rPr>
        <w:t>Далее определим валовую рентабельность по сопоставимым сделкам</w:t>
      </w:r>
      <w:r w:rsidR="000E6FBC">
        <w:rPr>
          <w:rFonts w:ascii="Times New Roman" w:hAnsi="Times New Roman" w:cs="Times New Roman"/>
          <w:sz w:val="24"/>
          <w:szCs w:val="24"/>
        </w:rPr>
        <w:t xml:space="preserve"> на основе </w:t>
      </w:r>
      <w:r w:rsidR="00E91283">
        <w:rPr>
          <w:rFonts w:ascii="Times New Roman" w:hAnsi="Times New Roman" w:cs="Times New Roman"/>
          <w:sz w:val="24"/>
          <w:szCs w:val="24"/>
        </w:rPr>
        <w:t>Приложения</w:t>
      </w:r>
      <w:r w:rsidR="00F14C1C">
        <w:rPr>
          <w:rFonts w:ascii="Times New Roman" w:hAnsi="Times New Roman" w:cs="Times New Roman"/>
          <w:sz w:val="24"/>
          <w:szCs w:val="24"/>
        </w:rPr>
        <w:t xml:space="preserve"> </w:t>
      </w:r>
      <w:r w:rsidR="0064140C">
        <w:rPr>
          <w:rFonts w:ascii="Times New Roman" w:hAnsi="Times New Roman" w:cs="Times New Roman"/>
          <w:sz w:val="24"/>
          <w:szCs w:val="24"/>
        </w:rPr>
        <w:t>2</w:t>
      </w:r>
      <w:r w:rsidR="000E6FBC">
        <w:rPr>
          <w:rFonts w:ascii="Times New Roman" w:hAnsi="Times New Roman" w:cs="Times New Roman"/>
          <w:sz w:val="24"/>
          <w:szCs w:val="24"/>
        </w:rPr>
        <w:t>.</w:t>
      </w:r>
    </w:p>
    <w:p w:rsidR="00EC6DEB" w:rsidRPr="000E6FBC" w:rsidRDefault="000E6FBC" w:rsidP="00E912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Как и в случае метода сопоставимых рыночных цен необходимо разделить число сделок на 4: 5</w:t>
      </w:r>
      <w:r w:rsidRPr="000E6FBC">
        <w:rPr>
          <w:rFonts w:ascii="Times New Roman" w:hAnsi="Times New Roman" w:cs="Times New Roman"/>
          <w:sz w:val="24"/>
          <w:szCs w:val="24"/>
        </w:rPr>
        <w:t xml:space="preserve">/4 = 1, 25, </w:t>
      </w:r>
      <w:r>
        <w:rPr>
          <w:rFonts w:ascii="Times New Roman" w:hAnsi="Times New Roman" w:cs="Times New Roman"/>
          <w:sz w:val="24"/>
          <w:szCs w:val="24"/>
        </w:rPr>
        <w:t xml:space="preserve">при округлении в большую сторону получим 2. Следовательно, нижней границей интервала будет показатель рентабельности 21,4%. А умножив 5*0,75 = 3,75, округляем до 4 и получаем верхний интервал – 41,0%. </w:t>
      </w:r>
      <w:r w:rsidR="005D7184">
        <w:rPr>
          <w:rFonts w:ascii="Times New Roman" w:hAnsi="Times New Roman" w:cs="Times New Roman"/>
          <w:sz w:val="24"/>
          <w:szCs w:val="24"/>
        </w:rPr>
        <w:t xml:space="preserve">Так как рентабельность нашей сделки 55,4%, а интервал определен от 21,4% до 41,0%, то </w:t>
      </w:r>
      <w:r w:rsidR="005D7184" w:rsidRPr="005D7184">
        <w:rPr>
          <w:rFonts w:ascii="Times New Roman" w:hAnsi="Times New Roman" w:cs="Times New Roman"/>
          <w:sz w:val="24"/>
          <w:szCs w:val="24"/>
        </w:rPr>
        <w:t>размер</w:t>
      </w:r>
      <w:r w:rsidR="005D7184">
        <w:rPr>
          <w:rFonts w:ascii="Times New Roman" w:hAnsi="Times New Roman" w:cs="Times New Roman"/>
          <w:sz w:val="24"/>
          <w:szCs w:val="24"/>
        </w:rPr>
        <w:t xml:space="preserve"> уплачиваемого налога необходимо </w:t>
      </w:r>
      <w:r w:rsidR="005D7184" w:rsidRPr="005D7184">
        <w:rPr>
          <w:rFonts w:ascii="Times New Roman" w:hAnsi="Times New Roman" w:cs="Times New Roman"/>
          <w:sz w:val="24"/>
          <w:szCs w:val="24"/>
        </w:rPr>
        <w:t>пересчитать с учетом фактических цен перепродажи и максимального значения интервала валовой рентабельности</w:t>
      </w:r>
      <w:r w:rsidR="005D7184">
        <w:rPr>
          <w:rFonts w:ascii="Times New Roman" w:hAnsi="Times New Roman" w:cs="Times New Roman"/>
          <w:sz w:val="24"/>
          <w:szCs w:val="24"/>
        </w:rPr>
        <w:t xml:space="preserve">: 3024000 - 3024000*41,0% = 2337660 тыс.руб. </w:t>
      </w:r>
      <w:r w:rsidR="005D7184" w:rsidRPr="005D7184">
        <w:rPr>
          <w:rFonts w:ascii="Times New Roman" w:hAnsi="Times New Roman" w:cs="Times New Roman"/>
          <w:sz w:val="24"/>
          <w:szCs w:val="24"/>
        </w:rPr>
        <w:t>Соответственно, доходы компании-продавца, которая применяет общий режим налогообложения, должны быть скорректированы в сторону увеличен</w:t>
      </w:r>
      <w:r w:rsidR="005D7184">
        <w:rPr>
          <w:rFonts w:ascii="Times New Roman" w:hAnsi="Times New Roman" w:cs="Times New Roman"/>
          <w:sz w:val="24"/>
          <w:szCs w:val="24"/>
        </w:rPr>
        <w:t xml:space="preserve">ия для целей доначисления налога на прибыль организаций и </w:t>
      </w:r>
      <w:r w:rsidR="005D7184" w:rsidRPr="005D7184">
        <w:rPr>
          <w:rFonts w:ascii="Times New Roman" w:hAnsi="Times New Roman" w:cs="Times New Roman"/>
          <w:sz w:val="24"/>
          <w:szCs w:val="24"/>
        </w:rPr>
        <w:t xml:space="preserve">НДС на </w:t>
      </w:r>
      <w:r w:rsidR="005D7184">
        <w:rPr>
          <w:rFonts w:ascii="Times New Roman" w:hAnsi="Times New Roman" w:cs="Times New Roman"/>
          <w:sz w:val="24"/>
          <w:szCs w:val="24"/>
        </w:rPr>
        <w:t xml:space="preserve">987 660 </w:t>
      </w:r>
      <w:r w:rsidR="005D7184" w:rsidRPr="005D7184">
        <w:rPr>
          <w:rFonts w:ascii="Times New Roman" w:hAnsi="Times New Roman" w:cs="Times New Roman"/>
          <w:sz w:val="24"/>
          <w:szCs w:val="24"/>
        </w:rPr>
        <w:t>тыс. руб.</w:t>
      </w:r>
      <w:r w:rsidR="005D7184">
        <w:rPr>
          <w:rFonts w:ascii="Times New Roman" w:hAnsi="Times New Roman" w:cs="Times New Roman"/>
          <w:sz w:val="24"/>
          <w:szCs w:val="24"/>
        </w:rPr>
        <w:t>( 2337660 - 1350000 = 987660)</w:t>
      </w:r>
    </w:p>
    <w:p w:rsidR="00BA43C6" w:rsidRPr="009761E8" w:rsidRDefault="00C93C87" w:rsidP="00E912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00BA43C6" w:rsidRPr="009761E8">
        <w:rPr>
          <w:rFonts w:ascii="Times New Roman" w:hAnsi="Times New Roman" w:cs="Times New Roman"/>
          <w:sz w:val="24"/>
          <w:szCs w:val="24"/>
        </w:rPr>
        <w:t>ем не менее, в этом методы имеют место быть существенные недостатки, которые затрудняют его использование на практ</w:t>
      </w:r>
      <w:r w:rsidR="008E7955" w:rsidRPr="009761E8">
        <w:rPr>
          <w:rFonts w:ascii="Times New Roman" w:hAnsi="Times New Roman" w:cs="Times New Roman"/>
          <w:sz w:val="24"/>
          <w:szCs w:val="24"/>
        </w:rPr>
        <w:t>ике. Прежде всего это связано со сложностями, возникающими при поиске данных по сопоставимым организациям, так как учетная политика рознится в различных фирмах. Также этот метод подвергает анализу исключительно цену, которую устанавливает лицо, перепродающее товары, что может исказить полученные результаты.</w:t>
      </w:r>
    </w:p>
    <w:p w:rsidR="00872737" w:rsidRPr="009761E8" w:rsidRDefault="00872737" w:rsidP="00E9128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3. Затратный метод</w:t>
      </w:r>
    </w:p>
    <w:p w:rsidR="00872737" w:rsidRDefault="00872737" w:rsidP="00E9128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 xml:space="preserve">Затратный метод </w:t>
      </w:r>
      <w:r w:rsidR="008E7955" w:rsidRPr="009761E8">
        <w:rPr>
          <w:rFonts w:ascii="Times New Roman" w:hAnsi="Times New Roman" w:cs="Times New Roman"/>
          <w:sz w:val="24"/>
          <w:szCs w:val="24"/>
        </w:rPr>
        <w:t xml:space="preserve">наиболее часто применим </w:t>
      </w:r>
      <w:r w:rsidR="00AB47FB" w:rsidRPr="009761E8">
        <w:rPr>
          <w:rFonts w:ascii="Times New Roman" w:hAnsi="Times New Roman" w:cs="Times New Roman"/>
          <w:sz w:val="24"/>
          <w:szCs w:val="24"/>
        </w:rPr>
        <w:t>относительно</w:t>
      </w:r>
      <w:r w:rsidR="008E7955" w:rsidRPr="009761E8">
        <w:rPr>
          <w:rFonts w:ascii="Times New Roman" w:hAnsi="Times New Roman" w:cs="Times New Roman"/>
          <w:sz w:val="24"/>
          <w:szCs w:val="24"/>
        </w:rPr>
        <w:t xml:space="preserve"> цены </w:t>
      </w:r>
      <w:r w:rsidR="00AB47FB" w:rsidRPr="009761E8">
        <w:rPr>
          <w:rFonts w:ascii="Times New Roman" w:hAnsi="Times New Roman" w:cs="Times New Roman"/>
          <w:sz w:val="24"/>
          <w:szCs w:val="24"/>
        </w:rPr>
        <w:t xml:space="preserve">выполненных работ или </w:t>
      </w:r>
      <w:r w:rsidR="008E7955" w:rsidRPr="009761E8">
        <w:rPr>
          <w:rFonts w:ascii="Times New Roman" w:hAnsi="Times New Roman" w:cs="Times New Roman"/>
          <w:sz w:val="24"/>
          <w:szCs w:val="24"/>
        </w:rPr>
        <w:t>услуг,</w:t>
      </w:r>
      <w:r w:rsidR="00AB47FB" w:rsidRPr="009761E8">
        <w:rPr>
          <w:rFonts w:ascii="Times New Roman" w:hAnsi="Times New Roman" w:cs="Times New Roman"/>
          <w:sz w:val="24"/>
          <w:szCs w:val="24"/>
        </w:rPr>
        <w:t xml:space="preserve"> продажи</w:t>
      </w:r>
      <w:r w:rsidRPr="009761E8">
        <w:rPr>
          <w:rFonts w:ascii="Times New Roman" w:hAnsi="Times New Roman" w:cs="Times New Roman"/>
          <w:sz w:val="24"/>
          <w:szCs w:val="24"/>
        </w:rPr>
        <w:t xml:space="preserve"> сырья или полуфабрикатов </w:t>
      </w:r>
      <w:r w:rsidR="00AB47FB" w:rsidRPr="009761E8">
        <w:rPr>
          <w:rFonts w:ascii="Times New Roman" w:hAnsi="Times New Roman" w:cs="Times New Roman"/>
          <w:sz w:val="24"/>
          <w:szCs w:val="24"/>
        </w:rPr>
        <w:t>взаимосвязанным лицам. Также этот способ используется на валютном рынке, рынке ценных бумаг</w:t>
      </w:r>
      <w:r w:rsidRPr="009761E8">
        <w:rPr>
          <w:rFonts w:ascii="Times New Roman" w:hAnsi="Times New Roman" w:cs="Times New Roman"/>
          <w:sz w:val="24"/>
          <w:szCs w:val="24"/>
        </w:rPr>
        <w:t xml:space="preserve">. </w:t>
      </w:r>
      <w:r w:rsidR="00AB47FB" w:rsidRPr="009761E8">
        <w:rPr>
          <w:rFonts w:ascii="Times New Roman" w:hAnsi="Times New Roman" w:cs="Times New Roman"/>
          <w:sz w:val="24"/>
          <w:szCs w:val="24"/>
        </w:rPr>
        <w:t xml:space="preserve">В основе затратного метода лежит расчет показателя валовой рентабельности затрат, который можно вычислить аналогично второму приведенному примеру.  Основным различием является то, что вместо показателя валовой рентабельности производится расчет </w:t>
      </w:r>
      <w:r w:rsidRPr="009761E8">
        <w:rPr>
          <w:rFonts w:ascii="Times New Roman" w:hAnsi="Times New Roman" w:cs="Times New Roman"/>
          <w:sz w:val="24"/>
          <w:szCs w:val="24"/>
        </w:rPr>
        <w:t>валовой рентабельности затрат</w:t>
      </w:r>
      <w:r w:rsidR="00AB47FB" w:rsidRPr="009761E8">
        <w:rPr>
          <w:rFonts w:ascii="Times New Roman" w:hAnsi="Times New Roman" w:cs="Times New Roman"/>
          <w:sz w:val="24"/>
          <w:szCs w:val="24"/>
        </w:rPr>
        <w:t>, которую</w:t>
      </w:r>
      <w:r w:rsidRPr="009761E8">
        <w:rPr>
          <w:rFonts w:ascii="Times New Roman" w:hAnsi="Times New Roman" w:cs="Times New Roman"/>
          <w:sz w:val="24"/>
          <w:szCs w:val="24"/>
        </w:rPr>
        <w:t xml:space="preserve"> </w:t>
      </w:r>
      <w:r w:rsidR="00AB47FB" w:rsidRPr="009761E8">
        <w:rPr>
          <w:rFonts w:ascii="Times New Roman" w:hAnsi="Times New Roman" w:cs="Times New Roman"/>
          <w:sz w:val="24"/>
          <w:szCs w:val="24"/>
        </w:rPr>
        <w:t>в последствии нужно сравнить</w:t>
      </w:r>
      <w:r w:rsidRPr="009761E8">
        <w:rPr>
          <w:rFonts w:ascii="Times New Roman" w:hAnsi="Times New Roman" w:cs="Times New Roman"/>
          <w:sz w:val="24"/>
          <w:szCs w:val="24"/>
        </w:rPr>
        <w:t xml:space="preserve"> с </w:t>
      </w:r>
      <w:r w:rsidR="00AB47FB" w:rsidRPr="009761E8">
        <w:rPr>
          <w:rFonts w:ascii="Times New Roman" w:hAnsi="Times New Roman" w:cs="Times New Roman"/>
          <w:sz w:val="24"/>
          <w:szCs w:val="24"/>
        </w:rPr>
        <w:t xml:space="preserve">установленным </w:t>
      </w:r>
      <w:r w:rsidRPr="009761E8">
        <w:rPr>
          <w:rFonts w:ascii="Times New Roman" w:hAnsi="Times New Roman" w:cs="Times New Roman"/>
          <w:sz w:val="24"/>
          <w:szCs w:val="24"/>
        </w:rPr>
        <w:t xml:space="preserve">рыночным </w:t>
      </w:r>
      <w:r w:rsidR="00AB47FB" w:rsidRPr="009761E8">
        <w:rPr>
          <w:rFonts w:ascii="Times New Roman" w:hAnsi="Times New Roman" w:cs="Times New Roman"/>
          <w:sz w:val="24"/>
          <w:szCs w:val="24"/>
        </w:rPr>
        <w:t>интервалом рентабельности</w:t>
      </w:r>
      <w:r w:rsidR="00D157B5">
        <w:rPr>
          <w:rFonts w:ascii="Times New Roman" w:hAnsi="Times New Roman" w:cs="Times New Roman"/>
          <w:sz w:val="24"/>
          <w:szCs w:val="24"/>
        </w:rPr>
        <w:t xml:space="preserve"> </w:t>
      </w:r>
      <w:r w:rsidR="00B3450F" w:rsidRPr="009761E8">
        <w:rPr>
          <w:rFonts w:ascii="Times New Roman" w:hAnsi="Times New Roman" w:cs="Times New Roman"/>
          <w:sz w:val="24"/>
          <w:szCs w:val="24"/>
        </w:rPr>
        <w:t xml:space="preserve">Стоит обратить внимание на то, что при выборе </w:t>
      </w:r>
      <w:r w:rsidRPr="009761E8">
        <w:rPr>
          <w:rFonts w:ascii="Times New Roman" w:hAnsi="Times New Roman" w:cs="Times New Roman"/>
          <w:sz w:val="24"/>
          <w:szCs w:val="24"/>
        </w:rPr>
        <w:t>метод</w:t>
      </w:r>
      <w:r w:rsidR="00B3450F" w:rsidRPr="009761E8">
        <w:rPr>
          <w:rFonts w:ascii="Times New Roman" w:hAnsi="Times New Roman" w:cs="Times New Roman"/>
          <w:sz w:val="24"/>
          <w:szCs w:val="24"/>
        </w:rPr>
        <w:t xml:space="preserve">а расчета трансфертной цены и использовании </w:t>
      </w:r>
      <w:r w:rsidRPr="009761E8">
        <w:rPr>
          <w:rFonts w:ascii="Times New Roman" w:hAnsi="Times New Roman" w:cs="Times New Roman"/>
          <w:sz w:val="24"/>
          <w:szCs w:val="24"/>
        </w:rPr>
        <w:t>данны</w:t>
      </w:r>
      <w:r w:rsidR="00B3450F" w:rsidRPr="009761E8">
        <w:rPr>
          <w:rFonts w:ascii="Times New Roman" w:hAnsi="Times New Roman" w:cs="Times New Roman"/>
          <w:sz w:val="24"/>
          <w:szCs w:val="24"/>
        </w:rPr>
        <w:t>х бухгалтерского</w:t>
      </w:r>
      <w:r w:rsidRPr="009761E8">
        <w:rPr>
          <w:rFonts w:ascii="Times New Roman" w:hAnsi="Times New Roman" w:cs="Times New Roman"/>
          <w:sz w:val="24"/>
          <w:szCs w:val="24"/>
        </w:rPr>
        <w:t xml:space="preserve"> </w:t>
      </w:r>
      <w:r w:rsidR="00B3450F" w:rsidRPr="009761E8">
        <w:rPr>
          <w:rFonts w:ascii="Times New Roman" w:hAnsi="Times New Roman" w:cs="Times New Roman"/>
          <w:sz w:val="24"/>
          <w:szCs w:val="24"/>
        </w:rPr>
        <w:t>учета в качестве информационной базы, для второго и третьего метода используемые данные бухгалтерского</w:t>
      </w:r>
      <w:r w:rsidRPr="009761E8">
        <w:rPr>
          <w:rFonts w:ascii="Times New Roman" w:hAnsi="Times New Roman" w:cs="Times New Roman"/>
          <w:sz w:val="24"/>
          <w:szCs w:val="24"/>
        </w:rPr>
        <w:t xml:space="preserve"> </w:t>
      </w:r>
      <w:r w:rsidR="00B3450F" w:rsidRPr="009761E8">
        <w:rPr>
          <w:rFonts w:ascii="Times New Roman" w:hAnsi="Times New Roman" w:cs="Times New Roman"/>
          <w:sz w:val="24"/>
          <w:szCs w:val="24"/>
        </w:rPr>
        <w:t>учета</w:t>
      </w:r>
      <w:r w:rsidRPr="009761E8">
        <w:rPr>
          <w:rFonts w:ascii="Times New Roman" w:hAnsi="Times New Roman" w:cs="Times New Roman"/>
          <w:sz w:val="24"/>
          <w:szCs w:val="24"/>
        </w:rPr>
        <w:t xml:space="preserve"> </w:t>
      </w:r>
      <w:r w:rsidR="00B3450F" w:rsidRPr="009761E8">
        <w:rPr>
          <w:rFonts w:ascii="Times New Roman" w:hAnsi="Times New Roman" w:cs="Times New Roman"/>
          <w:sz w:val="24"/>
          <w:szCs w:val="24"/>
        </w:rPr>
        <w:t xml:space="preserve">в соответствии с п. 8 статьи 105.7 НК РФ </w:t>
      </w:r>
      <w:r w:rsidRPr="009761E8">
        <w:rPr>
          <w:rFonts w:ascii="Times New Roman" w:hAnsi="Times New Roman" w:cs="Times New Roman"/>
          <w:sz w:val="24"/>
          <w:szCs w:val="24"/>
        </w:rPr>
        <w:t xml:space="preserve">должны быть приведены в сопоставимый вид. </w:t>
      </w:r>
      <w:r w:rsidR="00B3450F" w:rsidRPr="009761E8">
        <w:rPr>
          <w:rFonts w:ascii="Times New Roman" w:hAnsi="Times New Roman" w:cs="Times New Roman"/>
          <w:sz w:val="24"/>
          <w:szCs w:val="24"/>
        </w:rPr>
        <w:t xml:space="preserve">При невозможности их приведения к требуемому виду использование метода последующей реализации не допустим. Соответственно, необходимо использовать другие методы, а именно: </w:t>
      </w:r>
      <w:r w:rsidRPr="009761E8">
        <w:rPr>
          <w:rFonts w:ascii="Times New Roman" w:hAnsi="Times New Roman" w:cs="Times New Roman"/>
          <w:sz w:val="24"/>
          <w:szCs w:val="24"/>
        </w:rPr>
        <w:t>метод сопоставимой рентабельн</w:t>
      </w:r>
      <w:r w:rsidR="00B3450F" w:rsidRPr="009761E8">
        <w:rPr>
          <w:rFonts w:ascii="Times New Roman" w:hAnsi="Times New Roman" w:cs="Times New Roman"/>
          <w:sz w:val="24"/>
          <w:szCs w:val="24"/>
        </w:rPr>
        <w:t>ости или метод распределения прибыли.</w:t>
      </w:r>
    </w:p>
    <w:p w:rsidR="009B5C45" w:rsidRPr="009761E8" w:rsidRDefault="009B5C45" w:rsidP="00E91283">
      <w:pPr>
        <w:spacing w:after="0" w:line="360" w:lineRule="auto"/>
        <w:ind w:firstLine="708"/>
        <w:jc w:val="both"/>
        <w:rPr>
          <w:rFonts w:ascii="Times New Roman" w:hAnsi="Times New Roman" w:cs="Times New Roman"/>
          <w:sz w:val="24"/>
          <w:szCs w:val="24"/>
        </w:rPr>
      </w:pPr>
    </w:p>
    <w:p w:rsidR="00610790" w:rsidRDefault="009C1411" w:rsidP="00631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Пример </w:t>
      </w:r>
      <w:r w:rsidR="00D157B5" w:rsidRPr="002E152E">
        <w:rPr>
          <w:rFonts w:ascii="Times New Roman" w:hAnsi="Times New Roman" w:cs="Times New Roman"/>
          <w:sz w:val="24"/>
          <w:szCs w:val="24"/>
        </w:rPr>
        <w:t>3.</w:t>
      </w:r>
    </w:p>
    <w:p w:rsidR="009C1411" w:rsidRDefault="009C1411"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E91283">
        <w:rPr>
          <w:rFonts w:ascii="Times New Roman" w:hAnsi="Times New Roman" w:cs="Times New Roman"/>
          <w:sz w:val="24"/>
          <w:szCs w:val="24"/>
        </w:rPr>
        <w:t>2</w:t>
      </w:r>
      <w:r>
        <w:rPr>
          <w:rFonts w:ascii="Times New Roman" w:hAnsi="Times New Roman" w:cs="Times New Roman"/>
          <w:sz w:val="24"/>
          <w:szCs w:val="24"/>
        </w:rPr>
        <w:t>. Исходные данные анализируемой сделки</w:t>
      </w:r>
    </w:p>
    <w:tbl>
      <w:tblPr>
        <w:tblW w:w="9026" w:type="dxa"/>
        <w:tblLook w:val="04A0" w:firstRow="1" w:lastRow="0" w:firstColumn="1" w:lastColumn="0" w:noHBand="0" w:noVBand="1"/>
      </w:tblPr>
      <w:tblGrid>
        <w:gridCol w:w="2992"/>
        <w:gridCol w:w="1594"/>
        <w:gridCol w:w="1694"/>
        <w:gridCol w:w="2746"/>
      </w:tblGrid>
      <w:tr w:rsidR="0046651B" w:rsidRPr="0046651B" w:rsidTr="009C1411">
        <w:trPr>
          <w:trHeight w:val="312"/>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51B" w:rsidRPr="0046651B" w:rsidRDefault="0046651B" w:rsidP="009C1411">
            <w:pPr>
              <w:spacing w:after="0" w:line="240" w:lineRule="auto"/>
              <w:jc w:val="center"/>
              <w:rPr>
                <w:rFonts w:ascii="Times New Roman" w:eastAsia="Times New Roman" w:hAnsi="Times New Roman" w:cs="Times New Roman"/>
                <w:color w:val="000000"/>
                <w:sz w:val="20"/>
                <w:szCs w:val="20"/>
                <w:lang w:eastAsia="ru-RU"/>
              </w:rPr>
            </w:pPr>
            <w:r w:rsidRPr="0046651B">
              <w:rPr>
                <w:rFonts w:ascii="Times New Roman" w:eastAsia="Times New Roman" w:hAnsi="Times New Roman" w:cs="Times New Roman"/>
                <w:color w:val="000000"/>
                <w:sz w:val="20"/>
                <w:szCs w:val="20"/>
                <w:lang w:eastAsia="ru-RU"/>
              </w:rPr>
              <w:t>Выручка по сделке, тыс. руб.</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46651B" w:rsidRPr="0046651B" w:rsidRDefault="0046651B" w:rsidP="009C1411">
            <w:pPr>
              <w:spacing w:after="0" w:line="240" w:lineRule="auto"/>
              <w:jc w:val="center"/>
              <w:rPr>
                <w:rFonts w:ascii="Times New Roman" w:eastAsia="Times New Roman" w:hAnsi="Times New Roman" w:cs="Times New Roman"/>
                <w:color w:val="000000"/>
                <w:sz w:val="20"/>
                <w:szCs w:val="20"/>
                <w:lang w:eastAsia="ru-RU"/>
              </w:rPr>
            </w:pPr>
            <w:r w:rsidRPr="0046651B">
              <w:rPr>
                <w:rFonts w:ascii="Times New Roman" w:eastAsia="Times New Roman" w:hAnsi="Times New Roman" w:cs="Times New Roman"/>
                <w:color w:val="000000"/>
                <w:sz w:val="20"/>
                <w:szCs w:val="20"/>
                <w:lang w:eastAsia="ru-RU"/>
              </w:rPr>
              <w:t>Затраты по сделке, тыс. руб.</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rsidR="0046651B" w:rsidRPr="0046651B" w:rsidRDefault="0046651B" w:rsidP="009C1411">
            <w:pPr>
              <w:spacing w:after="0" w:line="240" w:lineRule="auto"/>
              <w:jc w:val="center"/>
              <w:rPr>
                <w:rFonts w:ascii="Times New Roman" w:eastAsia="Times New Roman" w:hAnsi="Times New Roman" w:cs="Times New Roman"/>
                <w:color w:val="000000"/>
                <w:sz w:val="20"/>
                <w:szCs w:val="20"/>
                <w:lang w:eastAsia="ru-RU"/>
              </w:rPr>
            </w:pPr>
            <w:r w:rsidRPr="0046651B">
              <w:rPr>
                <w:rFonts w:ascii="Times New Roman" w:eastAsia="Times New Roman" w:hAnsi="Times New Roman" w:cs="Times New Roman"/>
                <w:color w:val="000000"/>
                <w:sz w:val="20"/>
                <w:szCs w:val="20"/>
                <w:lang w:eastAsia="ru-RU"/>
              </w:rPr>
              <w:t>Валовая прибыль по сделке, тыс. руб.</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46651B" w:rsidRPr="0046651B" w:rsidRDefault="0046651B" w:rsidP="009C1411">
            <w:pPr>
              <w:spacing w:after="0" w:line="240" w:lineRule="auto"/>
              <w:jc w:val="center"/>
              <w:rPr>
                <w:rFonts w:ascii="Times New Roman" w:eastAsia="Times New Roman" w:hAnsi="Times New Roman" w:cs="Times New Roman"/>
                <w:color w:val="000000"/>
                <w:sz w:val="20"/>
                <w:szCs w:val="20"/>
                <w:lang w:eastAsia="ru-RU"/>
              </w:rPr>
            </w:pPr>
            <w:r w:rsidRPr="0046651B">
              <w:rPr>
                <w:rFonts w:ascii="Times New Roman" w:eastAsia="Times New Roman" w:hAnsi="Times New Roman" w:cs="Times New Roman"/>
                <w:color w:val="000000"/>
                <w:sz w:val="20"/>
                <w:szCs w:val="20"/>
                <w:lang w:eastAsia="ru-RU"/>
              </w:rPr>
              <w:t>Рентабельность затрат, %</w:t>
            </w:r>
          </w:p>
        </w:tc>
      </w:tr>
      <w:tr w:rsidR="0046651B" w:rsidRPr="0046651B" w:rsidTr="00224A66">
        <w:trPr>
          <w:trHeight w:val="312"/>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6651B" w:rsidRPr="0046651B" w:rsidRDefault="0046651B" w:rsidP="00224A66">
            <w:pPr>
              <w:spacing w:after="0" w:line="240" w:lineRule="auto"/>
              <w:jc w:val="center"/>
              <w:rPr>
                <w:rFonts w:ascii="Times New Roman" w:eastAsia="Times New Roman" w:hAnsi="Times New Roman" w:cs="Times New Roman"/>
                <w:color w:val="000000"/>
                <w:sz w:val="20"/>
                <w:szCs w:val="20"/>
                <w:lang w:eastAsia="ru-RU"/>
              </w:rPr>
            </w:pPr>
            <w:r w:rsidRPr="0046651B">
              <w:rPr>
                <w:rFonts w:ascii="Times New Roman" w:eastAsia="Times New Roman" w:hAnsi="Times New Roman" w:cs="Times New Roman"/>
                <w:color w:val="000000"/>
                <w:sz w:val="20"/>
                <w:szCs w:val="20"/>
                <w:lang w:eastAsia="ru-RU"/>
              </w:rPr>
              <w:t>240000</w:t>
            </w:r>
          </w:p>
        </w:tc>
        <w:tc>
          <w:tcPr>
            <w:tcW w:w="1594" w:type="dxa"/>
            <w:tcBorders>
              <w:top w:val="nil"/>
              <w:left w:val="nil"/>
              <w:bottom w:val="single" w:sz="4" w:space="0" w:color="auto"/>
              <w:right w:val="single" w:sz="4" w:space="0" w:color="auto"/>
            </w:tcBorders>
            <w:shd w:val="clear" w:color="auto" w:fill="auto"/>
            <w:noWrap/>
            <w:vAlign w:val="bottom"/>
            <w:hideMark/>
          </w:tcPr>
          <w:p w:rsidR="0046651B" w:rsidRPr="0046651B" w:rsidRDefault="0046651B" w:rsidP="00224A66">
            <w:pPr>
              <w:spacing w:after="0" w:line="240" w:lineRule="auto"/>
              <w:jc w:val="center"/>
              <w:rPr>
                <w:rFonts w:ascii="Times New Roman" w:eastAsia="Times New Roman" w:hAnsi="Times New Roman" w:cs="Times New Roman"/>
                <w:color w:val="000000"/>
                <w:sz w:val="20"/>
                <w:szCs w:val="20"/>
                <w:lang w:eastAsia="ru-RU"/>
              </w:rPr>
            </w:pPr>
            <w:r w:rsidRPr="0046651B">
              <w:rPr>
                <w:rFonts w:ascii="Times New Roman" w:eastAsia="Times New Roman" w:hAnsi="Times New Roman" w:cs="Times New Roman"/>
                <w:color w:val="000000"/>
                <w:sz w:val="20"/>
                <w:szCs w:val="20"/>
                <w:lang w:eastAsia="ru-RU"/>
              </w:rPr>
              <w:t>230000</w:t>
            </w:r>
          </w:p>
        </w:tc>
        <w:tc>
          <w:tcPr>
            <w:tcW w:w="1694" w:type="dxa"/>
            <w:tcBorders>
              <w:top w:val="nil"/>
              <w:left w:val="nil"/>
              <w:bottom w:val="single" w:sz="4" w:space="0" w:color="auto"/>
              <w:right w:val="single" w:sz="4" w:space="0" w:color="auto"/>
            </w:tcBorders>
            <w:shd w:val="clear" w:color="auto" w:fill="auto"/>
            <w:noWrap/>
            <w:vAlign w:val="bottom"/>
            <w:hideMark/>
          </w:tcPr>
          <w:p w:rsidR="0046651B" w:rsidRPr="0046651B" w:rsidRDefault="0046651B" w:rsidP="00224A66">
            <w:pPr>
              <w:spacing w:after="0" w:line="240" w:lineRule="auto"/>
              <w:jc w:val="center"/>
              <w:rPr>
                <w:rFonts w:ascii="Times New Roman" w:eastAsia="Times New Roman" w:hAnsi="Times New Roman" w:cs="Times New Roman"/>
                <w:color w:val="000000"/>
                <w:sz w:val="20"/>
                <w:szCs w:val="20"/>
                <w:lang w:eastAsia="ru-RU"/>
              </w:rPr>
            </w:pPr>
            <w:r w:rsidRPr="0046651B">
              <w:rPr>
                <w:rFonts w:ascii="Times New Roman" w:eastAsia="Times New Roman" w:hAnsi="Times New Roman" w:cs="Times New Roman"/>
                <w:color w:val="000000"/>
                <w:sz w:val="20"/>
                <w:szCs w:val="20"/>
                <w:lang w:eastAsia="ru-RU"/>
              </w:rPr>
              <w:t>10000</w:t>
            </w:r>
          </w:p>
        </w:tc>
        <w:tc>
          <w:tcPr>
            <w:tcW w:w="2746" w:type="dxa"/>
            <w:tcBorders>
              <w:top w:val="nil"/>
              <w:left w:val="nil"/>
              <w:bottom w:val="single" w:sz="4" w:space="0" w:color="auto"/>
              <w:right w:val="single" w:sz="4" w:space="0" w:color="auto"/>
            </w:tcBorders>
            <w:shd w:val="clear" w:color="auto" w:fill="auto"/>
            <w:noWrap/>
            <w:vAlign w:val="bottom"/>
            <w:hideMark/>
          </w:tcPr>
          <w:p w:rsidR="0046651B" w:rsidRPr="0046651B" w:rsidRDefault="0046651B" w:rsidP="00224A66">
            <w:pPr>
              <w:spacing w:after="0" w:line="240" w:lineRule="auto"/>
              <w:jc w:val="center"/>
              <w:rPr>
                <w:rFonts w:ascii="Times New Roman" w:eastAsia="Times New Roman" w:hAnsi="Times New Roman" w:cs="Times New Roman"/>
                <w:color w:val="000000"/>
                <w:sz w:val="20"/>
                <w:szCs w:val="20"/>
                <w:lang w:eastAsia="ru-RU"/>
              </w:rPr>
            </w:pPr>
            <w:r w:rsidRPr="0046651B">
              <w:rPr>
                <w:rFonts w:ascii="Times New Roman" w:eastAsia="Times New Roman" w:hAnsi="Times New Roman" w:cs="Times New Roman"/>
                <w:color w:val="000000"/>
                <w:sz w:val="20"/>
                <w:szCs w:val="20"/>
                <w:lang w:eastAsia="ru-RU"/>
              </w:rPr>
              <w:t>4,35</w:t>
            </w:r>
          </w:p>
        </w:tc>
      </w:tr>
    </w:tbl>
    <w:p w:rsidR="00E91283" w:rsidRDefault="00E91283" w:rsidP="0074270D">
      <w:pPr>
        <w:spacing w:after="0" w:line="360" w:lineRule="auto"/>
        <w:jc w:val="both"/>
        <w:rPr>
          <w:rFonts w:ascii="Times New Roman" w:hAnsi="Times New Roman" w:cs="Times New Roman"/>
          <w:sz w:val="24"/>
          <w:szCs w:val="24"/>
        </w:rPr>
      </w:pPr>
    </w:p>
    <w:p w:rsidR="0074270D" w:rsidRDefault="0074270D" w:rsidP="00E912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Предположим, что </w:t>
      </w:r>
      <w:r w:rsidRPr="0074270D">
        <w:rPr>
          <w:rFonts w:ascii="Times New Roman" w:hAnsi="Times New Roman" w:cs="Times New Roman"/>
          <w:sz w:val="24"/>
          <w:szCs w:val="24"/>
        </w:rPr>
        <w:t>субпод</w:t>
      </w:r>
      <w:r>
        <w:rPr>
          <w:rFonts w:ascii="Times New Roman" w:hAnsi="Times New Roman" w:cs="Times New Roman"/>
          <w:sz w:val="24"/>
          <w:szCs w:val="24"/>
        </w:rPr>
        <w:t>рядная строительная организация, применяющая</w:t>
      </w:r>
      <w:r w:rsidRPr="0074270D">
        <w:rPr>
          <w:rFonts w:ascii="Times New Roman" w:hAnsi="Times New Roman" w:cs="Times New Roman"/>
          <w:sz w:val="24"/>
          <w:szCs w:val="24"/>
        </w:rPr>
        <w:t xml:space="preserve"> общий режим налогообложения, проводит строительные работы для генерального подрядчика</w:t>
      </w:r>
      <w:r>
        <w:rPr>
          <w:rFonts w:ascii="Times New Roman" w:hAnsi="Times New Roman" w:cs="Times New Roman"/>
          <w:sz w:val="24"/>
          <w:szCs w:val="24"/>
        </w:rPr>
        <w:t>, которых находится</w:t>
      </w:r>
      <w:r w:rsidRPr="0074270D">
        <w:rPr>
          <w:rFonts w:ascii="Times New Roman" w:hAnsi="Times New Roman" w:cs="Times New Roman"/>
          <w:sz w:val="24"/>
          <w:szCs w:val="24"/>
        </w:rPr>
        <w:t xml:space="preserve"> на упрощенной системе налогообложения. В процес</w:t>
      </w:r>
      <w:r>
        <w:rPr>
          <w:rFonts w:ascii="Times New Roman" w:hAnsi="Times New Roman" w:cs="Times New Roman"/>
          <w:sz w:val="24"/>
          <w:szCs w:val="24"/>
        </w:rPr>
        <w:t xml:space="preserve">се анализа установлено, что оба </w:t>
      </w:r>
      <w:r w:rsidRPr="0074270D">
        <w:rPr>
          <w:rFonts w:ascii="Times New Roman" w:hAnsi="Times New Roman" w:cs="Times New Roman"/>
          <w:sz w:val="24"/>
          <w:szCs w:val="24"/>
        </w:rPr>
        <w:t>юридических лица взаимозависимы. В том же налоговом периоде субподрядчик также выполнял работы для других</w:t>
      </w:r>
      <w:r w:rsidR="00E91283">
        <w:rPr>
          <w:rFonts w:ascii="Times New Roman" w:hAnsi="Times New Roman" w:cs="Times New Roman"/>
          <w:sz w:val="24"/>
          <w:szCs w:val="24"/>
        </w:rPr>
        <w:t xml:space="preserve"> </w:t>
      </w:r>
      <w:r w:rsidRPr="0074270D">
        <w:rPr>
          <w:rFonts w:ascii="Times New Roman" w:hAnsi="Times New Roman" w:cs="Times New Roman"/>
          <w:sz w:val="24"/>
          <w:szCs w:val="24"/>
        </w:rPr>
        <w:t xml:space="preserve">заказчиков, </w:t>
      </w:r>
      <w:r>
        <w:rPr>
          <w:rFonts w:ascii="Times New Roman" w:hAnsi="Times New Roman" w:cs="Times New Roman"/>
          <w:sz w:val="24"/>
          <w:szCs w:val="24"/>
        </w:rPr>
        <w:t>которые не являются взаимозависимыми. Для начала необходимо посч</w:t>
      </w:r>
      <w:r w:rsidR="00652F63">
        <w:rPr>
          <w:rFonts w:ascii="Times New Roman" w:hAnsi="Times New Roman" w:cs="Times New Roman"/>
          <w:sz w:val="24"/>
          <w:szCs w:val="24"/>
        </w:rPr>
        <w:t>и</w:t>
      </w:r>
      <w:r>
        <w:rPr>
          <w:rFonts w:ascii="Times New Roman" w:hAnsi="Times New Roman" w:cs="Times New Roman"/>
          <w:sz w:val="24"/>
          <w:szCs w:val="24"/>
        </w:rPr>
        <w:t>тать рентабельность затрат</w:t>
      </w:r>
      <w:r w:rsidR="00652F63">
        <w:rPr>
          <w:rFonts w:ascii="Times New Roman" w:hAnsi="Times New Roman" w:cs="Times New Roman"/>
          <w:sz w:val="24"/>
          <w:szCs w:val="24"/>
        </w:rPr>
        <w:t>, задаваемой следующей формулой (5)</w:t>
      </w:r>
      <w:r>
        <w:rPr>
          <w:rFonts w:ascii="Times New Roman" w:hAnsi="Times New Roman" w:cs="Times New Roman"/>
          <w:sz w:val="24"/>
          <w:szCs w:val="24"/>
        </w:rPr>
        <w:t>:</w:t>
      </w:r>
    </w:p>
    <w:p w:rsidR="00652F63" w:rsidRDefault="00652F63" w:rsidP="0074270D">
      <w:pPr>
        <w:spacing w:after="0" w:line="360" w:lineRule="auto"/>
        <w:jc w:val="both"/>
        <w:rPr>
          <w:rFonts w:ascii="Times New Roman" w:hAnsi="Times New Roman" w:cs="Times New Roman"/>
          <w:sz w:val="24"/>
          <w:szCs w:val="24"/>
        </w:rPr>
      </w:pPr>
    </w:p>
    <w:p w:rsidR="00652F63" w:rsidRDefault="0046651B" w:rsidP="0074270D">
      <w:pPr>
        <w:spacing w:after="0" w:line="360" w:lineRule="auto"/>
        <w:jc w:val="center"/>
        <w:rPr>
          <w:rFonts w:ascii="Times New Roman" w:hAnsi="Times New Roman" w:cs="Times New Roman"/>
          <w:sz w:val="24"/>
          <w:szCs w:val="24"/>
        </w:rPr>
      </w:pPr>
      <w:r w:rsidRPr="0046651B">
        <w:rPr>
          <w:rFonts w:ascii="Times New Roman" w:hAnsi="Times New Roman" w:cs="Times New Roman"/>
          <w:sz w:val="24"/>
          <w:szCs w:val="24"/>
        </w:rPr>
        <w:t>Рентабельность затрат = Валовая при</w:t>
      </w:r>
      <w:r>
        <w:rPr>
          <w:rFonts w:ascii="Times New Roman" w:hAnsi="Times New Roman" w:cs="Times New Roman"/>
          <w:sz w:val="24"/>
          <w:szCs w:val="24"/>
        </w:rPr>
        <w:t xml:space="preserve">быль : Затраты по сделке x 100% </w:t>
      </w:r>
      <w:r w:rsidR="00652F63">
        <w:rPr>
          <w:rFonts w:ascii="Times New Roman" w:hAnsi="Times New Roman" w:cs="Times New Roman"/>
          <w:sz w:val="24"/>
          <w:szCs w:val="24"/>
        </w:rPr>
        <w:t>(5)</w:t>
      </w:r>
    </w:p>
    <w:p w:rsidR="00652F63" w:rsidRDefault="00652F63" w:rsidP="0074270D">
      <w:pPr>
        <w:spacing w:after="0" w:line="360" w:lineRule="auto"/>
        <w:jc w:val="center"/>
        <w:rPr>
          <w:rFonts w:ascii="Times New Roman" w:hAnsi="Times New Roman" w:cs="Times New Roman"/>
          <w:sz w:val="24"/>
          <w:szCs w:val="24"/>
        </w:rPr>
      </w:pPr>
    </w:p>
    <w:p w:rsidR="0074270D" w:rsidRDefault="00652F63" w:rsidP="00E9128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Исходя из формулы (5), </w:t>
      </w:r>
      <w:r w:rsidRPr="0046651B">
        <w:rPr>
          <w:rFonts w:ascii="Times New Roman" w:hAnsi="Times New Roman" w:cs="Times New Roman"/>
          <w:sz w:val="24"/>
          <w:szCs w:val="24"/>
        </w:rPr>
        <w:t xml:space="preserve">Рентабельность затрат </w:t>
      </w:r>
      <w:r w:rsidR="0046651B">
        <w:rPr>
          <w:rFonts w:ascii="Times New Roman" w:hAnsi="Times New Roman" w:cs="Times New Roman"/>
          <w:sz w:val="24"/>
          <w:szCs w:val="24"/>
        </w:rPr>
        <w:t xml:space="preserve">= </w:t>
      </w:r>
      <w:r w:rsidR="00224A66">
        <w:rPr>
          <w:rFonts w:ascii="Times New Roman" w:hAnsi="Times New Roman" w:cs="Times New Roman"/>
          <w:sz w:val="24"/>
          <w:szCs w:val="24"/>
        </w:rPr>
        <w:t>10000/230000</w:t>
      </w:r>
      <w:r w:rsidR="00224A66" w:rsidRPr="00224A66">
        <w:rPr>
          <w:rFonts w:ascii="Times New Roman" w:hAnsi="Times New Roman" w:cs="Times New Roman"/>
          <w:sz w:val="24"/>
          <w:szCs w:val="24"/>
        </w:rPr>
        <w:t xml:space="preserve"> </w:t>
      </w:r>
      <w:r w:rsidR="00224A66">
        <w:rPr>
          <w:rFonts w:ascii="Times New Roman" w:hAnsi="Times New Roman" w:cs="Times New Roman"/>
          <w:sz w:val="24"/>
          <w:szCs w:val="24"/>
        </w:rPr>
        <w:t>=</w:t>
      </w:r>
      <w:r w:rsidR="00224A66" w:rsidRPr="00224A66">
        <w:rPr>
          <w:rFonts w:ascii="Times New Roman" w:hAnsi="Times New Roman" w:cs="Times New Roman"/>
          <w:sz w:val="24"/>
          <w:szCs w:val="24"/>
        </w:rPr>
        <w:t xml:space="preserve"> </w:t>
      </w:r>
      <w:r w:rsidR="00224A66">
        <w:rPr>
          <w:rFonts w:ascii="Times New Roman" w:hAnsi="Times New Roman" w:cs="Times New Roman"/>
          <w:sz w:val="24"/>
          <w:szCs w:val="24"/>
        </w:rPr>
        <w:t>4,</w:t>
      </w:r>
      <w:r w:rsidR="00224A66" w:rsidRPr="00224A66">
        <w:rPr>
          <w:rFonts w:ascii="Times New Roman" w:hAnsi="Times New Roman" w:cs="Times New Roman"/>
          <w:sz w:val="24"/>
          <w:szCs w:val="24"/>
        </w:rPr>
        <w:t>35%</w:t>
      </w:r>
      <w:r w:rsidR="0074270D">
        <w:rPr>
          <w:rFonts w:ascii="Times New Roman" w:hAnsi="Times New Roman" w:cs="Times New Roman"/>
          <w:sz w:val="24"/>
          <w:szCs w:val="24"/>
        </w:rPr>
        <w:t xml:space="preserve">. </w:t>
      </w:r>
    </w:p>
    <w:p w:rsidR="0074270D" w:rsidRPr="0074270D" w:rsidRDefault="0074270D" w:rsidP="00E912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минимального значения интервала рентабельности поделим число выполненных заказов на 4: 4 : 4 = 1 – целочисленное значение, следовательно, находим </w:t>
      </w:r>
      <w:r w:rsidRPr="0074270D">
        <w:rPr>
          <w:rFonts w:ascii="Times New Roman" w:hAnsi="Times New Roman" w:cs="Times New Roman"/>
          <w:sz w:val="24"/>
          <w:szCs w:val="24"/>
        </w:rPr>
        <w:t>среднее ар</w:t>
      </w:r>
      <w:r>
        <w:rPr>
          <w:rFonts w:ascii="Times New Roman" w:hAnsi="Times New Roman" w:cs="Times New Roman"/>
          <w:sz w:val="24"/>
          <w:szCs w:val="24"/>
        </w:rPr>
        <w:t>ифметическое показателей 1 и 2 - получим 16,5%. Максимальное значение интервала будет 50%</w:t>
      </w:r>
      <w:r w:rsidR="0064140C">
        <w:rPr>
          <w:rFonts w:ascii="Times New Roman" w:hAnsi="Times New Roman" w:cs="Times New Roman"/>
          <w:sz w:val="24"/>
          <w:szCs w:val="24"/>
        </w:rPr>
        <w:t xml:space="preserve"> (см. Приложение 3)</w:t>
      </w:r>
      <w:r>
        <w:rPr>
          <w:rFonts w:ascii="Times New Roman" w:hAnsi="Times New Roman" w:cs="Times New Roman"/>
          <w:sz w:val="24"/>
          <w:szCs w:val="24"/>
        </w:rPr>
        <w:t xml:space="preserve"> по аналогии с предыдущими примерами. Так как рентабельность анализируемой сделки не входит в интервал </w:t>
      </w:r>
      <w:r w:rsidRPr="0074270D">
        <w:rPr>
          <w:rFonts w:ascii="Times New Roman" w:hAnsi="Times New Roman" w:cs="Times New Roman"/>
          <w:sz w:val="24"/>
          <w:szCs w:val="24"/>
        </w:rPr>
        <w:t>[16,5%; 50%]</w:t>
      </w:r>
      <w:r>
        <w:rPr>
          <w:rFonts w:ascii="Times New Roman" w:hAnsi="Times New Roman" w:cs="Times New Roman"/>
          <w:sz w:val="24"/>
          <w:szCs w:val="24"/>
        </w:rPr>
        <w:t xml:space="preserve">, то </w:t>
      </w:r>
      <w:r w:rsidRPr="0074270D">
        <w:rPr>
          <w:rFonts w:ascii="Times New Roman" w:hAnsi="Times New Roman" w:cs="Times New Roman"/>
          <w:sz w:val="24"/>
          <w:szCs w:val="24"/>
        </w:rPr>
        <w:t>необходимо пересчитать</w:t>
      </w:r>
      <w:r>
        <w:rPr>
          <w:rFonts w:ascii="Times New Roman" w:hAnsi="Times New Roman" w:cs="Times New Roman"/>
          <w:sz w:val="24"/>
          <w:szCs w:val="24"/>
        </w:rPr>
        <w:t xml:space="preserve"> стоимость сделки</w:t>
      </w:r>
      <w:r w:rsidRPr="0074270D">
        <w:rPr>
          <w:rFonts w:ascii="Times New Roman" w:hAnsi="Times New Roman" w:cs="Times New Roman"/>
          <w:sz w:val="24"/>
          <w:szCs w:val="24"/>
        </w:rPr>
        <w:t xml:space="preserve"> с учетом минимального уровня рентабельности затрат.</w:t>
      </w:r>
    </w:p>
    <w:p w:rsidR="0074270D" w:rsidRPr="0074270D" w:rsidRDefault="0074270D" w:rsidP="00E91283">
      <w:pPr>
        <w:spacing w:after="0" w:line="360" w:lineRule="auto"/>
        <w:ind w:firstLine="708"/>
        <w:jc w:val="both"/>
        <w:rPr>
          <w:rFonts w:ascii="Times New Roman" w:hAnsi="Times New Roman" w:cs="Times New Roman"/>
          <w:sz w:val="24"/>
          <w:szCs w:val="24"/>
        </w:rPr>
      </w:pPr>
      <w:r w:rsidRPr="0074270D">
        <w:rPr>
          <w:rFonts w:ascii="Times New Roman" w:hAnsi="Times New Roman" w:cs="Times New Roman"/>
          <w:sz w:val="24"/>
          <w:szCs w:val="24"/>
        </w:rPr>
        <w:t>Рыночная цена сделки должна сос</w:t>
      </w:r>
      <w:r w:rsidR="00185E7E">
        <w:rPr>
          <w:rFonts w:ascii="Times New Roman" w:hAnsi="Times New Roman" w:cs="Times New Roman"/>
          <w:sz w:val="24"/>
          <w:szCs w:val="24"/>
        </w:rPr>
        <w:t>тавить 267</w:t>
      </w:r>
      <w:r w:rsidRPr="0074270D">
        <w:rPr>
          <w:rFonts w:ascii="Times New Roman" w:hAnsi="Times New Roman" w:cs="Times New Roman"/>
          <w:sz w:val="24"/>
          <w:szCs w:val="24"/>
        </w:rPr>
        <w:t xml:space="preserve"> </w:t>
      </w:r>
      <w:r w:rsidR="00185E7E">
        <w:rPr>
          <w:rFonts w:ascii="Times New Roman" w:hAnsi="Times New Roman" w:cs="Times New Roman"/>
          <w:sz w:val="24"/>
          <w:szCs w:val="24"/>
        </w:rPr>
        <w:t>950</w:t>
      </w:r>
      <w:r w:rsidRPr="0074270D">
        <w:rPr>
          <w:rFonts w:ascii="Times New Roman" w:hAnsi="Times New Roman" w:cs="Times New Roman"/>
          <w:sz w:val="24"/>
          <w:szCs w:val="24"/>
        </w:rPr>
        <w:t xml:space="preserve"> тыс. руб. (</w:t>
      </w:r>
      <w:r>
        <w:rPr>
          <w:rFonts w:ascii="Times New Roman" w:hAnsi="Times New Roman" w:cs="Times New Roman"/>
          <w:sz w:val="24"/>
          <w:szCs w:val="24"/>
        </w:rPr>
        <w:t>230 000 + 230</w:t>
      </w:r>
      <w:r w:rsidRPr="0074270D">
        <w:rPr>
          <w:rFonts w:ascii="Times New Roman" w:hAnsi="Times New Roman" w:cs="Times New Roman"/>
          <w:sz w:val="24"/>
          <w:szCs w:val="24"/>
        </w:rPr>
        <w:t xml:space="preserve"> 000 x 16,5%).</w:t>
      </w:r>
    </w:p>
    <w:p w:rsidR="0074270D" w:rsidRPr="0074270D" w:rsidRDefault="0074270D" w:rsidP="00E91283">
      <w:pPr>
        <w:spacing w:after="0" w:line="360" w:lineRule="auto"/>
        <w:ind w:firstLine="708"/>
        <w:jc w:val="both"/>
        <w:rPr>
          <w:rFonts w:ascii="Times New Roman" w:hAnsi="Times New Roman" w:cs="Times New Roman"/>
          <w:sz w:val="24"/>
          <w:szCs w:val="24"/>
        </w:rPr>
      </w:pPr>
      <w:r w:rsidRPr="0074270D">
        <w:rPr>
          <w:rFonts w:ascii="Times New Roman" w:hAnsi="Times New Roman" w:cs="Times New Roman"/>
          <w:sz w:val="24"/>
          <w:szCs w:val="24"/>
        </w:rPr>
        <w:t>В связи с применением в контролируемой сделке цены ниже рыночной у су</w:t>
      </w:r>
      <w:r>
        <w:rPr>
          <w:rFonts w:ascii="Times New Roman" w:hAnsi="Times New Roman" w:cs="Times New Roman"/>
          <w:sz w:val="24"/>
          <w:szCs w:val="24"/>
        </w:rPr>
        <w:t xml:space="preserve">бподрядной организации подлежат </w:t>
      </w:r>
      <w:r w:rsidRPr="0074270D">
        <w:rPr>
          <w:rFonts w:ascii="Times New Roman" w:hAnsi="Times New Roman" w:cs="Times New Roman"/>
          <w:sz w:val="24"/>
          <w:szCs w:val="24"/>
        </w:rPr>
        <w:t>корректировке:</w:t>
      </w:r>
    </w:p>
    <w:p w:rsidR="0074270D" w:rsidRPr="0074270D" w:rsidRDefault="0074270D" w:rsidP="0074270D">
      <w:pPr>
        <w:spacing w:after="0" w:line="360" w:lineRule="auto"/>
        <w:jc w:val="both"/>
        <w:rPr>
          <w:rFonts w:ascii="Times New Roman" w:hAnsi="Times New Roman" w:cs="Times New Roman"/>
          <w:sz w:val="24"/>
          <w:szCs w:val="24"/>
        </w:rPr>
      </w:pPr>
      <w:r w:rsidRPr="0074270D">
        <w:rPr>
          <w:rFonts w:ascii="Times New Roman" w:hAnsi="Times New Roman" w:cs="Times New Roman"/>
          <w:sz w:val="24"/>
          <w:szCs w:val="24"/>
        </w:rPr>
        <w:t xml:space="preserve">1) налоговая база по НДС </w:t>
      </w:r>
      <w:r w:rsidR="00185E7E">
        <w:rPr>
          <w:rFonts w:ascii="Times New Roman" w:hAnsi="Times New Roman" w:cs="Times New Roman"/>
          <w:sz w:val="24"/>
          <w:szCs w:val="24"/>
        </w:rPr>
        <w:t>- на сумму 27 950 тыс. руб. (267 950</w:t>
      </w:r>
      <w:r w:rsidR="00185E7E" w:rsidRPr="0074270D">
        <w:rPr>
          <w:rFonts w:ascii="Times New Roman" w:hAnsi="Times New Roman" w:cs="Times New Roman"/>
          <w:sz w:val="24"/>
          <w:szCs w:val="24"/>
        </w:rPr>
        <w:t xml:space="preserve"> </w:t>
      </w:r>
      <w:r w:rsidR="00185E7E">
        <w:rPr>
          <w:rFonts w:ascii="Times New Roman" w:hAnsi="Times New Roman" w:cs="Times New Roman"/>
          <w:sz w:val="24"/>
          <w:szCs w:val="24"/>
        </w:rPr>
        <w:t>- 24</w:t>
      </w:r>
      <w:r w:rsidRPr="0074270D">
        <w:rPr>
          <w:rFonts w:ascii="Times New Roman" w:hAnsi="Times New Roman" w:cs="Times New Roman"/>
          <w:sz w:val="24"/>
          <w:szCs w:val="24"/>
        </w:rPr>
        <w:t>0 000);</w:t>
      </w:r>
    </w:p>
    <w:p w:rsidR="0074270D" w:rsidRPr="0074270D" w:rsidRDefault="0074270D" w:rsidP="0074270D">
      <w:pPr>
        <w:spacing w:after="0" w:line="360" w:lineRule="auto"/>
        <w:jc w:val="both"/>
        <w:rPr>
          <w:rFonts w:ascii="Times New Roman" w:hAnsi="Times New Roman" w:cs="Times New Roman"/>
          <w:sz w:val="24"/>
          <w:szCs w:val="24"/>
        </w:rPr>
      </w:pPr>
      <w:r w:rsidRPr="0074270D">
        <w:rPr>
          <w:rFonts w:ascii="Times New Roman" w:hAnsi="Times New Roman" w:cs="Times New Roman"/>
          <w:sz w:val="24"/>
          <w:szCs w:val="24"/>
        </w:rPr>
        <w:t xml:space="preserve">2) сумма НДС - на </w:t>
      </w:r>
      <w:r w:rsidR="00185E7E">
        <w:rPr>
          <w:rFonts w:ascii="Times New Roman" w:hAnsi="Times New Roman" w:cs="Times New Roman"/>
          <w:sz w:val="24"/>
          <w:szCs w:val="24"/>
        </w:rPr>
        <w:t>5031</w:t>
      </w:r>
      <w:r w:rsidRPr="0074270D">
        <w:rPr>
          <w:rFonts w:ascii="Times New Roman" w:hAnsi="Times New Roman" w:cs="Times New Roman"/>
          <w:sz w:val="24"/>
          <w:szCs w:val="24"/>
        </w:rPr>
        <w:t xml:space="preserve"> тыс. руб. (</w:t>
      </w:r>
      <w:r w:rsidR="00185E7E">
        <w:rPr>
          <w:rFonts w:ascii="Times New Roman" w:hAnsi="Times New Roman" w:cs="Times New Roman"/>
          <w:sz w:val="24"/>
          <w:szCs w:val="24"/>
        </w:rPr>
        <w:t>27 950</w:t>
      </w:r>
      <w:r w:rsidRPr="0074270D">
        <w:rPr>
          <w:rFonts w:ascii="Times New Roman" w:hAnsi="Times New Roman" w:cs="Times New Roman"/>
          <w:sz w:val="24"/>
          <w:szCs w:val="24"/>
        </w:rPr>
        <w:t xml:space="preserve"> x 18%);</w:t>
      </w:r>
    </w:p>
    <w:p w:rsidR="0046651B" w:rsidRPr="00224A66" w:rsidRDefault="0074270D" w:rsidP="0074270D">
      <w:pPr>
        <w:spacing w:after="0" w:line="360" w:lineRule="auto"/>
        <w:jc w:val="both"/>
        <w:rPr>
          <w:rFonts w:ascii="Times New Roman" w:hAnsi="Times New Roman" w:cs="Times New Roman"/>
          <w:sz w:val="24"/>
          <w:szCs w:val="24"/>
        </w:rPr>
      </w:pPr>
      <w:r w:rsidRPr="0074270D">
        <w:rPr>
          <w:rFonts w:ascii="Times New Roman" w:hAnsi="Times New Roman" w:cs="Times New Roman"/>
          <w:sz w:val="24"/>
          <w:szCs w:val="24"/>
        </w:rPr>
        <w:t>3) н</w:t>
      </w:r>
      <w:r w:rsidR="009B5C45">
        <w:rPr>
          <w:rFonts w:ascii="Times New Roman" w:hAnsi="Times New Roman" w:cs="Times New Roman"/>
          <w:sz w:val="24"/>
          <w:szCs w:val="24"/>
        </w:rPr>
        <w:t>алоговая база по НПО - на сумму</w:t>
      </w:r>
      <w:r w:rsidR="00185E7E">
        <w:rPr>
          <w:rFonts w:ascii="Times New Roman" w:hAnsi="Times New Roman" w:cs="Times New Roman"/>
          <w:sz w:val="24"/>
          <w:szCs w:val="24"/>
        </w:rPr>
        <w:t xml:space="preserve"> 5 590 тыс. руб. (27 950</w:t>
      </w:r>
      <w:r w:rsidR="00185E7E" w:rsidRPr="0074270D">
        <w:rPr>
          <w:rFonts w:ascii="Times New Roman" w:hAnsi="Times New Roman" w:cs="Times New Roman"/>
          <w:sz w:val="24"/>
          <w:szCs w:val="24"/>
        </w:rPr>
        <w:t xml:space="preserve"> </w:t>
      </w:r>
      <w:r w:rsidRPr="0074270D">
        <w:rPr>
          <w:rFonts w:ascii="Times New Roman" w:hAnsi="Times New Roman" w:cs="Times New Roman"/>
          <w:sz w:val="24"/>
          <w:szCs w:val="24"/>
        </w:rPr>
        <w:t xml:space="preserve"> x 20%).</w:t>
      </w:r>
    </w:p>
    <w:p w:rsidR="00B3450F" w:rsidRPr="009761E8" w:rsidRDefault="00B3450F" w:rsidP="00E9128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 xml:space="preserve">Несмотря на то, что рассматриваемый способ определения трансфертной цены имеет весомые аргументы в пользу его применения, </w:t>
      </w:r>
      <w:r w:rsidR="0046232E" w:rsidRPr="009761E8">
        <w:rPr>
          <w:rFonts w:ascii="Times New Roman" w:hAnsi="Times New Roman" w:cs="Times New Roman"/>
          <w:sz w:val="24"/>
          <w:szCs w:val="24"/>
        </w:rPr>
        <w:t>(</w:t>
      </w:r>
      <w:r w:rsidRPr="009761E8">
        <w:rPr>
          <w:rFonts w:ascii="Times New Roman" w:hAnsi="Times New Roman" w:cs="Times New Roman"/>
          <w:sz w:val="24"/>
          <w:szCs w:val="24"/>
        </w:rPr>
        <w:t xml:space="preserve">например, факт того, что он </w:t>
      </w:r>
      <w:r w:rsidR="0046232E" w:rsidRPr="009761E8">
        <w:rPr>
          <w:rFonts w:ascii="Times New Roman" w:hAnsi="Times New Roman" w:cs="Times New Roman"/>
          <w:sz w:val="24"/>
          <w:szCs w:val="24"/>
        </w:rPr>
        <w:t>является</w:t>
      </w:r>
      <w:r w:rsidRPr="009761E8">
        <w:rPr>
          <w:rFonts w:ascii="Times New Roman" w:hAnsi="Times New Roman" w:cs="Times New Roman"/>
          <w:sz w:val="24"/>
          <w:szCs w:val="24"/>
        </w:rPr>
        <w:t xml:space="preserve"> наиболее справедливым, обоснованным, а так</w:t>
      </w:r>
      <w:r w:rsidR="0046232E" w:rsidRPr="009761E8">
        <w:rPr>
          <w:rFonts w:ascii="Times New Roman" w:hAnsi="Times New Roman" w:cs="Times New Roman"/>
          <w:sz w:val="24"/>
          <w:szCs w:val="24"/>
        </w:rPr>
        <w:t>же опирается на реальные данные, не требуя дополнительных исследований рынка), существует ряд проблем, связанных с ним. Прежде всего не учитывает условия формирования потребительского спрос на товары и услуги, так как цена напрямую зависит от величины издержек. Также, рассматриваемый способ ТЦО может стать сдерживающим механизмом для развития подразделения, так как у менеджеров отсутствует какая-либо мотивация из-за прямой привязанности цен к затратам.</w:t>
      </w:r>
    </w:p>
    <w:p w:rsidR="00872737" w:rsidRPr="009761E8" w:rsidRDefault="00872737" w:rsidP="00E9128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4. Метод сопоставимой рентабельности</w:t>
      </w:r>
    </w:p>
    <w:p w:rsidR="00872737" w:rsidRDefault="008808B4"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510D5" w:rsidRPr="009761E8">
        <w:rPr>
          <w:rFonts w:ascii="Times New Roman" w:hAnsi="Times New Roman" w:cs="Times New Roman"/>
          <w:sz w:val="24"/>
          <w:szCs w:val="24"/>
        </w:rPr>
        <w:t>При определении цены этим методом происходит сопоставление двух показателей рентабельности:</w:t>
      </w:r>
      <w:r w:rsidR="00872737" w:rsidRPr="009761E8">
        <w:rPr>
          <w:rFonts w:ascii="Times New Roman" w:hAnsi="Times New Roman" w:cs="Times New Roman"/>
          <w:sz w:val="24"/>
          <w:szCs w:val="24"/>
        </w:rPr>
        <w:t xml:space="preserve"> операционной</w:t>
      </w:r>
      <w:r w:rsidR="00E510D5" w:rsidRPr="009761E8">
        <w:rPr>
          <w:rFonts w:ascii="Times New Roman" w:hAnsi="Times New Roman" w:cs="Times New Roman"/>
          <w:sz w:val="24"/>
          <w:szCs w:val="24"/>
        </w:rPr>
        <w:t xml:space="preserve"> рентабельности со стороны анализируемого лица сделки и рыночного интервала</w:t>
      </w:r>
      <w:r w:rsidR="00872737" w:rsidRPr="009761E8">
        <w:rPr>
          <w:rFonts w:ascii="Times New Roman" w:hAnsi="Times New Roman" w:cs="Times New Roman"/>
          <w:sz w:val="24"/>
          <w:szCs w:val="24"/>
        </w:rPr>
        <w:t xml:space="preserve"> операционно</w:t>
      </w:r>
      <w:r w:rsidR="00E510D5" w:rsidRPr="009761E8">
        <w:rPr>
          <w:rFonts w:ascii="Times New Roman" w:hAnsi="Times New Roman" w:cs="Times New Roman"/>
          <w:sz w:val="24"/>
          <w:szCs w:val="24"/>
        </w:rPr>
        <w:t xml:space="preserve">й рентабельности в </w:t>
      </w:r>
      <w:r w:rsidR="00872737" w:rsidRPr="009761E8">
        <w:rPr>
          <w:rFonts w:ascii="Times New Roman" w:hAnsi="Times New Roman" w:cs="Times New Roman"/>
          <w:sz w:val="24"/>
          <w:szCs w:val="24"/>
        </w:rPr>
        <w:t xml:space="preserve">сделках, </w:t>
      </w:r>
      <w:r w:rsidR="00E510D5" w:rsidRPr="009761E8">
        <w:rPr>
          <w:rFonts w:ascii="Times New Roman" w:hAnsi="Times New Roman" w:cs="Times New Roman"/>
          <w:sz w:val="24"/>
          <w:szCs w:val="24"/>
        </w:rPr>
        <w:t>которые признаны сопоставимыми</w:t>
      </w:r>
      <w:r w:rsidR="00BE412F" w:rsidRPr="009761E8">
        <w:rPr>
          <w:rFonts w:ascii="Times New Roman" w:hAnsi="Times New Roman" w:cs="Times New Roman"/>
          <w:sz w:val="24"/>
          <w:szCs w:val="24"/>
        </w:rPr>
        <w:t xml:space="preserve">.  </w:t>
      </w:r>
      <w:r w:rsidR="00872737" w:rsidRPr="009761E8">
        <w:rPr>
          <w:rFonts w:ascii="Times New Roman" w:hAnsi="Times New Roman" w:cs="Times New Roman"/>
          <w:sz w:val="24"/>
          <w:szCs w:val="24"/>
        </w:rPr>
        <w:t xml:space="preserve">При </w:t>
      </w:r>
      <w:r w:rsidR="00E510D5" w:rsidRPr="009761E8">
        <w:rPr>
          <w:rFonts w:ascii="Times New Roman" w:hAnsi="Times New Roman" w:cs="Times New Roman"/>
          <w:sz w:val="24"/>
          <w:szCs w:val="24"/>
        </w:rPr>
        <w:t>применении рассматриваемого</w:t>
      </w:r>
      <w:r w:rsidR="00872737" w:rsidRPr="009761E8">
        <w:rPr>
          <w:rFonts w:ascii="Times New Roman" w:hAnsi="Times New Roman" w:cs="Times New Roman"/>
          <w:sz w:val="24"/>
          <w:szCs w:val="24"/>
        </w:rPr>
        <w:t xml:space="preserve"> метода </w:t>
      </w:r>
      <w:r w:rsidR="00E510D5" w:rsidRPr="009761E8">
        <w:rPr>
          <w:rFonts w:ascii="Times New Roman" w:hAnsi="Times New Roman" w:cs="Times New Roman"/>
          <w:sz w:val="24"/>
          <w:szCs w:val="24"/>
        </w:rPr>
        <w:t xml:space="preserve">необходимо выбрать, какой показатель операционной рентабельности будет использоваться: рентабельность продаж, затрат, коммерческих и управленческих расходов или же активов. Как правило, выбор зависит от таких факторов, как вид деятельности, которым занимается фирма, активы, используемые для ее осуществления, риски, принимаемые в процессе функционирования на рынке. Одним словом, </w:t>
      </w:r>
      <w:r w:rsidR="00BE412F" w:rsidRPr="009761E8">
        <w:rPr>
          <w:rFonts w:ascii="Times New Roman" w:hAnsi="Times New Roman" w:cs="Times New Roman"/>
          <w:sz w:val="24"/>
          <w:szCs w:val="24"/>
        </w:rPr>
        <w:t>показатель операционной рентабельности</w:t>
      </w:r>
      <w:r w:rsidR="00E510D5" w:rsidRPr="009761E8">
        <w:rPr>
          <w:rFonts w:ascii="Times New Roman" w:hAnsi="Times New Roman" w:cs="Times New Roman"/>
          <w:sz w:val="24"/>
          <w:szCs w:val="24"/>
        </w:rPr>
        <w:t xml:space="preserve"> </w:t>
      </w:r>
      <w:r w:rsidR="00BE412F" w:rsidRPr="009761E8">
        <w:rPr>
          <w:rFonts w:ascii="Times New Roman" w:hAnsi="Times New Roman" w:cs="Times New Roman"/>
          <w:sz w:val="24"/>
          <w:szCs w:val="24"/>
        </w:rPr>
        <w:t>зависит</w:t>
      </w:r>
      <w:r w:rsidR="00872737" w:rsidRPr="009761E8">
        <w:rPr>
          <w:rFonts w:ascii="Times New Roman" w:hAnsi="Times New Roman" w:cs="Times New Roman"/>
          <w:sz w:val="24"/>
          <w:szCs w:val="24"/>
        </w:rPr>
        <w:t xml:space="preserve"> экономической </w:t>
      </w:r>
      <w:r w:rsidR="00BE412F" w:rsidRPr="009761E8">
        <w:rPr>
          <w:rFonts w:ascii="Times New Roman" w:hAnsi="Times New Roman" w:cs="Times New Roman"/>
          <w:sz w:val="24"/>
          <w:szCs w:val="24"/>
        </w:rPr>
        <w:t xml:space="preserve">сущности сделки. В последствии он </w:t>
      </w:r>
      <w:r w:rsidR="00872737" w:rsidRPr="009761E8">
        <w:rPr>
          <w:rFonts w:ascii="Times New Roman" w:hAnsi="Times New Roman" w:cs="Times New Roman"/>
          <w:sz w:val="24"/>
          <w:szCs w:val="24"/>
        </w:rPr>
        <w:t xml:space="preserve">сравнивается с рыночным интервалом рентабельности. </w:t>
      </w:r>
      <w:r w:rsidR="00BE412F" w:rsidRPr="009761E8">
        <w:rPr>
          <w:rFonts w:ascii="Times New Roman" w:hAnsi="Times New Roman" w:cs="Times New Roman"/>
          <w:sz w:val="24"/>
          <w:szCs w:val="24"/>
        </w:rPr>
        <w:t>Стоит заметить, что сопоставление рыночного интервала происходит с показателем рентабельности стороны сделки, которая осуществляет меньшее количество функций, несет минимальные риски по сделке, не обладает нематериальными активами, которые могут существенно повлиять на рентабельность.</w:t>
      </w:r>
    </w:p>
    <w:p w:rsidR="00185E7E" w:rsidRPr="00185E7E" w:rsidRDefault="00185E7E" w:rsidP="00185E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4. Компания, </w:t>
      </w:r>
      <w:r w:rsidRPr="00185E7E">
        <w:rPr>
          <w:rFonts w:ascii="Times New Roman" w:hAnsi="Times New Roman" w:cs="Times New Roman"/>
          <w:sz w:val="24"/>
          <w:szCs w:val="24"/>
        </w:rPr>
        <w:t xml:space="preserve">которая </w:t>
      </w:r>
      <w:r>
        <w:rPr>
          <w:rFonts w:ascii="Times New Roman" w:hAnsi="Times New Roman" w:cs="Times New Roman"/>
          <w:sz w:val="24"/>
          <w:szCs w:val="24"/>
        </w:rPr>
        <w:t>использует</w:t>
      </w:r>
      <w:r w:rsidRPr="00185E7E">
        <w:rPr>
          <w:rFonts w:ascii="Times New Roman" w:hAnsi="Times New Roman" w:cs="Times New Roman"/>
          <w:sz w:val="24"/>
          <w:szCs w:val="24"/>
        </w:rPr>
        <w:t xml:space="preserve"> общий режим налогообложения, </w:t>
      </w:r>
      <w:r>
        <w:rPr>
          <w:rFonts w:ascii="Times New Roman" w:hAnsi="Times New Roman" w:cs="Times New Roman"/>
          <w:sz w:val="24"/>
          <w:szCs w:val="24"/>
        </w:rPr>
        <w:t xml:space="preserve">занимается сдачей в </w:t>
      </w:r>
      <w:r w:rsidRPr="00185E7E">
        <w:rPr>
          <w:rFonts w:ascii="Times New Roman" w:hAnsi="Times New Roman" w:cs="Times New Roman"/>
          <w:sz w:val="24"/>
          <w:szCs w:val="24"/>
        </w:rPr>
        <w:t xml:space="preserve">аренду </w:t>
      </w:r>
      <w:r>
        <w:rPr>
          <w:rFonts w:ascii="Times New Roman" w:hAnsi="Times New Roman" w:cs="Times New Roman"/>
          <w:sz w:val="24"/>
          <w:szCs w:val="24"/>
        </w:rPr>
        <w:t>коммерческих помещений взаимозависимым организациям</w:t>
      </w:r>
      <w:r w:rsidRPr="00185E7E">
        <w:rPr>
          <w:rFonts w:ascii="Times New Roman" w:hAnsi="Times New Roman" w:cs="Times New Roman"/>
          <w:sz w:val="24"/>
          <w:szCs w:val="24"/>
        </w:rPr>
        <w:t xml:space="preserve">, </w:t>
      </w:r>
      <w:r>
        <w:rPr>
          <w:rFonts w:ascii="Times New Roman" w:hAnsi="Times New Roman" w:cs="Times New Roman"/>
          <w:sz w:val="24"/>
          <w:szCs w:val="24"/>
        </w:rPr>
        <w:t>которые наход</w:t>
      </w:r>
      <w:r w:rsidRPr="00185E7E">
        <w:rPr>
          <w:rFonts w:ascii="Times New Roman" w:hAnsi="Times New Roman" w:cs="Times New Roman"/>
          <w:sz w:val="24"/>
          <w:szCs w:val="24"/>
        </w:rPr>
        <w:t>я</w:t>
      </w:r>
      <w:r>
        <w:rPr>
          <w:rFonts w:ascii="Times New Roman" w:hAnsi="Times New Roman" w:cs="Times New Roman"/>
          <w:sz w:val="24"/>
          <w:szCs w:val="24"/>
        </w:rPr>
        <w:t>тся</w:t>
      </w:r>
      <w:r w:rsidRPr="00185E7E">
        <w:rPr>
          <w:rFonts w:ascii="Times New Roman" w:hAnsi="Times New Roman" w:cs="Times New Roman"/>
          <w:sz w:val="24"/>
          <w:szCs w:val="24"/>
        </w:rPr>
        <w:t xml:space="preserve"> на упрощенной системе нал</w:t>
      </w:r>
      <w:r>
        <w:rPr>
          <w:rFonts w:ascii="Times New Roman" w:hAnsi="Times New Roman" w:cs="Times New Roman"/>
          <w:sz w:val="24"/>
          <w:szCs w:val="24"/>
        </w:rPr>
        <w:t xml:space="preserve">огообложения. Более того, арендодатель занимается оптовой торговлей. </w:t>
      </w:r>
      <w:r w:rsidRPr="00185E7E">
        <w:rPr>
          <w:rFonts w:ascii="Times New Roman" w:hAnsi="Times New Roman" w:cs="Times New Roman"/>
          <w:sz w:val="24"/>
          <w:szCs w:val="24"/>
        </w:rPr>
        <w:t xml:space="preserve">У </w:t>
      </w:r>
      <w:r w:rsidR="002B705A">
        <w:rPr>
          <w:rFonts w:ascii="Times New Roman" w:hAnsi="Times New Roman" w:cs="Times New Roman"/>
          <w:sz w:val="24"/>
          <w:szCs w:val="24"/>
        </w:rPr>
        <w:t xml:space="preserve">представителей ФНС имеются </w:t>
      </w:r>
      <w:r w:rsidRPr="00185E7E">
        <w:rPr>
          <w:rFonts w:ascii="Times New Roman" w:hAnsi="Times New Roman" w:cs="Times New Roman"/>
          <w:sz w:val="24"/>
          <w:szCs w:val="24"/>
        </w:rPr>
        <w:t>данные</w:t>
      </w:r>
      <w:r w:rsidR="00C604DD">
        <w:rPr>
          <w:rFonts w:ascii="Times New Roman" w:hAnsi="Times New Roman" w:cs="Times New Roman"/>
          <w:sz w:val="24"/>
          <w:szCs w:val="24"/>
        </w:rPr>
        <w:t xml:space="preserve"> </w:t>
      </w:r>
      <w:r w:rsidR="002B705A">
        <w:rPr>
          <w:rFonts w:ascii="Times New Roman" w:hAnsi="Times New Roman" w:cs="Times New Roman"/>
          <w:sz w:val="24"/>
          <w:szCs w:val="24"/>
        </w:rPr>
        <w:t xml:space="preserve">финансовых отчетов четырех компаний, </w:t>
      </w:r>
      <w:r w:rsidR="00C604DD">
        <w:rPr>
          <w:rFonts w:ascii="Times New Roman" w:hAnsi="Times New Roman" w:cs="Times New Roman"/>
          <w:sz w:val="24"/>
          <w:szCs w:val="24"/>
        </w:rPr>
        <w:t>основная деятельность которых - сдача</w:t>
      </w:r>
      <w:r w:rsidR="002B705A">
        <w:rPr>
          <w:rFonts w:ascii="Times New Roman" w:hAnsi="Times New Roman" w:cs="Times New Roman"/>
          <w:sz w:val="24"/>
          <w:szCs w:val="24"/>
        </w:rPr>
        <w:t xml:space="preserve"> недвижимости в аренду, то есть их деятельность осуществляется</w:t>
      </w:r>
      <w:r w:rsidRPr="00185E7E">
        <w:rPr>
          <w:rFonts w:ascii="Times New Roman" w:hAnsi="Times New Roman" w:cs="Times New Roman"/>
          <w:sz w:val="24"/>
          <w:szCs w:val="24"/>
        </w:rPr>
        <w:t xml:space="preserve"> в сопоставимых условиях. </w:t>
      </w:r>
      <w:r w:rsidR="002B705A">
        <w:rPr>
          <w:rFonts w:ascii="Times New Roman" w:hAnsi="Times New Roman" w:cs="Times New Roman"/>
          <w:sz w:val="24"/>
          <w:szCs w:val="24"/>
        </w:rPr>
        <w:t xml:space="preserve">При использовании </w:t>
      </w:r>
      <w:r w:rsidRPr="00185E7E">
        <w:rPr>
          <w:rFonts w:ascii="Times New Roman" w:hAnsi="Times New Roman" w:cs="Times New Roman"/>
          <w:sz w:val="24"/>
          <w:szCs w:val="24"/>
        </w:rPr>
        <w:t>метод</w:t>
      </w:r>
      <w:r w:rsidR="002B705A">
        <w:rPr>
          <w:rFonts w:ascii="Times New Roman" w:hAnsi="Times New Roman" w:cs="Times New Roman"/>
          <w:sz w:val="24"/>
          <w:szCs w:val="24"/>
        </w:rPr>
        <w:t>а сопоставимой рентабельности в</w:t>
      </w:r>
      <w:r w:rsidRPr="00185E7E">
        <w:rPr>
          <w:rFonts w:ascii="Times New Roman" w:hAnsi="Times New Roman" w:cs="Times New Roman"/>
          <w:sz w:val="24"/>
          <w:szCs w:val="24"/>
        </w:rPr>
        <w:t xml:space="preserve"> качестве сопоставляемых с рын</w:t>
      </w:r>
      <w:r w:rsidR="002B705A">
        <w:rPr>
          <w:rFonts w:ascii="Times New Roman" w:hAnsi="Times New Roman" w:cs="Times New Roman"/>
          <w:sz w:val="24"/>
          <w:szCs w:val="24"/>
        </w:rPr>
        <w:t xml:space="preserve">очным интервалом рентабельности </w:t>
      </w:r>
      <w:r w:rsidRPr="00185E7E">
        <w:rPr>
          <w:rFonts w:ascii="Times New Roman" w:hAnsi="Times New Roman" w:cs="Times New Roman"/>
          <w:sz w:val="24"/>
          <w:szCs w:val="24"/>
        </w:rPr>
        <w:t>использованы по</w:t>
      </w:r>
      <w:r w:rsidR="00C604DD">
        <w:rPr>
          <w:rFonts w:ascii="Times New Roman" w:hAnsi="Times New Roman" w:cs="Times New Roman"/>
          <w:sz w:val="24"/>
          <w:szCs w:val="24"/>
        </w:rPr>
        <w:t xml:space="preserve">казатели рентабельности затрат (рентабельность затрат </w:t>
      </w:r>
      <w:r w:rsidR="001200D8">
        <w:rPr>
          <w:rFonts w:ascii="Times New Roman" w:hAnsi="Times New Roman" w:cs="Times New Roman"/>
          <w:sz w:val="24"/>
          <w:szCs w:val="24"/>
        </w:rPr>
        <w:t>определяется</w:t>
      </w:r>
      <w:r w:rsidR="00C604DD">
        <w:rPr>
          <w:rFonts w:ascii="Times New Roman" w:hAnsi="Times New Roman" w:cs="Times New Roman"/>
          <w:sz w:val="24"/>
          <w:szCs w:val="24"/>
        </w:rPr>
        <w:t xml:space="preserve"> ка</w:t>
      </w:r>
      <w:r w:rsidR="001200D8">
        <w:rPr>
          <w:rFonts w:ascii="Times New Roman" w:hAnsi="Times New Roman" w:cs="Times New Roman"/>
          <w:sz w:val="24"/>
          <w:szCs w:val="24"/>
        </w:rPr>
        <w:t>к отношение прибыли от продаж к сумме</w:t>
      </w:r>
      <w:r w:rsidR="00C604DD">
        <w:rPr>
          <w:rFonts w:ascii="Times New Roman" w:hAnsi="Times New Roman" w:cs="Times New Roman"/>
          <w:sz w:val="24"/>
          <w:szCs w:val="24"/>
        </w:rPr>
        <w:t xml:space="preserve"> </w:t>
      </w:r>
      <w:r w:rsidRPr="00185E7E">
        <w:rPr>
          <w:rFonts w:ascii="Times New Roman" w:hAnsi="Times New Roman" w:cs="Times New Roman"/>
          <w:sz w:val="24"/>
          <w:szCs w:val="24"/>
        </w:rPr>
        <w:t>себестоимости реализованных</w:t>
      </w:r>
    </w:p>
    <w:p w:rsidR="00185E7E" w:rsidRPr="00185E7E" w:rsidRDefault="00185E7E" w:rsidP="009B5C45">
      <w:pPr>
        <w:spacing w:after="0" w:line="360" w:lineRule="auto"/>
        <w:jc w:val="both"/>
        <w:rPr>
          <w:rFonts w:ascii="Times New Roman" w:hAnsi="Times New Roman" w:cs="Times New Roman"/>
          <w:sz w:val="24"/>
          <w:szCs w:val="24"/>
        </w:rPr>
      </w:pPr>
      <w:r w:rsidRPr="00185E7E">
        <w:rPr>
          <w:rFonts w:ascii="Times New Roman" w:hAnsi="Times New Roman" w:cs="Times New Roman"/>
          <w:sz w:val="24"/>
          <w:szCs w:val="24"/>
        </w:rPr>
        <w:t>услуг, а также коммерческих и управленческих расходов, со</w:t>
      </w:r>
      <w:r w:rsidR="00C604DD">
        <w:rPr>
          <w:rFonts w:ascii="Times New Roman" w:hAnsi="Times New Roman" w:cs="Times New Roman"/>
          <w:sz w:val="24"/>
          <w:szCs w:val="24"/>
        </w:rPr>
        <w:t xml:space="preserve">путствующих процессу реализации). </w:t>
      </w:r>
      <w:r w:rsidRPr="00185E7E">
        <w:rPr>
          <w:rFonts w:ascii="Times New Roman" w:hAnsi="Times New Roman" w:cs="Times New Roman"/>
          <w:sz w:val="24"/>
          <w:szCs w:val="24"/>
        </w:rPr>
        <w:t>Выручка организации, составляющая 5% и более от общей суммы доходов организации за отчетный (налоговый)</w:t>
      </w:r>
      <w:r w:rsidR="00C604DD">
        <w:rPr>
          <w:rFonts w:ascii="Times New Roman" w:hAnsi="Times New Roman" w:cs="Times New Roman"/>
          <w:sz w:val="24"/>
          <w:szCs w:val="24"/>
        </w:rPr>
        <w:t xml:space="preserve"> </w:t>
      </w:r>
      <w:r w:rsidRPr="00185E7E">
        <w:rPr>
          <w:rFonts w:ascii="Times New Roman" w:hAnsi="Times New Roman" w:cs="Times New Roman"/>
          <w:sz w:val="24"/>
          <w:szCs w:val="24"/>
        </w:rPr>
        <w:t xml:space="preserve">период, </w:t>
      </w:r>
      <w:r w:rsidR="00C604DD">
        <w:rPr>
          <w:rFonts w:ascii="Times New Roman" w:hAnsi="Times New Roman" w:cs="Times New Roman"/>
          <w:sz w:val="24"/>
          <w:szCs w:val="24"/>
        </w:rPr>
        <w:t>отражается</w:t>
      </w:r>
      <w:r w:rsidRPr="00185E7E">
        <w:rPr>
          <w:rFonts w:ascii="Times New Roman" w:hAnsi="Times New Roman" w:cs="Times New Roman"/>
          <w:sz w:val="24"/>
          <w:szCs w:val="24"/>
        </w:rPr>
        <w:t xml:space="preserve"> в финансовой отчетности по каждому виду в отдельности. Симметричное правило существует и для</w:t>
      </w:r>
      <w:r w:rsidR="00C604DD">
        <w:rPr>
          <w:rFonts w:ascii="Times New Roman" w:hAnsi="Times New Roman" w:cs="Times New Roman"/>
          <w:sz w:val="24"/>
          <w:szCs w:val="24"/>
        </w:rPr>
        <w:t xml:space="preserve"> </w:t>
      </w:r>
      <w:r w:rsidRPr="00185E7E">
        <w:rPr>
          <w:rFonts w:ascii="Times New Roman" w:hAnsi="Times New Roman" w:cs="Times New Roman"/>
          <w:sz w:val="24"/>
          <w:szCs w:val="24"/>
        </w:rPr>
        <w:t>отражения в финансовой отчетности расходов: при выделении в отчете о финансовых результатах величины доходов,</w:t>
      </w:r>
      <w:r w:rsidR="00C604DD">
        <w:rPr>
          <w:rFonts w:ascii="Times New Roman" w:hAnsi="Times New Roman" w:cs="Times New Roman"/>
          <w:sz w:val="24"/>
          <w:szCs w:val="24"/>
        </w:rPr>
        <w:t xml:space="preserve"> </w:t>
      </w:r>
      <w:r w:rsidRPr="00185E7E">
        <w:rPr>
          <w:rFonts w:ascii="Times New Roman" w:hAnsi="Times New Roman" w:cs="Times New Roman"/>
          <w:sz w:val="24"/>
          <w:szCs w:val="24"/>
        </w:rPr>
        <w:t>каждая из которых сама по себе составляет 5% и более общей суммы доходов организации за отчетный год, в нем</w:t>
      </w:r>
      <w:r w:rsidR="00C604DD">
        <w:rPr>
          <w:rFonts w:ascii="Times New Roman" w:hAnsi="Times New Roman" w:cs="Times New Roman"/>
          <w:sz w:val="24"/>
          <w:szCs w:val="24"/>
        </w:rPr>
        <w:t xml:space="preserve"> о</w:t>
      </w:r>
      <w:r w:rsidRPr="00185E7E">
        <w:rPr>
          <w:rFonts w:ascii="Times New Roman" w:hAnsi="Times New Roman" w:cs="Times New Roman"/>
          <w:sz w:val="24"/>
          <w:szCs w:val="24"/>
        </w:rPr>
        <w:t>тражается соответствующая каждому виду часть расходов.</w:t>
      </w:r>
    </w:p>
    <w:p w:rsidR="00185E7E" w:rsidRPr="00185E7E" w:rsidRDefault="001200D8" w:rsidP="009B5C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85E7E" w:rsidRPr="00185E7E">
        <w:rPr>
          <w:rFonts w:ascii="Times New Roman" w:hAnsi="Times New Roman" w:cs="Times New Roman"/>
          <w:sz w:val="24"/>
          <w:szCs w:val="24"/>
        </w:rPr>
        <w:t>В целях расчета показателей рентабельности необходимо использовать следующие показатели: выруч</w:t>
      </w:r>
      <w:r w:rsidR="00066B96">
        <w:rPr>
          <w:rFonts w:ascii="Times New Roman" w:hAnsi="Times New Roman" w:cs="Times New Roman"/>
          <w:sz w:val="24"/>
          <w:szCs w:val="24"/>
        </w:rPr>
        <w:t xml:space="preserve">ка от сдачи имущества в аренду, </w:t>
      </w:r>
      <w:r w:rsidR="00185E7E" w:rsidRPr="00185E7E">
        <w:rPr>
          <w:rFonts w:ascii="Times New Roman" w:hAnsi="Times New Roman" w:cs="Times New Roman"/>
          <w:sz w:val="24"/>
          <w:szCs w:val="24"/>
        </w:rPr>
        <w:t>себестоимость продаж в части оказания</w:t>
      </w:r>
    </w:p>
    <w:p w:rsidR="008979F8" w:rsidRPr="00066B96" w:rsidRDefault="00066B96" w:rsidP="00066B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услуг, а также</w:t>
      </w:r>
      <w:r w:rsidR="00185E7E" w:rsidRPr="00185E7E">
        <w:rPr>
          <w:rFonts w:ascii="Times New Roman" w:hAnsi="Times New Roman" w:cs="Times New Roman"/>
          <w:sz w:val="24"/>
          <w:szCs w:val="24"/>
        </w:rPr>
        <w:t xml:space="preserve"> управленческие расходы. При этом показатель управленческих расходов, сопутствующих выручке от оказания услуг,</w:t>
      </w:r>
      <w:r w:rsidR="00C604DD">
        <w:rPr>
          <w:rFonts w:ascii="Times New Roman" w:hAnsi="Times New Roman" w:cs="Times New Roman"/>
          <w:sz w:val="24"/>
          <w:szCs w:val="24"/>
        </w:rPr>
        <w:t xml:space="preserve"> </w:t>
      </w:r>
      <w:r w:rsidR="00185E7E" w:rsidRPr="00185E7E">
        <w:rPr>
          <w:rFonts w:ascii="Times New Roman" w:hAnsi="Times New Roman" w:cs="Times New Roman"/>
          <w:sz w:val="24"/>
          <w:szCs w:val="24"/>
        </w:rPr>
        <w:t>найден расчетным путем. Показатель "коммерческие расходы" в расчет не был принят, так как указанные расходы связаны</w:t>
      </w:r>
      <w:r w:rsidR="00C604DD">
        <w:rPr>
          <w:rFonts w:ascii="Times New Roman" w:hAnsi="Times New Roman" w:cs="Times New Roman"/>
          <w:sz w:val="24"/>
          <w:szCs w:val="24"/>
        </w:rPr>
        <w:t xml:space="preserve"> </w:t>
      </w:r>
      <w:r w:rsidR="00185E7E" w:rsidRPr="00185E7E">
        <w:rPr>
          <w:rFonts w:ascii="Times New Roman" w:hAnsi="Times New Roman" w:cs="Times New Roman"/>
          <w:sz w:val="24"/>
          <w:szCs w:val="24"/>
        </w:rPr>
        <w:t>только с торговыми операциями и затратами на продажу про</w:t>
      </w:r>
      <w:r w:rsidR="00C604DD">
        <w:rPr>
          <w:rFonts w:ascii="Times New Roman" w:hAnsi="Times New Roman" w:cs="Times New Roman"/>
          <w:sz w:val="24"/>
          <w:szCs w:val="24"/>
        </w:rPr>
        <w:t xml:space="preserve">изведенной продукции. </w:t>
      </w:r>
      <w:r>
        <w:rPr>
          <w:rFonts w:ascii="Times New Roman" w:hAnsi="Times New Roman" w:cs="Times New Roman"/>
          <w:sz w:val="24"/>
          <w:szCs w:val="24"/>
        </w:rPr>
        <w:t xml:space="preserve">На основе данных </w:t>
      </w:r>
      <w:r w:rsidR="0064140C">
        <w:rPr>
          <w:rFonts w:ascii="Times New Roman" w:hAnsi="Times New Roman" w:cs="Times New Roman"/>
          <w:sz w:val="24"/>
          <w:szCs w:val="24"/>
        </w:rPr>
        <w:t>Приложения 4</w:t>
      </w:r>
      <w:r>
        <w:rPr>
          <w:rFonts w:ascii="Times New Roman" w:hAnsi="Times New Roman" w:cs="Times New Roman"/>
          <w:sz w:val="24"/>
          <w:szCs w:val="24"/>
        </w:rPr>
        <w:t xml:space="preserve"> произведем </w:t>
      </w:r>
      <w:r w:rsidR="00185E7E" w:rsidRPr="00185E7E">
        <w:rPr>
          <w:rFonts w:ascii="Times New Roman" w:hAnsi="Times New Roman" w:cs="Times New Roman"/>
          <w:sz w:val="24"/>
          <w:szCs w:val="24"/>
        </w:rPr>
        <w:t>расчет рентабельности затрат</w:t>
      </w:r>
      <w:r>
        <w:rPr>
          <w:rFonts w:ascii="Times New Roman" w:hAnsi="Times New Roman" w:cs="Times New Roman"/>
          <w:sz w:val="24"/>
          <w:szCs w:val="24"/>
        </w:rPr>
        <w:t xml:space="preserve"> и найдем интервал рентабельности так же, как и в предыдущих примерах; он будет составлять</w:t>
      </w:r>
      <w:r w:rsidRPr="00066B96">
        <w:rPr>
          <w:rFonts w:ascii="Times New Roman" w:hAnsi="Times New Roman" w:cs="Times New Roman"/>
          <w:sz w:val="24"/>
          <w:szCs w:val="24"/>
        </w:rPr>
        <w:t xml:space="preserve"> [5,56</w:t>
      </w:r>
      <w:r>
        <w:rPr>
          <w:rFonts w:ascii="Times New Roman" w:hAnsi="Times New Roman" w:cs="Times New Roman"/>
          <w:sz w:val="24"/>
          <w:szCs w:val="24"/>
        </w:rPr>
        <w:t xml:space="preserve"> </w:t>
      </w:r>
      <w:r w:rsidRPr="00066B96">
        <w:rPr>
          <w:rFonts w:ascii="Times New Roman" w:hAnsi="Times New Roman" w:cs="Times New Roman"/>
          <w:sz w:val="24"/>
          <w:szCs w:val="24"/>
        </w:rPr>
        <w:t>%; 21,56</w:t>
      </w:r>
      <w:r>
        <w:rPr>
          <w:rFonts w:ascii="Times New Roman" w:hAnsi="Times New Roman" w:cs="Times New Roman"/>
          <w:sz w:val="24"/>
          <w:szCs w:val="24"/>
        </w:rPr>
        <w:t xml:space="preserve"> </w:t>
      </w:r>
      <w:r w:rsidRPr="00066B96">
        <w:rPr>
          <w:rFonts w:ascii="Times New Roman" w:hAnsi="Times New Roman" w:cs="Times New Roman"/>
          <w:sz w:val="24"/>
          <w:szCs w:val="24"/>
        </w:rPr>
        <w:t>%].</w:t>
      </w:r>
    </w:p>
    <w:p w:rsidR="00066B96" w:rsidRPr="00066B96" w:rsidRDefault="001200D8" w:rsidP="00066B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66B96">
        <w:rPr>
          <w:rFonts w:ascii="Times New Roman" w:hAnsi="Times New Roman" w:cs="Times New Roman"/>
          <w:sz w:val="24"/>
          <w:szCs w:val="24"/>
        </w:rPr>
        <w:t xml:space="preserve">Так как показатель рентабельности </w:t>
      </w:r>
      <w:r w:rsidR="00066B96" w:rsidRPr="00066B96">
        <w:rPr>
          <w:rFonts w:ascii="Times New Roman" w:hAnsi="Times New Roman" w:cs="Times New Roman"/>
          <w:sz w:val="24"/>
          <w:szCs w:val="24"/>
        </w:rPr>
        <w:t xml:space="preserve">затрат </w:t>
      </w:r>
      <w:r w:rsidR="00066B96">
        <w:rPr>
          <w:rFonts w:ascii="Times New Roman" w:hAnsi="Times New Roman" w:cs="Times New Roman"/>
          <w:sz w:val="24"/>
          <w:szCs w:val="24"/>
        </w:rPr>
        <w:t xml:space="preserve">анализируемой компании равен 2,73 % и не попадает в рассчитанный интервал, то </w:t>
      </w:r>
      <w:r w:rsidR="00066B96" w:rsidRPr="00066B96">
        <w:rPr>
          <w:rFonts w:ascii="Times New Roman" w:hAnsi="Times New Roman" w:cs="Times New Roman"/>
          <w:sz w:val="24"/>
          <w:szCs w:val="24"/>
        </w:rPr>
        <w:t xml:space="preserve">доходы этой организации </w:t>
      </w:r>
      <w:r w:rsidR="00066B96">
        <w:rPr>
          <w:rFonts w:ascii="Times New Roman" w:hAnsi="Times New Roman" w:cs="Times New Roman"/>
          <w:sz w:val="24"/>
          <w:szCs w:val="24"/>
        </w:rPr>
        <w:t xml:space="preserve">подлежат пересчету </w:t>
      </w:r>
      <w:r w:rsidR="00066B96" w:rsidRPr="00066B96">
        <w:rPr>
          <w:rFonts w:ascii="Times New Roman" w:hAnsi="Times New Roman" w:cs="Times New Roman"/>
          <w:sz w:val="24"/>
          <w:szCs w:val="24"/>
        </w:rPr>
        <w:t>на основе величины рентабельности затрат,</w:t>
      </w:r>
      <w:r w:rsidR="00066B96">
        <w:rPr>
          <w:rFonts w:ascii="Times New Roman" w:hAnsi="Times New Roman" w:cs="Times New Roman"/>
          <w:sz w:val="24"/>
          <w:szCs w:val="24"/>
        </w:rPr>
        <w:t xml:space="preserve"> которая составляет</w:t>
      </w:r>
      <w:r w:rsidR="00066B96" w:rsidRPr="00066B96">
        <w:rPr>
          <w:rFonts w:ascii="Times New Roman" w:hAnsi="Times New Roman" w:cs="Times New Roman"/>
          <w:sz w:val="24"/>
          <w:szCs w:val="24"/>
        </w:rPr>
        <w:t xml:space="preserve"> 5,56</w:t>
      </w:r>
      <w:r w:rsidR="00066B96">
        <w:rPr>
          <w:rFonts w:ascii="Times New Roman" w:hAnsi="Times New Roman" w:cs="Times New Roman"/>
          <w:sz w:val="24"/>
          <w:szCs w:val="24"/>
        </w:rPr>
        <w:t xml:space="preserve"> </w:t>
      </w:r>
      <w:r w:rsidR="00066B96" w:rsidRPr="00066B96">
        <w:rPr>
          <w:rFonts w:ascii="Times New Roman" w:hAnsi="Times New Roman" w:cs="Times New Roman"/>
          <w:sz w:val="24"/>
          <w:szCs w:val="24"/>
        </w:rPr>
        <w:t xml:space="preserve">%. </w:t>
      </w:r>
      <w:r>
        <w:rPr>
          <w:rFonts w:ascii="Times New Roman" w:hAnsi="Times New Roman" w:cs="Times New Roman"/>
          <w:sz w:val="24"/>
          <w:szCs w:val="24"/>
        </w:rPr>
        <w:t>В силу того, что рассматриваемая компания</w:t>
      </w:r>
      <w:r w:rsidR="00066B96" w:rsidRPr="00066B96">
        <w:rPr>
          <w:rFonts w:ascii="Times New Roman" w:hAnsi="Times New Roman" w:cs="Times New Roman"/>
          <w:sz w:val="24"/>
          <w:szCs w:val="24"/>
        </w:rPr>
        <w:t xml:space="preserve"> сдает офисы в аренду </w:t>
      </w:r>
      <w:r>
        <w:rPr>
          <w:rFonts w:ascii="Times New Roman" w:hAnsi="Times New Roman" w:cs="Times New Roman"/>
          <w:sz w:val="24"/>
          <w:szCs w:val="24"/>
        </w:rPr>
        <w:t>исключительно взаимозависимым лицам</w:t>
      </w:r>
      <w:r w:rsidR="00066B96" w:rsidRPr="00066B96">
        <w:rPr>
          <w:rFonts w:ascii="Times New Roman" w:hAnsi="Times New Roman" w:cs="Times New Roman"/>
          <w:sz w:val="24"/>
          <w:szCs w:val="24"/>
        </w:rPr>
        <w:t>,</w:t>
      </w:r>
      <w:r>
        <w:rPr>
          <w:rFonts w:ascii="Times New Roman" w:hAnsi="Times New Roman" w:cs="Times New Roman"/>
          <w:sz w:val="24"/>
          <w:szCs w:val="24"/>
        </w:rPr>
        <w:t xml:space="preserve"> следовательно, </w:t>
      </w:r>
      <w:r w:rsidR="00066B96" w:rsidRPr="00066B96">
        <w:rPr>
          <w:rFonts w:ascii="Times New Roman" w:hAnsi="Times New Roman" w:cs="Times New Roman"/>
          <w:sz w:val="24"/>
          <w:szCs w:val="24"/>
        </w:rPr>
        <w:t xml:space="preserve">ее доходы </w:t>
      </w:r>
      <w:r>
        <w:rPr>
          <w:rFonts w:ascii="Times New Roman" w:hAnsi="Times New Roman" w:cs="Times New Roman"/>
          <w:sz w:val="24"/>
          <w:szCs w:val="24"/>
        </w:rPr>
        <w:t>будут рассчитываться следующим образом</w:t>
      </w:r>
      <w:r w:rsidR="00066B96" w:rsidRPr="00066B96">
        <w:rPr>
          <w:rFonts w:ascii="Times New Roman" w:hAnsi="Times New Roman" w:cs="Times New Roman"/>
          <w:sz w:val="24"/>
          <w:szCs w:val="24"/>
        </w:rPr>
        <w:t>: (75 000 + 12</w:t>
      </w:r>
      <w:r>
        <w:rPr>
          <w:rFonts w:ascii="Times New Roman" w:hAnsi="Times New Roman" w:cs="Times New Roman"/>
          <w:sz w:val="24"/>
          <w:szCs w:val="24"/>
        </w:rPr>
        <w:t xml:space="preserve"> </w:t>
      </w:r>
      <w:r w:rsidR="00066B96" w:rsidRPr="00066B96">
        <w:rPr>
          <w:rFonts w:ascii="Times New Roman" w:hAnsi="Times New Roman" w:cs="Times New Roman"/>
          <w:sz w:val="24"/>
          <w:szCs w:val="24"/>
        </w:rPr>
        <w:t>900) x 1,0556 = 92 787 (тыс. руб.).</w:t>
      </w:r>
    </w:p>
    <w:p w:rsidR="00BE412F" w:rsidRPr="009761E8" w:rsidRDefault="001200D8"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66B96" w:rsidRPr="00066B96">
        <w:rPr>
          <w:rFonts w:ascii="Times New Roman" w:hAnsi="Times New Roman" w:cs="Times New Roman"/>
          <w:sz w:val="24"/>
          <w:szCs w:val="24"/>
        </w:rPr>
        <w:t>Разница между фактическими доходами от сдачи офисов в аренду, отраженн</w:t>
      </w:r>
      <w:r>
        <w:rPr>
          <w:rFonts w:ascii="Times New Roman" w:hAnsi="Times New Roman" w:cs="Times New Roman"/>
          <w:sz w:val="24"/>
          <w:szCs w:val="24"/>
        </w:rPr>
        <w:t xml:space="preserve">ыми в бухгалтерской и налоговой </w:t>
      </w:r>
      <w:r w:rsidR="00066B96" w:rsidRPr="00066B96">
        <w:rPr>
          <w:rFonts w:ascii="Times New Roman" w:hAnsi="Times New Roman" w:cs="Times New Roman"/>
          <w:sz w:val="24"/>
          <w:szCs w:val="24"/>
        </w:rPr>
        <w:t xml:space="preserve">отчетности, и доходами, рассчитанными по рыночным ценам, равна 2487 тыс. руб. (92 787 - 90 300). </w:t>
      </w:r>
      <w:r>
        <w:rPr>
          <w:rFonts w:ascii="Times New Roman" w:hAnsi="Times New Roman" w:cs="Times New Roman"/>
          <w:sz w:val="24"/>
          <w:szCs w:val="24"/>
        </w:rPr>
        <w:t>На основе этого налоговая база</w:t>
      </w:r>
      <w:r w:rsidR="00066B96" w:rsidRPr="00066B96">
        <w:rPr>
          <w:rFonts w:ascii="Times New Roman" w:hAnsi="Times New Roman" w:cs="Times New Roman"/>
          <w:sz w:val="24"/>
          <w:szCs w:val="24"/>
        </w:rPr>
        <w:t xml:space="preserve"> по НПО и НДС </w:t>
      </w:r>
      <w:r>
        <w:rPr>
          <w:rFonts w:ascii="Times New Roman" w:hAnsi="Times New Roman" w:cs="Times New Roman"/>
          <w:sz w:val="24"/>
          <w:szCs w:val="24"/>
        </w:rPr>
        <w:t>подлежит корректировке</w:t>
      </w:r>
      <w:r w:rsidR="00066B96" w:rsidRPr="00066B96">
        <w:rPr>
          <w:rFonts w:ascii="Times New Roman" w:hAnsi="Times New Roman" w:cs="Times New Roman"/>
          <w:sz w:val="24"/>
          <w:szCs w:val="24"/>
        </w:rPr>
        <w:t>.</w:t>
      </w:r>
      <w:r w:rsidR="00066B96" w:rsidRPr="00066B96">
        <w:rPr>
          <w:rFonts w:ascii="Times New Roman" w:hAnsi="Times New Roman" w:cs="Times New Roman"/>
          <w:sz w:val="24"/>
          <w:szCs w:val="24"/>
        </w:rPr>
        <w:cr/>
      </w:r>
      <w:r>
        <w:rPr>
          <w:rFonts w:ascii="Times New Roman" w:hAnsi="Times New Roman" w:cs="Times New Roman"/>
          <w:sz w:val="24"/>
          <w:szCs w:val="24"/>
        </w:rPr>
        <w:tab/>
      </w:r>
      <w:r w:rsidR="00D91466" w:rsidRPr="009761E8">
        <w:rPr>
          <w:rFonts w:ascii="Times New Roman" w:hAnsi="Times New Roman" w:cs="Times New Roman"/>
          <w:sz w:val="24"/>
          <w:szCs w:val="24"/>
        </w:rPr>
        <w:t>Несмотря на то, что исчисление трансфертной цены происходит на основании показателей операционной рентабельности, как такового понятия НК РФ данному термину не дает. Более того, в соответствии с п. 1 ст. 105.12 НК РФ показатели рассчитываются не на основе конкретной сделки, а по результатам деятельности рассматриваемого лица, в то время как сопоставляемый интервал рентабельности определяется по сопоставимой сделке, что по своей сущности вносит определённые неясности в Закон.</w:t>
      </w:r>
    </w:p>
    <w:p w:rsidR="00872737" w:rsidRPr="009761E8" w:rsidRDefault="00872737" w:rsidP="008A2D2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5. Метод распределения прибыли</w:t>
      </w:r>
    </w:p>
    <w:p w:rsidR="00872737" w:rsidRDefault="00D91466" w:rsidP="008A2D23">
      <w:pPr>
        <w:spacing w:after="0" w:line="360" w:lineRule="auto"/>
        <w:ind w:firstLine="708"/>
        <w:jc w:val="both"/>
        <w:rPr>
          <w:rFonts w:ascii="Times New Roman" w:hAnsi="Times New Roman" w:cs="Times New Roman"/>
          <w:sz w:val="24"/>
          <w:szCs w:val="24"/>
        </w:rPr>
      </w:pPr>
      <w:r w:rsidRPr="009761E8">
        <w:rPr>
          <w:rFonts w:ascii="Times New Roman" w:hAnsi="Times New Roman" w:cs="Times New Roman"/>
          <w:sz w:val="24"/>
          <w:szCs w:val="24"/>
        </w:rPr>
        <w:t xml:space="preserve">Метод распределения прибыли, </w:t>
      </w:r>
      <w:r w:rsidR="00B02805" w:rsidRPr="009761E8">
        <w:rPr>
          <w:rFonts w:ascii="Times New Roman" w:hAnsi="Times New Roman" w:cs="Times New Roman"/>
          <w:sz w:val="24"/>
          <w:szCs w:val="24"/>
        </w:rPr>
        <w:t xml:space="preserve">несмотря на свое положение </w:t>
      </w:r>
      <w:r w:rsidRPr="009761E8">
        <w:rPr>
          <w:rFonts w:ascii="Times New Roman" w:hAnsi="Times New Roman" w:cs="Times New Roman"/>
          <w:sz w:val="24"/>
          <w:szCs w:val="24"/>
        </w:rPr>
        <w:t xml:space="preserve">в иерархии </w:t>
      </w:r>
      <w:r w:rsidR="00872737" w:rsidRPr="009761E8">
        <w:rPr>
          <w:rFonts w:ascii="Times New Roman" w:hAnsi="Times New Roman" w:cs="Times New Roman"/>
          <w:sz w:val="24"/>
          <w:szCs w:val="24"/>
        </w:rPr>
        <w:t xml:space="preserve">методов </w:t>
      </w:r>
      <w:r w:rsidRPr="009761E8">
        <w:rPr>
          <w:rFonts w:ascii="Times New Roman" w:hAnsi="Times New Roman" w:cs="Times New Roman"/>
          <w:sz w:val="24"/>
          <w:szCs w:val="24"/>
        </w:rPr>
        <w:t>ТЦО в РФ</w:t>
      </w:r>
      <w:r w:rsidR="00872737" w:rsidRPr="009761E8">
        <w:rPr>
          <w:rFonts w:ascii="Times New Roman" w:hAnsi="Times New Roman" w:cs="Times New Roman"/>
          <w:sz w:val="24"/>
          <w:szCs w:val="24"/>
        </w:rPr>
        <w:t xml:space="preserve">, </w:t>
      </w:r>
      <w:r w:rsidRPr="009761E8">
        <w:rPr>
          <w:rFonts w:ascii="Times New Roman" w:hAnsi="Times New Roman" w:cs="Times New Roman"/>
          <w:sz w:val="24"/>
          <w:szCs w:val="24"/>
        </w:rPr>
        <w:t>является наиболее востребованным в сделках, совершаемых относительно прав на нематериальные активы. Особенность под</w:t>
      </w:r>
      <w:r w:rsidR="00B02805" w:rsidRPr="009761E8">
        <w:rPr>
          <w:rFonts w:ascii="Times New Roman" w:hAnsi="Times New Roman" w:cs="Times New Roman"/>
          <w:sz w:val="24"/>
          <w:szCs w:val="24"/>
        </w:rPr>
        <w:t xml:space="preserve">обного объекта сделок состоит в </w:t>
      </w:r>
      <w:r w:rsidR="00872737" w:rsidRPr="009761E8">
        <w:rPr>
          <w:rFonts w:ascii="Times New Roman" w:hAnsi="Times New Roman" w:cs="Times New Roman"/>
          <w:sz w:val="24"/>
          <w:szCs w:val="24"/>
        </w:rPr>
        <w:t>отсутствии однородных сделок</w:t>
      </w:r>
      <w:r w:rsidR="00B02805" w:rsidRPr="009761E8">
        <w:rPr>
          <w:rFonts w:ascii="Times New Roman" w:hAnsi="Times New Roman" w:cs="Times New Roman"/>
          <w:sz w:val="24"/>
          <w:szCs w:val="24"/>
        </w:rPr>
        <w:t xml:space="preserve"> на рынке</w:t>
      </w:r>
      <w:r w:rsidR="00872737" w:rsidRPr="009761E8">
        <w:rPr>
          <w:rFonts w:ascii="Times New Roman" w:hAnsi="Times New Roman" w:cs="Times New Roman"/>
          <w:sz w:val="24"/>
          <w:szCs w:val="24"/>
        </w:rPr>
        <w:t xml:space="preserve">. </w:t>
      </w:r>
      <w:r w:rsidR="00B02805" w:rsidRPr="009761E8">
        <w:rPr>
          <w:rFonts w:ascii="Times New Roman" w:hAnsi="Times New Roman" w:cs="Times New Roman"/>
          <w:sz w:val="24"/>
          <w:szCs w:val="24"/>
        </w:rPr>
        <w:t>В соответствии со ст.</w:t>
      </w:r>
      <w:r w:rsidR="00872737" w:rsidRPr="009761E8">
        <w:rPr>
          <w:rFonts w:ascii="Times New Roman" w:hAnsi="Times New Roman" w:cs="Times New Roman"/>
          <w:sz w:val="24"/>
          <w:szCs w:val="24"/>
        </w:rPr>
        <w:t xml:space="preserve"> 105.13 НК РФ</w:t>
      </w:r>
      <w:r w:rsidR="00B02805" w:rsidRPr="009761E8">
        <w:rPr>
          <w:rFonts w:ascii="Times New Roman" w:hAnsi="Times New Roman" w:cs="Times New Roman"/>
          <w:sz w:val="24"/>
          <w:szCs w:val="24"/>
        </w:rPr>
        <w:t xml:space="preserve"> существует следующий алгоритм определения трансфертной цены при использовании рассматриваемого метода</w:t>
      </w:r>
      <w:r w:rsidR="00872737" w:rsidRPr="009761E8">
        <w:rPr>
          <w:rFonts w:ascii="Times New Roman" w:hAnsi="Times New Roman" w:cs="Times New Roman"/>
          <w:sz w:val="24"/>
          <w:szCs w:val="24"/>
        </w:rPr>
        <w:t xml:space="preserve">: </w:t>
      </w:r>
      <w:r w:rsidR="00B02805" w:rsidRPr="009761E8">
        <w:rPr>
          <w:rFonts w:ascii="Times New Roman" w:hAnsi="Times New Roman" w:cs="Times New Roman"/>
          <w:sz w:val="24"/>
          <w:szCs w:val="24"/>
        </w:rPr>
        <w:t xml:space="preserve">изначально происходит определение совокупной суммы </w:t>
      </w:r>
      <w:r w:rsidR="00872737" w:rsidRPr="009761E8">
        <w:rPr>
          <w:rFonts w:ascii="Times New Roman" w:hAnsi="Times New Roman" w:cs="Times New Roman"/>
          <w:sz w:val="24"/>
          <w:szCs w:val="24"/>
        </w:rPr>
        <w:t xml:space="preserve">прибыли, </w:t>
      </w:r>
      <w:r w:rsidR="00B02805" w:rsidRPr="009761E8">
        <w:rPr>
          <w:rFonts w:ascii="Times New Roman" w:hAnsi="Times New Roman" w:cs="Times New Roman"/>
          <w:sz w:val="24"/>
          <w:szCs w:val="24"/>
        </w:rPr>
        <w:t xml:space="preserve">которая будет получена всем участниками сделки, затем для каждого участника сделки </w:t>
      </w:r>
      <w:r w:rsidR="00872737" w:rsidRPr="009761E8">
        <w:rPr>
          <w:rFonts w:ascii="Times New Roman" w:hAnsi="Times New Roman" w:cs="Times New Roman"/>
          <w:sz w:val="24"/>
          <w:szCs w:val="24"/>
        </w:rPr>
        <w:t xml:space="preserve">определяется расчетная прибыль одним из </w:t>
      </w:r>
      <w:r w:rsidR="00B02805" w:rsidRPr="009761E8">
        <w:rPr>
          <w:rFonts w:ascii="Times New Roman" w:hAnsi="Times New Roman" w:cs="Times New Roman"/>
          <w:sz w:val="24"/>
          <w:szCs w:val="24"/>
        </w:rPr>
        <w:t>вышеперечисленных методов образования трансфертной цены, учитывая при этом вложенные в сделку каждым членом функции, активы и принятые риски. Далее происходит исчисление общей расчетной прибыли</w:t>
      </w:r>
      <w:r w:rsidR="00872737" w:rsidRPr="009761E8">
        <w:rPr>
          <w:rFonts w:ascii="Times New Roman" w:hAnsi="Times New Roman" w:cs="Times New Roman"/>
          <w:sz w:val="24"/>
          <w:szCs w:val="24"/>
        </w:rPr>
        <w:t xml:space="preserve"> всех </w:t>
      </w:r>
      <w:r w:rsidR="00B02805" w:rsidRPr="009761E8">
        <w:rPr>
          <w:rFonts w:ascii="Times New Roman" w:hAnsi="Times New Roman" w:cs="Times New Roman"/>
          <w:sz w:val="24"/>
          <w:szCs w:val="24"/>
        </w:rPr>
        <w:t>участников</w:t>
      </w:r>
      <w:r w:rsidR="00872737" w:rsidRPr="009761E8">
        <w:rPr>
          <w:rFonts w:ascii="Times New Roman" w:hAnsi="Times New Roman" w:cs="Times New Roman"/>
          <w:sz w:val="24"/>
          <w:szCs w:val="24"/>
        </w:rPr>
        <w:t xml:space="preserve"> </w:t>
      </w:r>
      <w:r w:rsidR="00B02805" w:rsidRPr="009761E8">
        <w:rPr>
          <w:rFonts w:ascii="Times New Roman" w:hAnsi="Times New Roman" w:cs="Times New Roman"/>
          <w:sz w:val="24"/>
          <w:szCs w:val="24"/>
        </w:rPr>
        <w:t>посредством нахождения суммы</w:t>
      </w:r>
      <w:r w:rsidR="00872737" w:rsidRPr="009761E8">
        <w:rPr>
          <w:rFonts w:ascii="Times New Roman" w:hAnsi="Times New Roman" w:cs="Times New Roman"/>
          <w:sz w:val="24"/>
          <w:szCs w:val="24"/>
        </w:rPr>
        <w:t xml:space="preserve"> </w:t>
      </w:r>
      <w:r w:rsidR="0063112A" w:rsidRPr="009761E8">
        <w:rPr>
          <w:rFonts w:ascii="Times New Roman" w:hAnsi="Times New Roman" w:cs="Times New Roman"/>
          <w:sz w:val="24"/>
          <w:szCs w:val="24"/>
        </w:rPr>
        <w:t xml:space="preserve">показателей </w:t>
      </w:r>
      <w:r w:rsidR="00872737" w:rsidRPr="009761E8">
        <w:rPr>
          <w:rFonts w:ascii="Times New Roman" w:hAnsi="Times New Roman" w:cs="Times New Roman"/>
          <w:sz w:val="24"/>
          <w:szCs w:val="24"/>
        </w:rPr>
        <w:t xml:space="preserve">каждой </w:t>
      </w:r>
      <w:r w:rsidR="0063112A" w:rsidRPr="009761E8">
        <w:rPr>
          <w:rFonts w:ascii="Times New Roman" w:hAnsi="Times New Roman" w:cs="Times New Roman"/>
          <w:sz w:val="24"/>
          <w:szCs w:val="24"/>
        </w:rPr>
        <w:t xml:space="preserve">из сторон. Затеем необходимо </w:t>
      </w:r>
      <w:r w:rsidR="00872737" w:rsidRPr="009761E8">
        <w:rPr>
          <w:rFonts w:ascii="Times New Roman" w:hAnsi="Times New Roman" w:cs="Times New Roman"/>
          <w:sz w:val="24"/>
          <w:szCs w:val="24"/>
        </w:rPr>
        <w:t>выч</w:t>
      </w:r>
      <w:r w:rsidR="0063112A" w:rsidRPr="009761E8">
        <w:rPr>
          <w:rFonts w:ascii="Times New Roman" w:hAnsi="Times New Roman" w:cs="Times New Roman"/>
          <w:sz w:val="24"/>
          <w:szCs w:val="24"/>
        </w:rPr>
        <w:t>есть из суммарного показателя прибыли</w:t>
      </w:r>
      <w:r w:rsidR="00872737" w:rsidRPr="009761E8">
        <w:rPr>
          <w:rFonts w:ascii="Times New Roman" w:hAnsi="Times New Roman" w:cs="Times New Roman"/>
          <w:sz w:val="24"/>
          <w:szCs w:val="24"/>
        </w:rPr>
        <w:t xml:space="preserve"> </w:t>
      </w:r>
      <w:r w:rsidR="0063112A" w:rsidRPr="009761E8">
        <w:rPr>
          <w:rFonts w:ascii="Times New Roman" w:hAnsi="Times New Roman" w:cs="Times New Roman"/>
          <w:sz w:val="24"/>
          <w:szCs w:val="24"/>
        </w:rPr>
        <w:t>сумму</w:t>
      </w:r>
      <w:r w:rsidR="00872737" w:rsidRPr="009761E8">
        <w:rPr>
          <w:rFonts w:ascii="Times New Roman" w:hAnsi="Times New Roman" w:cs="Times New Roman"/>
          <w:sz w:val="24"/>
          <w:szCs w:val="24"/>
        </w:rPr>
        <w:t xml:space="preserve"> общей расчетной</w:t>
      </w:r>
      <w:r w:rsidR="0063112A" w:rsidRPr="009761E8">
        <w:rPr>
          <w:rFonts w:ascii="Times New Roman" w:hAnsi="Times New Roman" w:cs="Times New Roman"/>
          <w:sz w:val="24"/>
          <w:szCs w:val="24"/>
        </w:rPr>
        <w:t xml:space="preserve"> прибыли, тем самым найдя остаточную</w:t>
      </w:r>
      <w:r w:rsidR="00872737" w:rsidRPr="009761E8">
        <w:rPr>
          <w:rFonts w:ascii="Times New Roman" w:hAnsi="Times New Roman" w:cs="Times New Roman"/>
          <w:sz w:val="24"/>
          <w:szCs w:val="24"/>
        </w:rPr>
        <w:t xml:space="preserve"> прибыль</w:t>
      </w:r>
      <w:r w:rsidR="0063112A" w:rsidRPr="009761E8">
        <w:rPr>
          <w:rFonts w:ascii="Times New Roman" w:hAnsi="Times New Roman" w:cs="Times New Roman"/>
          <w:sz w:val="24"/>
          <w:szCs w:val="24"/>
        </w:rPr>
        <w:t>, которая в последствии будет распределена между участниками,</w:t>
      </w:r>
      <w:r w:rsidR="00872737" w:rsidRPr="009761E8">
        <w:rPr>
          <w:rFonts w:ascii="Times New Roman" w:hAnsi="Times New Roman" w:cs="Times New Roman"/>
          <w:sz w:val="24"/>
          <w:szCs w:val="24"/>
        </w:rPr>
        <w:t xml:space="preserve"> или </w:t>
      </w:r>
      <w:r w:rsidR="0063112A" w:rsidRPr="009761E8">
        <w:rPr>
          <w:rFonts w:ascii="Times New Roman" w:hAnsi="Times New Roman" w:cs="Times New Roman"/>
          <w:sz w:val="24"/>
          <w:szCs w:val="24"/>
        </w:rPr>
        <w:t>же убыток. «Рыночная» прибыль каждой стороны сделки</w:t>
      </w:r>
      <w:r w:rsidR="00872737" w:rsidRPr="009761E8">
        <w:rPr>
          <w:rFonts w:ascii="Times New Roman" w:hAnsi="Times New Roman" w:cs="Times New Roman"/>
          <w:sz w:val="24"/>
          <w:szCs w:val="24"/>
        </w:rPr>
        <w:t xml:space="preserve"> </w:t>
      </w:r>
      <w:r w:rsidR="0063112A" w:rsidRPr="009761E8">
        <w:rPr>
          <w:rFonts w:ascii="Times New Roman" w:hAnsi="Times New Roman" w:cs="Times New Roman"/>
          <w:sz w:val="24"/>
          <w:szCs w:val="24"/>
        </w:rPr>
        <w:t>исчисляется как сумма</w:t>
      </w:r>
      <w:r w:rsidR="00872737" w:rsidRPr="009761E8">
        <w:rPr>
          <w:rFonts w:ascii="Times New Roman" w:hAnsi="Times New Roman" w:cs="Times New Roman"/>
          <w:sz w:val="24"/>
          <w:szCs w:val="24"/>
        </w:rPr>
        <w:t xml:space="preserve"> расчетной прибыли и распределенной</w:t>
      </w:r>
      <w:r w:rsidR="0063112A" w:rsidRPr="009761E8">
        <w:rPr>
          <w:rFonts w:ascii="Times New Roman" w:hAnsi="Times New Roman" w:cs="Times New Roman"/>
          <w:sz w:val="24"/>
          <w:szCs w:val="24"/>
        </w:rPr>
        <w:t xml:space="preserve"> части</w:t>
      </w:r>
      <w:r w:rsidR="00872737" w:rsidRPr="009761E8">
        <w:rPr>
          <w:rFonts w:ascii="Times New Roman" w:hAnsi="Times New Roman" w:cs="Times New Roman"/>
          <w:sz w:val="24"/>
          <w:szCs w:val="24"/>
        </w:rPr>
        <w:t xml:space="preserve"> на этого участника части остаточной прибыли.</w:t>
      </w:r>
    </w:p>
    <w:p w:rsidR="001200D8" w:rsidRPr="001200D8" w:rsidRDefault="001200D8" w:rsidP="008A2D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 5. Компания «А» произвела</w:t>
      </w:r>
      <w:r w:rsidRPr="001200D8">
        <w:rPr>
          <w:rFonts w:ascii="Times New Roman" w:hAnsi="Times New Roman" w:cs="Times New Roman"/>
          <w:sz w:val="24"/>
          <w:szCs w:val="24"/>
        </w:rPr>
        <w:t xml:space="preserve"> </w:t>
      </w:r>
      <w:r>
        <w:rPr>
          <w:rFonts w:ascii="Times New Roman" w:hAnsi="Times New Roman" w:cs="Times New Roman"/>
          <w:sz w:val="24"/>
          <w:szCs w:val="24"/>
        </w:rPr>
        <w:t xml:space="preserve">оборудование, себестоимость которого составила 160 млн </w:t>
      </w:r>
      <w:r w:rsidRPr="001200D8">
        <w:rPr>
          <w:rFonts w:ascii="Times New Roman" w:hAnsi="Times New Roman" w:cs="Times New Roman"/>
          <w:sz w:val="24"/>
          <w:szCs w:val="24"/>
        </w:rPr>
        <w:t xml:space="preserve">руб., </w:t>
      </w:r>
      <w:r>
        <w:rPr>
          <w:rFonts w:ascii="Times New Roman" w:hAnsi="Times New Roman" w:cs="Times New Roman"/>
          <w:sz w:val="24"/>
          <w:szCs w:val="24"/>
        </w:rPr>
        <w:t>а затем осуществила его продажу</w:t>
      </w:r>
      <w:r w:rsidRPr="001200D8">
        <w:rPr>
          <w:rFonts w:ascii="Times New Roman" w:hAnsi="Times New Roman" w:cs="Times New Roman"/>
          <w:sz w:val="24"/>
          <w:szCs w:val="24"/>
        </w:rPr>
        <w:t xml:space="preserve"> взаимозависимой </w:t>
      </w:r>
      <w:r>
        <w:rPr>
          <w:rFonts w:ascii="Times New Roman" w:hAnsi="Times New Roman" w:cs="Times New Roman"/>
          <w:sz w:val="24"/>
          <w:szCs w:val="24"/>
        </w:rPr>
        <w:t>Компании «</w:t>
      </w:r>
      <w:r>
        <w:rPr>
          <w:rFonts w:ascii="Times New Roman" w:hAnsi="Times New Roman" w:cs="Times New Roman"/>
          <w:sz w:val="24"/>
          <w:szCs w:val="24"/>
          <w:lang w:val="en-US"/>
        </w:rPr>
        <w:t>B</w:t>
      </w:r>
      <w:r>
        <w:rPr>
          <w:rFonts w:ascii="Times New Roman" w:hAnsi="Times New Roman" w:cs="Times New Roman"/>
          <w:sz w:val="24"/>
          <w:szCs w:val="24"/>
        </w:rPr>
        <w:t>»</w:t>
      </w:r>
      <w:r w:rsidRPr="001200D8">
        <w:rPr>
          <w:rFonts w:ascii="Times New Roman" w:hAnsi="Times New Roman" w:cs="Times New Roman"/>
          <w:sz w:val="24"/>
          <w:szCs w:val="24"/>
        </w:rPr>
        <w:t xml:space="preserve"> </w:t>
      </w:r>
      <w:r>
        <w:rPr>
          <w:rFonts w:ascii="Times New Roman" w:hAnsi="Times New Roman" w:cs="Times New Roman"/>
          <w:sz w:val="24"/>
          <w:szCs w:val="24"/>
        </w:rPr>
        <w:t>по стоимости 200 млн руб. В свою очередь, Компания «В»</w:t>
      </w:r>
      <w:r w:rsidRPr="001200D8">
        <w:rPr>
          <w:rFonts w:ascii="Times New Roman" w:hAnsi="Times New Roman" w:cs="Times New Roman"/>
          <w:sz w:val="24"/>
          <w:szCs w:val="24"/>
        </w:rPr>
        <w:t xml:space="preserve"> перепродала </w:t>
      </w:r>
      <w:r>
        <w:rPr>
          <w:rFonts w:ascii="Times New Roman" w:hAnsi="Times New Roman" w:cs="Times New Roman"/>
          <w:sz w:val="24"/>
          <w:szCs w:val="24"/>
        </w:rPr>
        <w:t>купленное ранее оборудование по</w:t>
      </w:r>
      <w:r w:rsidRPr="001200D8">
        <w:rPr>
          <w:rFonts w:ascii="Times New Roman" w:hAnsi="Times New Roman" w:cs="Times New Roman"/>
          <w:sz w:val="24"/>
          <w:szCs w:val="24"/>
        </w:rPr>
        <w:t xml:space="preserve"> </w:t>
      </w:r>
      <w:r>
        <w:rPr>
          <w:rFonts w:ascii="Times New Roman" w:hAnsi="Times New Roman" w:cs="Times New Roman"/>
          <w:sz w:val="24"/>
          <w:szCs w:val="24"/>
        </w:rPr>
        <w:t>цене 300 млн руб. Таким</w:t>
      </w:r>
      <w:r w:rsidRPr="001200D8">
        <w:rPr>
          <w:rFonts w:ascii="Times New Roman" w:hAnsi="Times New Roman" w:cs="Times New Roman"/>
          <w:sz w:val="24"/>
          <w:szCs w:val="24"/>
        </w:rPr>
        <w:t xml:space="preserve"> </w:t>
      </w:r>
      <w:r>
        <w:rPr>
          <w:rFonts w:ascii="Times New Roman" w:hAnsi="Times New Roman" w:cs="Times New Roman"/>
          <w:sz w:val="24"/>
          <w:szCs w:val="24"/>
        </w:rPr>
        <w:t xml:space="preserve">образом, </w:t>
      </w:r>
      <w:r w:rsidRPr="001200D8">
        <w:rPr>
          <w:rFonts w:ascii="Times New Roman" w:hAnsi="Times New Roman" w:cs="Times New Roman"/>
          <w:sz w:val="24"/>
          <w:szCs w:val="24"/>
        </w:rPr>
        <w:t xml:space="preserve">прибыль </w:t>
      </w:r>
      <w:r>
        <w:rPr>
          <w:rFonts w:ascii="Times New Roman" w:hAnsi="Times New Roman" w:cs="Times New Roman"/>
          <w:sz w:val="24"/>
          <w:szCs w:val="24"/>
        </w:rPr>
        <w:t xml:space="preserve">компании-производителя по данной сделке составила </w:t>
      </w:r>
      <w:r w:rsidRPr="001200D8">
        <w:rPr>
          <w:rFonts w:ascii="Times New Roman" w:hAnsi="Times New Roman" w:cs="Times New Roman"/>
          <w:sz w:val="24"/>
          <w:szCs w:val="24"/>
        </w:rPr>
        <w:t xml:space="preserve">40 млн </w:t>
      </w:r>
      <w:r>
        <w:rPr>
          <w:rFonts w:ascii="Times New Roman" w:hAnsi="Times New Roman" w:cs="Times New Roman"/>
          <w:sz w:val="24"/>
          <w:szCs w:val="24"/>
        </w:rPr>
        <w:t xml:space="preserve">руб. (200 - 160), компании «В» - 100 млн руб. (300 - 200), а в совокупности прибыль по сделке составила </w:t>
      </w:r>
      <w:r w:rsidRPr="001200D8">
        <w:rPr>
          <w:rFonts w:ascii="Times New Roman" w:hAnsi="Times New Roman" w:cs="Times New Roman"/>
          <w:sz w:val="24"/>
          <w:szCs w:val="24"/>
        </w:rPr>
        <w:t>140 млн руб. (40 + 100).</w:t>
      </w:r>
      <w:r>
        <w:rPr>
          <w:rFonts w:ascii="Times New Roman" w:hAnsi="Times New Roman" w:cs="Times New Roman"/>
          <w:sz w:val="24"/>
          <w:szCs w:val="24"/>
        </w:rPr>
        <w:t xml:space="preserve"> </w:t>
      </w:r>
      <w:r w:rsidRPr="001200D8">
        <w:rPr>
          <w:rFonts w:ascii="Times New Roman" w:hAnsi="Times New Roman" w:cs="Times New Roman"/>
          <w:sz w:val="24"/>
          <w:szCs w:val="24"/>
        </w:rPr>
        <w:t xml:space="preserve">При этом </w:t>
      </w:r>
      <w:r>
        <w:rPr>
          <w:rFonts w:ascii="Times New Roman" w:hAnsi="Times New Roman" w:cs="Times New Roman"/>
          <w:sz w:val="24"/>
          <w:szCs w:val="24"/>
        </w:rPr>
        <w:t xml:space="preserve">было определено, </w:t>
      </w:r>
      <w:r w:rsidRPr="001200D8">
        <w:rPr>
          <w:rFonts w:ascii="Times New Roman" w:hAnsi="Times New Roman" w:cs="Times New Roman"/>
          <w:sz w:val="24"/>
          <w:szCs w:val="24"/>
        </w:rPr>
        <w:t xml:space="preserve">что в сопоставимых сделках между невзаимозависимыми </w:t>
      </w:r>
      <w:r>
        <w:rPr>
          <w:rFonts w:ascii="Times New Roman" w:hAnsi="Times New Roman" w:cs="Times New Roman"/>
          <w:sz w:val="24"/>
          <w:szCs w:val="24"/>
        </w:rPr>
        <w:t xml:space="preserve">компаниям распределение прибыли происходит </w:t>
      </w:r>
      <w:r w:rsidR="00C42664">
        <w:rPr>
          <w:rFonts w:ascii="Times New Roman" w:hAnsi="Times New Roman" w:cs="Times New Roman"/>
          <w:sz w:val="24"/>
          <w:szCs w:val="24"/>
        </w:rPr>
        <w:t>в следующей</w:t>
      </w:r>
      <w:r>
        <w:rPr>
          <w:rFonts w:ascii="Times New Roman" w:hAnsi="Times New Roman" w:cs="Times New Roman"/>
          <w:sz w:val="24"/>
          <w:szCs w:val="24"/>
        </w:rPr>
        <w:t xml:space="preserve"> </w:t>
      </w:r>
      <w:r w:rsidRPr="001200D8">
        <w:rPr>
          <w:rFonts w:ascii="Times New Roman" w:hAnsi="Times New Roman" w:cs="Times New Roman"/>
          <w:sz w:val="24"/>
          <w:szCs w:val="24"/>
        </w:rPr>
        <w:t>пропорции: 35% приходятся на производителя, 65% - на перепродавца.</w:t>
      </w:r>
    </w:p>
    <w:p w:rsidR="001200D8" w:rsidRPr="001200D8" w:rsidRDefault="001200D8" w:rsidP="008A2D23">
      <w:pPr>
        <w:spacing w:after="0" w:line="360" w:lineRule="auto"/>
        <w:ind w:firstLine="708"/>
        <w:jc w:val="both"/>
        <w:rPr>
          <w:rFonts w:ascii="Times New Roman" w:hAnsi="Times New Roman" w:cs="Times New Roman"/>
          <w:sz w:val="24"/>
          <w:szCs w:val="24"/>
        </w:rPr>
      </w:pPr>
      <w:r w:rsidRPr="001200D8">
        <w:rPr>
          <w:rFonts w:ascii="Times New Roman" w:hAnsi="Times New Roman" w:cs="Times New Roman"/>
          <w:sz w:val="24"/>
          <w:szCs w:val="24"/>
        </w:rPr>
        <w:t>В связи с этим налоговый орган перераспределит 140 млн руб. сов</w:t>
      </w:r>
      <w:r>
        <w:rPr>
          <w:rFonts w:ascii="Times New Roman" w:hAnsi="Times New Roman" w:cs="Times New Roman"/>
          <w:sz w:val="24"/>
          <w:szCs w:val="24"/>
        </w:rPr>
        <w:t xml:space="preserve">окупной прибыли от сделки между </w:t>
      </w:r>
      <w:r w:rsidRPr="001200D8">
        <w:rPr>
          <w:rFonts w:ascii="Times New Roman" w:hAnsi="Times New Roman" w:cs="Times New Roman"/>
          <w:sz w:val="24"/>
          <w:szCs w:val="24"/>
        </w:rPr>
        <w:t>невзаимозависимыми лицами в следующем порядке:</w:t>
      </w:r>
    </w:p>
    <w:p w:rsidR="001200D8" w:rsidRPr="001200D8" w:rsidRDefault="001200D8" w:rsidP="001200D8">
      <w:pPr>
        <w:spacing w:after="0" w:line="360" w:lineRule="auto"/>
        <w:jc w:val="both"/>
        <w:rPr>
          <w:rFonts w:ascii="Times New Roman" w:hAnsi="Times New Roman" w:cs="Times New Roman"/>
          <w:sz w:val="24"/>
          <w:szCs w:val="24"/>
        </w:rPr>
      </w:pPr>
      <w:r w:rsidRPr="001200D8">
        <w:rPr>
          <w:rFonts w:ascii="Times New Roman" w:hAnsi="Times New Roman" w:cs="Times New Roman"/>
          <w:sz w:val="24"/>
          <w:szCs w:val="24"/>
        </w:rPr>
        <w:t xml:space="preserve">- </w:t>
      </w:r>
      <w:r>
        <w:rPr>
          <w:rFonts w:ascii="Times New Roman" w:hAnsi="Times New Roman" w:cs="Times New Roman"/>
          <w:sz w:val="24"/>
          <w:szCs w:val="24"/>
        </w:rPr>
        <w:t>Компания «А»</w:t>
      </w:r>
      <w:r w:rsidRPr="001200D8">
        <w:rPr>
          <w:rFonts w:ascii="Times New Roman" w:hAnsi="Times New Roman" w:cs="Times New Roman"/>
          <w:sz w:val="24"/>
          <w:szCs w:val="24"/>
        </w:rPr>
        <w:t xml:space="preserve"> - 49 млн руб. (140 x 35%);</w:t>
      </w:r>
    </w:p>
    <w:p w:rsidR="001200D8" w:rsidRPr="001200D8" w:rsidRDefault="001200D8" w:rsidP="001200D8">
      <w:pPr>
        <w:spacing w:after="0" w:line="360" w:lineRule="auto"/>
        <w:jc w:val="both"/>
        <w:rPr>
          <w:rFonts w:ascii="Times New Roman" w:hAnsi="Times New Roman" w:cs="Times New Roman"/>
          <w:sz w:val="24"/>
          <w:szCs w:val="24"/>
        </w:rPr>
      </w:pPr>
      <w:r w:rsidRPr="001200D8">
        <w:rPr>
          <w:rFonts w:ascii="Times New Roman" w:hAnsi="Times New Roman" w:cs="Times New Roman"/>
          <w:sz w:val="24"/>
          <w:szCs w:val="24"/>
        </w:rPr>
        <w:t xml:space="preserve">- </w:t>
      </w:r>
      <w:r>
        <w:rPr>
          <w:rFonts w:ascii="Times New Roman" w:hAnsi="Times New Roman" w:cs="Times New Roman"/>
          <w:sz w:val="24"/>
          <w:szCs w:val="24"/>
        </w:rPr>
        <w:t xml:space="preserve">Компания «В» </w:t>
      </w:r>
      <w:r w:rsidRPr="001200D8">
        <w:rPr>
          <w:rFonts w:ascii="Times New Roman" w:hAnsi="Times New Roman" w:cs="Times New Roman"/>
          <w:sz w:val="24"/>
          <w:szCs w:val="24"/>
        </w:rPr>
        <w:t>- 91 млн руб. (140,0 x 65%).</w:t>
      </w:r>
    </w:p>
    <w:p w:rsidR="001200D8" w:rsidRPr="009761E8" w:rsidRDefault="00C42664" w:rsidP="008A2D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фактически полученная прибыль К</w:t>
      </w:r>
      <w:r w:rsidR="001200D8" w:rsidRPr="001200D8">
        <w:rPr>
          <w:rFonts w:ascii="Times New Roman" w:hAnsi="Times New Roman" w:cs="Times New Roman"/>
          <w:sz w:val="24"/>
          <w:szCs w:val="24"/>
        </w:rPr>
        <w:t>омпании "</w:t>
      </w:r>
      <w:r>
        <w:rPr>
          <w:rFonts w:ascii="Times New Roman" w:hAnsi="Times New Roman" w:cs="Times New Roman"/>
          <w:sz w:val="24"/>
          <w:szCs w:val="24"/>
        </w:rPr>
        <w:t>В</w:t>
      </w:r>
      <w:r w:rsidR="001200D8" w:rsidRPr="001200D8">
        <w:rPr>
          <w:rFonts w:ascii="Times New Roman" w:hAnsi="Times New Roman" w:cs="Times New Roman"/>
          <w:sz w:val="24"/>
          <w:szCs w:val="24"/>
        </w:rPr>
        <w:t xml:space="preserve">" </w:t>
      </w:r>
      <w:r>
        <w:rPr>
          <w:rFonts w:ascii="Times New Roman" w:hAnsi="Times New Roman" w:cs="Times New Roman"/>
          <w:sz w:val="24"/>
          <w:szCs w:val="24"/>
        </w:rPr>
        <w:t>составляет</w:t>
      </w:r>
      <w:r w:rsidR="001200D8" w:rsidRPr="001200D8">
        <w:rPr>
          <w:rFonts w:ascii="Times New Roman" w:hAnsi="Times New Roman" w:cs="Times New Roman"/>
          <w:sz w:val="24"/>
          <w:szCs w:val="24"/>
        </w:rPr>
        <w:t xml:space="preserve"> 100 млн руб. и</w:t>
      </w:r>
      <w:r>
        <w:rPr>
          <w:rFonts w:ascii="Times New Roman" w:hAnsi="Times New Roman" w:cs="Times New Roman"/>
          <w:sz w:val="24"/>
          <w:szCs w:val="24"/>
        </w:rPr>
        <w:t xml:space="preserve"> превышает прибыль при рыночных </w:t>
      </w:r>
      <w:r w:rsidR="001200D8" w:rsidRPr="001200D8">
        <w:rPr>
          <w:rFonts w:ascii="Times New Roman" w:hAnsi="Times New Roman" w:cs="Times New Roman"/>
          <w:sz w:val="24"/>
          <w:szCs w:val="24"/>
        </w:rPr>
        <w:t xml:space="preserve">условиях, которая бы равнялась 91 млн руб. В то время как фактическая прибыль </w:t>
      </w:r>
      <w:r>
        <w:rPr>
          <w:rFonts w:ascii="Times New Roman" w:hAnsi="Times New Roman" w:cs="Times New Roman"/>
          <w:sz w:val="24"/>
          <w:szCs w:val="24"/>
        </w:rPr>
        <w:t>Компании</w:t>
      </w:r>
      <w:r w:rsidR="001200D8" w:rsidRPr="001200D8">
        <w:rPr>
          <w:rFonts w:ascii="Times New Roman" w:hAnsi="Times New Roman" w:cs="Times New Roman"/>
          <w:sz w:val="24"/>
          <w:szCs w:val="24"/>
        </w:rPr>
        <w:t xml:space="preserve"> "</w:t>
      </w:r>
      <w:r>
        <w:rPr>
          <w:rFonts w:ascii="Times New Roman" w:hAnsi="Times New Roman" w:cs="Times New Roman"/>
          <w:sz w:val="24"/>
          <w:szCs w:val="24"/>
        </w:rPr>
        <w:t xml:space="preserve">А" равна 40 </w:t>
      </w:r>
      <w:r w:rsidR="001200D8" w:rsidRPr="001200D8">
        <w:rPr>
          <w:rFonts w:ascii="Times New Roman" w:hAnsi="Times New Roman" w:cs="Times New Roman"/>
          <w:sz w:val="24"/>
          <w:szCs w:val="24"/>
        </w:rPr>
        <w:t>млн руб. и ниже прибыли при рыночных условиях, котор</w:t>
      </w:r>
      <w:r>
        <w:rPr>
          <w:rFonts w:ascii="Times New Roman" w:hAnsi="Times New Roman" w:cs="Times New Roman"/>
          <w:sz w:val="24"/>
          <w:szCs w:val="24"/>
        </w:rPr>
        <w:t>ая должна равняться 49 млн руб., следовательно</w:t>
      </w:r>
      <w:r w:rsidR="001200D8" w:rsidRPr="001200D8">
        <w:rPr>
          <w:rFonts w:ascii="Times New Roman" w:hAnsi="Times New Roman" w:cs="Times New Roman"/>
          <w:sz w:val="24"/>
          <w:szCs w:val="24"/>
        </w:rPr>
        <w:t xml:space="preserve">, для целей налогообложения принимается сумма в 49,0 млн руб. и </w:t>
      </w:r>
      <w:r>
        <w:rPr>
          <w:rFonts w:ascii="Times New Roman" w:hAnsi="Times New Roman" w:cs="Times New Roman"/>
          <w:sz w:val="24"/>
          <w:szCs w:val="24"/>
        </w:rPr>
        <w:t>Компания</w:t>
      </w:r>
      <w:r w:rsidR="001200D8" w:rsidRPr="001200D8">
        <w:rPr>
          <w:rFonts w:ascii="Times New Roman" w:hAnsi="Times New Roman" w:cs="Times New Roman"/>
          <w:sz w:val="24"/>
          <w:szCs w:val="24"/>
        </w:rPr>
        <w:t xml:space="preserve"> "</w:t>
      </w:r>
      <w:r>
        <w:rPr>
          <w:rFonts w:ascii="Times New Roman" w:hAnsi="Times New Roman" w:cs="Times New Roman"/>
          <w:sz w:val="24"/>
          <w:szCs w:val="24"/>
        </w:rPr>
        <w:t xml:space="preserve">А" будет вынуждена </w:t>
      </w:r>
      <w:r w:rsidR="001200D8" w:rsidRPr="001200D8">
        <w:rPr>
          <w:rFonts w:ascii="Times New Roman" w:hAnsi="Times New Roman" w:cs="Times New Roman"/>
          <w:sz w:val="24"/>
          <w:szCs w:val="24"/>
        </w:rPr>
        <w:t>скорректировать прибыль и доплатить налоги.</w:t>
      </w:r>
    </w:p>
    <w:p w:rsidR="0063112A" w:rsidRPr="009761E8" w:rsidRDefault="0063112A"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Несмотря на явные преимущества этого метода, имеет места быть и существенный недостаток – сложность в распределении прибыли. </w:t>
      </w:r>
      <w:r w:rsidR="008808B4">
        <w:rPr>
          <w:rFonts w:ascii="Times New Roman" w:hAnsi="Times New Roman" w:cs="Times New Roman"/>
          <w:sz w:val="24"/>
          <w:szCs w:val="24"/>
        </w:rPr>
        <w:t>Невзирая</w:t>
      </w:r>
      <w:r w:rsidRPr="009761E8">
        <w:rPr>
          <w:rFonts w:ascii="Times New Roman" w:hAnsi="Times New Roman" w:cs="Times New Roman"/>
          <w:sz w:val="24"/>
          <w:szCs w:val="24"/>
        </w:rPr>
        <w:t xml:space="preserve"> на то, что пунктом 5 ст.105.13 НК РФ приводится ряд критериев, в соответствии с которым происходит распределение, но лишь один пункт говорит налогоплательщикам о том, в каком порядке это должно происходить. Закон предлагает распределять фактическую прибыль пропорционально вкладу, но не дается методологии его расчета.</w:t>
      </w:r>
    </w:p>
    <w:p w:rsidR="005D6ED4" w:rsidRPr="009761E8" w:rsidRDefault="00D45B81"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872737" w:rsidRPr="009761E8">
        <w:rPr>
          <w:rFonts w:ascii="Times New Roman" w:hAnsi="Times New Roman" w:cs="Times New Roman"/>
          <w:sz w:val="24"/>
          <w:szCs w:val="24"/>
        </w:rPr>
        <w:t xml:space="preserve">Таким образом, </w:t>
      </w:r>
      <w:r w:rsidR="005D6ED4" w:rsidRPr="009761E8">
        <w:rPr>
          <w:rFonts w:ascii="Times New Roman" w:hAnsi="Times New Roman" w:cs="Times New Roman"/>
          <w:sz w:val="24"/>
          <w:szCs w:val="24"/>
        </w:rPr>
        <w:t xml:space="preserve">произведя анализ методов определения трансфертной цены, применяемых в соответствии с НК РФ, можно говорить о том, что настоящие положения имеют существенные недостатки, которые можно свести к следующим: </w:t>
      </w:r>
    </w:p>
    <w:p w:rsidR="005D6ED4" w:rsidRPr="008808B4" w:rsidRDefault="005D6ED4" w:rsidP="008808B4">
      <w:pPr>
        <w:pStyle w:val="a3"/>
        <w:numPr>
          <w:ilvl w:val="0"/>
          <w:numId w:val="38"/>
        </w:numPr>
        <w:spacing w:after="0" w:line="360" w:lineRule="auto"/>
        <w:jc w:val="both"/>
        <w:rPr>
          <w:rFonts w:ascii="Times New Roman" w:hAnsi="Times New Roman" w:cs="Times New Roman"/>
          <w:sz w:val="24"/>
          <w:szCs w:val="24"/>
        </w:rPr>
      </w:pPr>
      <w:r w:rsidRPr="008808B4">
        <w:rPr>
          <w:rFonts w:ascii="Times New Roman" w:hAnsi="Times New Roman" w:cs="Times New Roman"/>
          <w:sz w:val="24"/>
          <w:szCs w:val="24"/>
        </w:rPr>
        <w:t xml:space="preserve">существование неопределённых формулировок </w:t>
      </w:r>
    </w:p>
    <w:p w:rsidR="005D6ED4" w:rsidRPr="008808B4" w:rsidRDefault="005D6ED4" w:rsidP="008808B4">
      <w:pPr>
        <w:pStyle w:val="a3"/>
        <w:numPr>
          <w:ilvl w:val="0"/>
          <w:numId w:val="38"/>
        </w:numPr>
        <w:spacing w:after="0" w:line="360" w:lineRule="auto"/>
        <w:jc w:val="both"/>
        <w:rPr>
          <w:rFonts w:ascii="Times New Roman" w:hAnsi="Times New Roman" w:cs="Times New Roman"/>
          <w:sz w:val="24"/>
          <w:szCs w:val="24"/>
        </w:rPr>
      </w:pPr>
      <w:r w:rsidRPr="008808B4">
        <w:rPr>
          <w:rFonts w:ascii="Times New Roman" w:hAnsi="Times New Roman" w:cs="Times New Roman"/>
          <w:sz w:val="24"/>
          <w:szCs w:val="24"/>
        </w:rPr>
        <w:t>наличие внутренних противоречий</w:t>
      </w:r>
    </w:p>
    <w:p w:rsidR="005D6ED4" w:rsidRPr="008808B4" w:rsidRDefault="005D6ED4" w:rsidP="008808B4">
      <w:pPr>
        <w:pStyle w:val="a3"/>
        <w:numPr>
          <w:ilvl w:val="0"/>
          <w:numId w:val="38"/>
        </w:numPr>
        <w:spacing w:after="0" w:line="360" w:lineRule="auto"/>
        <w:jc w:val="both"/>
        <w:rPr>
          <w:rFonts w:ascii="Times New Roman" w:hAnsi="Times New Roman" w:cs="Times New Roman"/>
          <w:sz w:val="24"/>
          <w:szCs w:val="24"/>
        </w:rPr>
      </w:pPr>
      <w:r w:rsidRPr="008808B4">
        <w:rPr>
          <w:rFonts w:ascii="Times New Roman" w:hAnsi="Times New Roman" w:cs="Times New Roman"/>
          <w:sz w:val="24"/>
          <w:szCs w:val="24"/>
        </w:rPr>
        <w:t>использование большого количества терминов, содержание которых не определено законом</w:t>
      </w:r>
    </w:p>
    <w:p w:rsidR="005D6ED4" w:rsidRPr="009761E8" w:rsidRDefault="005D6ED4"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Скорее всего, подобные упущения связаны с неточностью перевода руководства ОЭСР, а также неправильности трактовки документа.  </w:t>
      </w:r>
    </w:p>
    <w:p w:rsidR="003C2D2E" w:rsidRPr="009761E8" w:rsidRDefault="005D6ED4"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В целях совершенствования существующий норм</w:t>
      </w:r>
      <w:r w:rsidR="003C2D2E" w:rsidRPr="009761E8">
        <w:rPr>
          <w:rFonts w:ascii="Times New Roman" w:hAnsi="Times New Roman" w:cs="Times New Roman"/>
          <w:sz w:val="24"/>
          <w:szCs w:val="24"/>
        </w:rPr>
        <w:t xml:space="preserve"> для повышения эффективности регулирования трансфертных цен,</w:t>
      </w:r>
      <w:r w:rsidRPr="009761E8">
        <w:rPr>
          <w:rFonts w:ascii="Times New Roman" w:hAnsi="Times New Roman" w:cs="Times New Roman"/>
          <w:sz w:val="24"/>
          <w:szCs w:val="24"/>
        </w:rPr>
        <w:t xml:space="preserve"> на мой взгляд, правительству </w:t>
      </w:r>
      <w:r w:rsidR="003C2D2E" w:rsidRPr="009761E8">
        <w:rPr>
          <w:rFonts w:ascii="Times New Roman" w:hAnsi="Times New Roman" w:cs="Times New Roman"/>
          <w:sz w:val="24"/>
          <w:szCs w:val="24"/>
        </w:rPr>
        <w:t>необходимо:</w:t>
      </w:r>
    </w:p>
    <w:p w:rsidR="003C2D2E" w:rsidRPr="009761E8" w:rsidRDefault="003C2D2E"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ввести трактовку терминов, которые на сегодняшний день не могут быть однозначно определены (например, «валовая рентабельность»</w:t>
      </w:r>
      <w:r w:rsidR="006C3ED2">
        <w:rPr>
          <w:rFonts w:ascii="Times New Roman" w:hAnsi="Times New Roman" w:cs="Times New Roman"/>
          <w:sz w:val="24"/>
          <w:szCs w:val="24"/>
        </w:rPr>
        <w:t xml:space="preserve"> и другие</w:t>
      </w:r>
      <w:r w:rsidRPr="009761E8">
        <w:rPr>
          <w:rFonts w:ascii="Times New Roman" w:hAnsi="Times New Roman" w:cs="Times New Roman"/>
          <w:sz w:val="24"/>
          <w:szCs w:val="24"/>
        </w:rPr>
        <w:t>)</w:t>
      </w:r>
    </w:p>
    <w:p w:rsidR="003C2D2E" w:rsidRPr="009761E8" w:rsidRDefault="003C2D2E"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xml:space="preserve">- минимизировать неточность формулировок </w:t>
      </w:r>
    </w:p>
    <w:p w:rsidR="003C2D2E" w:rsidRDefault="003C2D2E"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организовать научно-исследовательскую кампанию для поисков новых наиболее оптимальных способов расчета трансфертной цены</w:t>
      </w:r>
    </w:p>
    <w:p w:rsidR="006C3ED2" w:rsidRPr="009761E8" w:rsidRDefault="006C3ED2" w:rsidP="00976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создать специальные органы, компетенцией которых будет непосредственна работа с налогоплательщиками, их консультация, а также возможное сопровождение при заключении контролируемой сделки</w:t>
      </w:r>
    </w:p>
    <w:p w:rsidR="00E8572A" w:rsidRDefault="003C2D2E"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Подводя итоги, хочется подчеркнуть, что налоговая практика в области ТЦО является относительно новым течением в НК РФ, которое только начинает развиваться.</w:t>
      </w:r>
      <w:r w:rsidR="008808B4">
        <w:rPr>
          <w:rFonts w:ascii="Times New Roman" w:hAnsi="Times New Roman" w:cs="Times New Roman"/>
          <w:sz w:val="24"/>
          <w:szCs w:val="24"/>
        </w:rPr>
        <w:t xml:space="preserve"> Именно по</w:t>
      </w:r>
      <w:r w:rsidR="006C3ED2">
        <w:rPr>
          <w:rFonts w:ascii="Times New Roman" w:hAnsi="Times New Roman" w:cs="Times New Roman"/>
          <w:sz w:val="24"/>
          <w:szCs w:val="24"/>
        </w:rPr>
        <w:t xml:space="preserve">этому на данном этапе возникают определённые сложности, прежде всего связанные с выбором наиболее подходящего метода определения трансфертной цены в контексте той или иной сделки. </w:t>
      </w:r>
      <w:r w:rsidRPr="009761E8">
        <w:rPr>
          <w:rFonts w:ascii="Times New Roman" w:hAnsi="Times New Roman" w:cs="Times New Roman"/>
          <w:sz w:val="24"/>
          <w:szCs w:val="24"/>
        </w:rPr>
        <w:t xml:space="preserve"> Но уже сейчас можно говорить о том, что существующие методы определения цены по контролируемым сделкам вполне исчерпывающе дают налогоплательщикам информацию о том, как именно должна формироваться цена.  </w:t>
      </w:r>
      <w:r w:rsidR="00F65C55" w:rsidRPr="009761E8">
        <w:rPr>
          <w:rFonts w:ascii="Times New Roman" w:hAnsi="Times New Roman" w:cs="Times New Roman"/>
          <w:sz w:val="24"/>
          <w:szCs w:val="24"/>
        </w:rPr>
        <w:t>Стоит полагать, что п</w:t>
      </w:r>
      <w:r w:rsidRPr="009761E8">
        <w:rPr>
          <w:rFonts w:ascii="Times New Roman" w:hAnsi="Times New Roman" w:cs="Times New Roman"/>
          <w:sz w:val="24"/>
          <w:szCs w:val="24"/>
        </w:rPr>
        <w:t>о мере наработки практики раздел</w:t>
      </w:r>
      <w:r w:rsidR="00F65C55" w:rsidRPr="009761E8">
        <w:rPr>
          <w:rFonts w:ascii="Times New Roman" w:hAnsi="Times New Roman" w:cs="Times New Roman"/>
          <w:sz w:val="24"/>
          <w:szCs w:val="24"/>
        </w:rPr>
        <w:t xml:space="preserve"> V.I НК РФ</w:t>
      </w:r>
      <w:r w:rsidRPr="009761E8">
        <w:rPr>
          <w:rFonts w:ascii="Times New Roman" w:hAnsi="Times New Roman" w:cs="Times New Roman"/>
          <w:sz w:val="24"/>
          <w:szCs w:val="24"/>
        </w:rPr>
        <w:t xml:space="preserve"> будет </w:t>
      </w:r>
      <w:r w:rsidR="00F65C55" w:rsidRPr="009761E8">
        <w:rPr>
          <w:rFonts w:ascii="Times New Roman" w:hAnsi="Times New Roman" w:cs="Times New Roman"/>
          <w:sz w:val="24"/>
          <w:szCs w:val="24"/>
        </w:rPr>
        <w:t xml:space="preserve">совершенствоваться и уже в ближайшем будущем внесет необходимые </w:t>
      </w:r>
      <w:r w:rsidR="006C3ED2">
        <w:rPr>
          <w:rFonts w:ascii="Times New Roman" w:hAnsi="Times New Roman" w:cs="Times New Roman"/>
          <w:sz w:val="24"/>
          <w:szCs w:val="24"/>
        </w:rPr>
        <w:t>коррективы в существующий закон.</w:t>
      </w:r>
    </w:p>
    <w:p w:rsidR="00E8572A" w:rsidRDefault="00E8572A">
      <w:pPr>
        <w:rPr>
          <w:rFonts w:ascii="Times New Roman" w:hAnsi="Times New Roman" w:cs="Times New Roman"/>
          <w:sz w:val="24"/>
          <w:szCs w:val="24"/>
        </w:rPr>
      </w:pPr>
      <w:r>
        <w:rPr>
          <w:rFonts w:ascii="Times New Roman" w:hAnsi="Times New Roman" w:cs="Times New Roman"/>
          <w:sz w:val="24"/>
          <w:szCs w:val="24"/>
        </w:rPr>
        <w:br w:type="page"/>
      </w:r>
    </w:p>
    <w:p w:rsidR="00E8572A" w:rsidRDefault="00E8572A" w:rsidP="00E8572A">
      <w:pPr>
        <w:pStyle w:val="1"/>
        <w:jc w:val="center"/>
        <w:rPr>
          <w:rFonts w:ascii="Times New Roman" w:hAnsi="Times New Roman" w:cs="Times New Roman"/>
          <w:b/>
          <w:color w:val="auto"/>
          <w:sz w:val="28"/>
          <w:szCs w:val="28"/>
          <w:shd w:val="clear" w:color="auto" w:fill="FFFFFF"/>
        </w:rPr>
      </w:pPr>
      <w:bookmarkStart w:id="8" w:name="_Toc513844334"/>
      <w:r>
        <w:rPr>
          <w:rFonts w:ascii="Times New Roman" w:hAnsi="Times New Roman" w:cs="Times New Roman"/>
          <w:b/>
          <w:color w:val="auto"/>
          <w:sz w:val="28"/>
          <w:szCs w:val="28"/>
          <w:shd w:val="clear" w:color="auto" w:fill="FFFFFF"/>
        </w:rPr>
        <w:t xml:space="preserve">Глава </w:t>
      </w:r>
      <w:r w:rsidRPr="00E8572A">
        <w:rPr>
          <w:rFonts w:ascii="Times New Roman" w:hAnsi="Times New Roman" w:cs="Times New Roman"/>
          <w:b/>
          <w:color w:val="auto"/>
          <w:sz w:val="28"/>
          <w:szCs w:val="28"/>
          <w:shd w:val="clear" w:color="auto" w:fill="FFFFFF"/>
        </w:rPr>
        <w:t>3</w:t>
      </w:r>
      <w:r>
        <w:rPr>
          <w:rFonts w:ascii="Times New Roman" w:hAnsi="Times New Roman" w:cs="Times New Roman"/>
          <w:b/>
          <w:color w:val="auto"/>
          <w:sz w:val="28"/>
          <w:szCs w:val="28"/>
          <w:shd w:val="clear" w:color="auto" w:fill="FFFFFF"/>
        </w:rPr>
        <w:t>.</w:t>
      </w:r>
      <w:r w:rsidRPr="00E8572A">
        <w:rPr>
          <w:rFonts w:ascii="Times New Roman" w:hAnsi="Times New Roman" w:cs="Times New Roman"/>
          <w:b/>
          <w:color w:val="auto"/>
          <w:sz w:val="28"/>
          <w:szCs w:val="28"/>
          <w:shd w:val="clear" w:color="auto" w:fill="FFFFFF"/>
        </w:rPr>
        <w:t xml:space="preserve"> Практические результаты введенных норм трансфертного ценообразования в РФ</w:t>
      </w:r>
      <w:bookmarkEnd w:id="8"/>
    </w:p>
    <w:p w:rsidR="00E8572A" w:rsidRPr="00E8572A" w:rsidRDefault="00E8572A" w:rsidP="00E8572A"/>
    <w:p w:rsidR="00E8572A" w:rsidRPr="00E8572A" w:rsidRDefault="00E8572A" w:rsidP="00E8572A">
      <w:pPr>
        <w:pStyle w:val="2"/>
        <w:jc w:val="center"/>
        <w:rPr>
          <w:rFonts w:ascii="Times New Roman" w:hAnsi="Times New Roman" w:cs="Times New Roman"/>
          <w:b/>
          <w:color w:val="auto"/>
          <w:sz w:val="24"/>
          <w:szCs w:val="24"/>
          <w:shd w:val="clear" w:color="auto" w:fill="FFFFFF"/>
        </w:rPr>
      </w:pPr>
      <w:bookmarkStart w:id="9" w:name="_Toc513844335"/>
      <w:r w:rsidRPr="00E8572A">
        <w:rPr>
          <w:rFonts w:ascii="Times New Roman" w:hAnsi="Times New Roman" w:cs="Times New Roman"/>
          <w:b/>
          <w:color w:val="auto"/>
          <w:sz w:val="24"/>
          <w:szCs w:val="24"/>
          <w:shd w:val="clear" w:color="auto" w:fill="FFFFFF"/>
        </w:rPr>
        <w:t>3.1 Исследование статистических данных по результатам действия новых правил ТЦО</w:t>
      </w:r>
      <w:bookmarkEnd w:id="9"/>
    </w:p>
    <w:p w:rsidR="006253F0" w:rsidRPr="009761E8" w:rsidRDefault="006253F0" w:rsidP="009761E8">
      <w:pPr>
        <w:spacing w:after="0" w:line="360" w:lineRule="auto"/>
        <w:jc w:val="both"/>
        <w:rPr>
          <w:rFonts w:ascii="Times New Roman" w:hAnsi="Times New Roman" w:cs="Times New Roman"/>
          <w:sz w:val="24"/>
          <w:szCs w:val="24"/>
        </w:rPr>
      </w:pPr>
    </w:p>
    <w:p w:rsidR="006253F0" w:rsidRPr="009761E8" w:rsidRDefault="006253F0"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Существенные изменения в НК РФ по вопросам ТЦО, которые вступили в силу начиная с 1 января 2012 года, в корне повлияли на эффективность контроля осуществления налоговой политики. Подтверждение данному факту можно найти в отчетах, систематически предоставляемыми ФНС РФ. В последнем отчетом приводятся следующие статистические данные, актуальные на 1 октября 2016 года:</w:t>
      </w:r>
    </w:p>
    <w:p w:rsidR="006253F0" w:rsidRPr="009761E8" w:rsidRDefault="00E8572A" w:rsidP="008A2D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6253F0" w:rsidRPr="009761E8">
        <w:rPr>
          <w:rFonts w:ascii="Times New Roman" w:hAnsi="Times New Roman" w:cs="Times New Roman"/>
          <w:sz w:val="24"/>
          <w:szCs w:val="24"/>
        </w:rPr>
        <w:t xml:space="preserve">Все проверки, которые были открыты относительно контролируемых сделок 2012 года, были окончены, и выданы соответствующие справки. </w:t>
      </w:r>
    </w:p>
    <w:p w:rsidR="006253F0" w:rsidRPr="009761E8" w:rsidRDefault="00E8572A" w:rsidP="008A2D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6253F0" w:rsidRPr="009761E8">
        <w:rPr>
          <w:rFonts w:ascii="Times New Roman" w:hAnsi="Times New Roman" w:cs="Times New Roman"/>
          <w:sz w:val="24"/>
          <w:szCs w:val="24"/>
        </w:rPr>
        <w:t xml:space="preserve">По итогам 18 проверок, объектами которых стали цены на продукты нефтяной и металлургической промышленности, а также минеральные удобрения, произведено вручение актов проверок, в результате которых было решено доначислить сумму в размере 2 062 млн. рублей. </w:t>
      </w:r>
    </w:p>
    <w:p w:rsidR="006253F0" w:rsidRPr="009761E8" w:rsidRDefault="00E8572A" w:rsidP="008A2D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6253F0" w:rsidRPr="009761E8">
        <w:rPr>
          <w:rFonts w:ascii="Times New Roman" w:hAnsi="Times New Roman" w:cs="Times New Roman"/>
          <w:sz w:val="24"/>
          <w:szCs w:val="24"/>
        </w:rPr>
        <w:t xml:space="preserve">В результате проведения проверок относительно сделок компаний, которые экспортируют нефть и нефтепродукты, было принято 13 решений отказать в привлечении к ответственности за совершение налоговых правонарушений. В соответствии с этими решениями было принято решение доначислить налог на прибыль в размере 716 млн. рублей, а также начислить пени - 16 млн. рублей. Также, относительно компаний, которые экспортируют нефтепродукты, вынесено 12 решений об отказе в привлечении к ответственности за совершение налогового правонарушения. Налоговыми органами вынесено решение о доначислении суммы в размере 555 млн. рублей в сет налога на прибыль, а также пени - 62 тыс. рублей. </w:t>
      </w:r>
    </w:p>
    <w:p w:rsidR="006253F0" w:rsidRPr="009761E8" w:rsidRDefault="00E8572A" w:rsidP="008A2D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6253F0" w:rsidRPr="009761E8">
        <w:rPr>
          <w:rFonts w:ascii="Times New Roman" w:hAnsi="Times New Roman" w:cs="Times New Roman"/>
          <w:sz w:val="24"/>
          <w:szCs w:val="24"/>
        </w:rPr>
        <w:t>По отношению к контролируемым сделкам, совершенным в 2014 году, производится 7 процедур проверок в отношении групп однородн</w:t>
      </w:r>
      <w:r w:rsidR="009C1411">
        <w:rPr>
          <w:rFonts w:ascii="Times New Roman" w:hAnsi="Times New Roman" w:cs="Times New Roman"/>
          <w:sz w:val="24"/>
          <w:szCs w:val="24"/>
        </w:rPr>
        <w:t xml:space="preserve">ых сделок 6 налогоплательщиков </w:t>
      </w:r>
    </w:p>
    <w:p w:rsidR="006253F0" w:rsidRPr="009761E8" w:rsidRDefault="006253F0"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На данный момент открытые источники не предоставляют информацию о проверках, которые производятся относительно сделок 2015-2017 годов. Так как существует временное ограничение в виде двух лет, в</w:t>
      </w:r>
      <w:r w:rsidR="00EB6CB6" w:rsidRPr="009761E8">
        <w:rPr>
          <w:rFonts w:ascii="Times New Roman" w:hAnsi="Times New Roman" w:cs="Times New Roman"/>
          <w:sz w:val="24"/>
          <w:szCs w:val="24"/>
        </w:rPr>
        <w:t xml:space="preserve"> течение которого</w:t>
      </w:r>
      <w:r w:rsidRPr="009761E8">
        <w:rPr>
          <w:rFonts w:ascii="Times New Roman" w:hAnsi="Times New Roman" w:cs="Times New Roman"/>
          <w:sz w:val="24"/>
          <w:szCs w:val="24"/>
        </w:rPr>
        <w:t xml:space="preserve"> должна быть открыта проверка со дня поступления уведомления или извещения (п.1 ст.105.17 НК РФ), стоит предположить, что проверки находятся в активной стадии разработки, и о их результатах можно будет судить в ближайшее время.</w:t>
      </w:r>
    </w:p>
    <w:p w:rsidR="006253F0" w:rsidRDefault="006253F0"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Также, в отчете ФНС были подведены итоги о количестве предоставленных уведомлений о проведении контролируемых сделок за 2016 год. На 20 мая 2017 года было представлено 15 087 уведомлений, </w:t>
      </w:r>
      <w:r w:rsidR="006020E6" w:rsidRPr="009761E8">
        <w:rPr>
          <w:rFonts w:ascii="Times New Roman" w:hAnsi="Times New Roman" w:cs="Times New Roman"/>
          <w:sz w:val="24"/>
          <w:szCs w:val="24"/>
        </w:rPr>
        <w:t xml:space="preserve">1 521 из которых были поданы за 2012-2014 отчетные годы, а остальные за 2016 отчетный год. </w:t>
      </w:r>
      <w:r w:rsidRPr="009761E8">
        <w:rPr>
          <w:rFonts w:ascii="Times New Roman" w:hAnsi="Times New Roman" w:cs="Times New Roman"/>
          <w:sz w:val="24"/>
          <w:szCs w:val="24"/>
        </w:rPr>
        <w:t>Рассматривая данный показатель в динамике, можно констатировать, что это 9</w:t>
      </w:r>
      <w:r w:rsidR="00A058C4">
        <w:rPr>
          <w:rFonts w:ascii="Times New Roman" w:hAnsi="Times New Roman" w:cs="Times New Roman"/>
          <w:sz w:val="24"/>
          <w:szCs w:val="24"/>
        </w:rPr>
        <w:t>% больше чем в 2015 году (Рис</w:t>
      </w:r>
      <w:r w:rsidR="009C1411">
        <w:rPr>
          <w:rFonts w:ascii="Times New Roman" w:hAnsi="Times New Roman" w:cs="Times New Roman"/>
          <w:sz w:val="24"/>
          <w:szCs w:val="24"/>
        </w:rPr>
        <w:t>унок</w:t>
      </w:r>
      <w:r w:rsidR="00A058C4">
        <w:rPr>
          <w:rFonts w:ascii="Times New Roman" w:hAnsi="Times New Roman" w:cs="Times New Roman"/>
          <w:sz w:val="24"/>
          <w:szCs w:val="24"/>
        </w:rPr>
        <w:t xml:space="preserve"> 3</w:t>
      </w:r>
      <w:r w:rsidRPr="009761E8">
        <w:rPr>
          <w:rFonts w:ascii="Times New Roman" w:hAnsi="Times New Roman" w:cs="Times New Roman"/>
          <w:sz w:val="24"/>
          <w:szCs w:val="24"/>
        </w:rPr>
        <w:t>)</w:t>
      </w:r>
      <w:r w:rsidR="007B47D1" w:rsidRPr="009761E8">
        <w:rPr>
          <w:rFonts w:ascii="Times New Roman" w:hAnsi="Times New Roman" w:cs="Times New Roman"/>
          <w:sz w:val="24"/>
          <w:szCs w:val="24"/>
        </w:rPr>
        <w:t>. В 15 087 уведомлениях было завялено в сумме более чем о 1</w:t>
      </w:r>
      <w:r w:rsidR="006020E6" w:rsidRPr="009761E8">
        <w:rPr>
          <w:rFonts w:ascii="Times New Roman" w:hAnsi="Times New Roman" w:cs="Times New Roman"/>
          <w:sz w:val="24"/>
          <w:szCs w:val="24"/>
        </w:rPr>
        <w:t>15 млн контролируемых сделках (</w:t>
      </w:r>
      <w:r w:rsidR="007B47D1" w:rsidRPr="009761E8">
        <w:rPr>
          <w:rFonts w:ascii="Times New Roman" w:hAnsi="Times New Roman" w:cs="Times New Roman"/>
          <w:sz w:val="24"/>
          <w:szCs w:val="24"/>
        </w:rPr>
        <w:t>в 2015 году было заявлено примерно о 98 млн контролируемых сделок, что говорит о росте рассматриваемого показателя на 17% за год).</w:t>
      </w:r>
    </w:p>
    <w:p w:rsidR="009B5C45" w:rsidRPr="009761E8" w:rsidRDefault="009B5C45" w:rsidP="009761E8">
      <w:pPr>
        <w:spacing w:after="0" w:line="360" w:lineRule="auto"/>
        <w:jc w:val="both"/>
        <w:rPr>
          <w:rFonts w:ascii="Times New Roman" w:hAnsi="Times New Roman" w:cs="Times New Roman"/>
          <w:sz w:val="24"/>
          <w:szCs w:val="24"/>
        </w:rPr>
      </w:pPr>
    </w:p>
    <w:p w:rsidR="006253F0" w:rsidRPr="009761E8" w:rsidRDefault="006253F0" w:rsidP="009761E8">
      <w:pPr>
        <w:spacing w:after="0" w:line="360" w:lineRule="auto"/>
        <w:jc w:val="center"/>
        <w:rPr>
          <w:rFonts w:ascii="Times New Roman" w:hAnsi="Times New Roman" w:cs="Times New Roman"/>
          <w:sz w:val="24"/>
          <w:szCs w:val="24"/>
        </w:rPr>
      </w:pPr>
      <w:r w:rsidRPr="009761E8">
        <w:rPr>
          <w:noProof/>
          <w:sz w:val="24"/>
          <w:szCs w:val="24"/>
          <w:lang w:eastAsia="ru-RU"/>
        </w:rPr>
        <w:drawing>
          <wp:inline distT="0" distB="0" distL="0" distR="0" wp14:anchorId="4435B99A" wp14:editId="0A3AB56E">
            <wp:extent cx="5324475" cy="25908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1411" w:rsidRDefault="00A058C4" w:rsidP="009C1411">
      <w:pPr>
        <w:spacing w:after="0" w:line="360" w:lineRule="auto"/>
        <w:jc w:val="center"/>
        <w:rPr>
          <w:rFonts w:ascii="Times New Roman" w:hAnsi="Times New Roman" w:cs="Times New Roman"/>
          <w:i/>
        </w:rPr>
      </w:pPr>
      <w:r>
        <w:rPr>
          <w:rFonts w:ascii="Times New Roman" w:hAnsi="Times New Roman" w:cs="Times New Roman"/>
          <w:sz w:val="24"/>
          <w:szCs w:val="24"/>
        </w:rPr>
        <w:t>Рисунок 3</w:t>
      </w:r>
      <w:r w:rsidR="006253F0" w:rsidRPr="009761E8">
        <w:rPr>
          <w:rFonts w:ascii="Times New Roman" w:hAnsi="Times New Roman" w:cs="Times New Roman"/>
          <w:sz w:val="24"/>
          <w:szCs w:val="24"/>
        </w:rPr>
        <w:t>. Количество предоставленных уведомлений о проведении контролируемых сделок за 2015-2016 год</w:t>
      </w:r>
      <w:r w:rsidR="009C1411" w:rsidRPr="009C1411">
        <w:rPr>
          <w:rFonts w:ascii="Times New Roman" w:hAnsi="Times New Roman" w:cs="Times New Roman"/>
          <w:i/>
        </w:rPr>
        <w:t xml:space="preserve"> </w:t>
      </w:r>
    </w:p>
    <w:p w:rsidR="008C054B" w:rsidRDefault="009C1411" w:rsidP="009C1411">
      <w:pPr>
        <w:spacing w:after="0" w:line="360" w:lineRule="auto"/>
        <w:jc w:val="center"/>
        <w:rPr>
          <w:rFonts w:ascii="Times New Roman" w:hAnsi="Times New Roman" w:cs="Times New Roman"/>
          <w:i/>
        </w:rPr>
      </w:pPr>
      <w:r w:rsidRPr="009C1411">
        <w:rPr>
          <w:rFonts w:ascii="Times New Roman" w:hAnsi="Times New Roman" w:cs="Times New Roman"/>
          <w:i/>
        </w:rPr>
        <w:t>Источник: Официальный сайт ФНС - [Электронный ресурс]: https://www.nalog.ru/rn78/ (Дата обращения 15.04.2018</w:t>
      </w:r>
      <w:r>
        <w:rPr>
          <w:rFonts w:ascii="Times New Roman" w:hAnsi="Times New Roman" w:cs="Times New Roman"/>
          <w:i/>
        </w:rPr>
        <w:t>)</w:t>
      </w:r>
    </w:p>
    <w:p w:rsidR="009B5C45" w:rsidRPr="009C1411" w:rsidRDefault="009B5C45" w:rsidP="009C1411">
      <w:pPr>
        <w:spacing w:after="0" w:line="360" w:lineRule="auto"/>
        <w:jc w:val="center"/>
        <w:rPr>
          <w:rFonts w:ascii="Times New Roman" w:hAnsi="Times New Roman" w:cs="Times New Roman"/>
          <w:i/>
        </w:rPr>
      </w:pPr>
    </w:p>
    <w:p w:rsidR="006020E6" w:rsidRPr="009761E8" w:rsidRDefault="008C054B"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Начиная с 2012 года также прослеживается, что суммы налоговых баз, которые были скорректированы самостоятельно до проведения проверок,</w:t>
      </w:r>
      <w:r w:rsidR="009C1411">
        <w:rPr>
          <w:rFonts w:ascii="Times New Roman" w:hAnsi="Times New Roman" w:cs="Times New Roman"/>
          <w:sz w:val="24"/>
          <w:szCs w:val="24"/>
        </w:rPr>
        <w:t xml:space="preserve"> значительно увеличились (Рисунок</w:t>
      </w:r>
      <w:r w:rsidR="00A058C4">
        <w:rPr>
          <w:rFonts w:ascii="Times New Roman" w:hAnsi="Times New Roman" w:cs="Times New Roman"/>
          <w:sz w:val="24"/>
          <w:szCs w:val="24"/>
        </w:rPr>
        <w:t xml:space="preserve"> 4</w:t>
      </w:r>
      <w:r w:rsidRPr="009761E8">
        <w:rPr>
          <w:rFonts w:ascii="Times New Roman" w:hAnsi="Times New Roman" w:cs="Times New Roman"/>
          <w:sz w:val="24"/>
          <w:szCs w:val="24"/>
        </w:rPr>
        <w:t>). Об этом свидетельствует контрольно-аналитические работы ФНС РФ, на базе которых был выполнен представленный Рисунок 3. На основании с п. 6 ст. 105.3 НК РФ за 2012-2016 налогоплательщики увеличили сумму, подлежащую налогообложению, на 117 млрд. рублей, 115,6 млрд. рублей из которых были корректированы на основе налога на прибыль.</w:t>
      </w:r>
    </w:p>
    <w:p w:rsidR="008C054B" w:rsidRPr="009761E8" w:rsidRDefault="008C054B" w:rsidP="009761E8">
      <w:pPr>
        <w:spacing w:after="0" w:line="360" w:lineRule="auto"/>
        <w:jc w:val="center"/>
        <w:rPr>
          <w:rFonts w:ascii="Times New Roman" w:hAnsi="Times New Roman" w:cs="Times New Roman"/>
          <w:sz w:val="24"/>
          <w:szCs w:val="24"/>
        </w:rPr>
      </w:pPr>
      <w:r w:rsidRPr="009761E8">
        <w:rPr>
          <w:noProof/>
          <w:sz w:val="24"/>
          <w:szCs w:val="24"/>
          <w:lang w:eastAsia="ru-RU"/>
        </w:rPr>
        <w:drawing>
          <wp:inline distT="0" distB="0" distL="0" distR="0" wp14:anchorId="2485DDF8" wp14:editId="4AB87986">
            <wp:extent cx="5695950" cy="28670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054B" w:rsidRDefault="00A058C4" w:rsidP="009C14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4</w:t>
      </w:r>
      <w:r w:rsidR="008C054B" w:rsidRPr="009761E8">
        <w:rPr>
          <w:rFonts w:ascii="Times New Roman" w:hAnsi="Times New Roman" w:cs="Times New Roman"/>
          <w:sz w:val="24"/>
          <w:szCs w:val="24"/>
        </w:rPr>
        <w:t>. Суммы скорректированной налоговой базы по налогу на прибыль</w:t>
      </w:r>
    </w:p>
    <w:p w:rsidR="009C1411" w:rsidRDefault="009C1411" w:rsidP="009C1411">
      <w:pPr>
        <w:spacing w:after="0" w:line="360" w:lineRule="auto"/>
        <w:jc w:val="center"/>
        <w:rPr>
          <w:rFonts w:ascii="Times New Roman" w:hAnsi="Times New Roman" w:cs="Times New Roman"/>
          <w:i/>
        </w:rPr>
      </w:pPr>
      <w:r w:rsidRPr="009C1411">
        <w:rPr>
          <w:rFonts w:ascii="Times New Roman" w:hAnsi="Times New Roman" w:cs="Times New Roman"/>
          <w:i/>
        </w:rPr>
        <w:t>Источник: Официальный сайт ФНС - [Электронный ресурс]: https://www.nalog.ru/rn78/ (Дата обращения 15.04.2018</w:t>
      </w:r>
      <w:r>
        <w:rPr>
          <w:rFonts w:ascii="Times New Roman" w:hAnsi="Times New Roman" w:cs="Times New Roman"/>
          <w:i/>
        </w:rPr>
        <w:t>)</w:t>
      </w:r>
    </w:p>
    <w:p w:rsidR="009B5C45" w:rsidRPr="009C1411" w:rsidRDefault="009B5C45" w:rsidP="009C1411">
      <w:pPr>
        <w:spacing w:after="0" w:line="360" w:lineRule="auto"/>
        <w:jc w:val="center"/>
        <w:rPr>
          <w:rFonts w:ascii="Times New Roman" w:hAnsi="Times New Roman" w:cs="Times New Roman"/>
          <w:i/>
        </w:rPr>
      </w:pPr>
    </w:p>
    <w:p w:rsidR="008C054B" w:rsidRPr="009761E8" w:rsidRDefault="008C054B"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На основе данных корректировок в 2016 году налогоплательщики пополнили государственную казну дополнительно начисленными 16,6 млрд рублей, что в 7,6 раз больше п</w:t>
      </w:r>
      <w:r w:rsidR="009C1411">
        <w:rPr>
          <w:rFonts w:ascii="Times New Roman" w:hAnsi="Times New Roman" w:cs="Times New Roman"/>
          <w:sz w:val="24"/>
          <w:szCs w:val="24"/>
        </w:rPr>
        <w:t>о сравнению с 2012 годом (Рисунок</w:t>
      </w:r>
      <w:r w:rsidR="00A058C4">
        <w:rPr>
          <w:rFonts w:ascii="Times New Roman" w:hAnsi="Times New Roman" w:cs="Times New Roman"/>
          <w:sz w:val="24"/>
          <w:szCs w:val="24"/>
        </w:rPr>
        <w:t xml:space="preserve"> 5</w:t>
      </w:r>
      <w:r w:rsidRPr="009761E8">
        <w:rPr>
          <w:rFonts w:ascii="Times New Roman" w:hAnsi="Times New Roman" w:cs="Times New Roman"/>
          <w:sz w:val="24"/>
          <w:szCs w:val="24"/>
        </w:rPr>
        <w:t>)</w:t>
      </w:r>
    </w:p>
    <w:p w:rsidR="008C054B" w:rsidRPr="009761E8" w:rsidRDefault="008C054B" w:rsidP="009761E8">
      <w:pPr>
        <w:spacing w:after="0" w:line="360" w:lineRule="auto"/>
        <w:jc w:val="both"/>
        <w:rPr>
          <w:rFonts w:ascii="Times New Roman" w:hAnsi="Times New Roman" w:cs="Times New Roman"/>
          <w:sz w:val="24"/>
          <w:szCs w:val="24"/>
        </w:rPr>
      </w:pPr>
    </w:p>
    <w:p w:rsidR="008C054B" w:rsidRPr="009761E8" w:rsidRDefault="008C054B" w:rsidP="009761E8">
      <w:pPr>
        <w:spacing w:after="0" w:line="360" w:lineRule="auto"/>
        <w:jc w:val="center"/>
        <w:rPr>
          <w:rFonts w:ascii="Times New Roman" w:hAnsi="Times New Roman" w:cs="Times New Roman"/>
          <w:sz w:val="24"/>
          <w:szCs w:val="24"/>
        </w:rPr>
      </w:pPr>
      <w:r w:rsidRPr="009761E8">
        <w:rPr>
          <w:noProof/>
          <w:sz w:val="24"/>
          <w:szCs w:val="24"/>
          <w:lang w:eastAsia="ru-RU"/>
        </w:rPr>
        <w:drawing>
          <wp:inline distT="0" distB="0" distL="0" distR="0" wp14:anchorId="3DF8C88E" wp14:editId="12F05193">
            <wp:extent cx="5181600" cy="28098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054B" w:rsidRDefault="00A058C4" w:rsidP="009C14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5</w:t>
      </w:r>
      <w:r w:rsidR="008C054B" w:rsidRPr="009761E8">
        <w:rPr>
          <w:rFonts w:ascii="Times New Roman" w:hAnsi="Times New Roman" w:cs="Times New Roman"/>
          <w:sz w:val="24"/>
          <w:szCs w:val="24"/>
        </w:rPr>
        <w:t>. Сумма полученного налога на прибыль организаций</w:t>
      </w:r>
    </w:p>
    <w:p w:rsidR="009C1411" w:rsidRPr="009C1411" w:rsidRDefault="009C1411" w:rsidP="009C1411">
      <w:pPr>
        <w:spacing w:after="0" w:line="360" w:lineRule="auto"/>
        <w:jc w:val="center"/>
        <w:rPr>
          <w:rFonts w:ascii="Times New Roman" w:hAnsi="Times New Roman" w:cs="Times New Roman"/>
          <w:i/>
        </w:rPr>
      </w:pPr>
      <w:r w:rsidRPr="009C1411">
        <w:rPr>
          <w:rFonts w:ascii="Times New Roman" w:hAnsi="Times New Roman" w:cs="Times New Roman"/>
          <w:i/>
        </w:rPr>
        <w:t>Источник: Официальный сайт ФНС - [Электронный ресурс]: https://www.nalog.ru/rn78/ (Дата обращения 15.04.2018</w:t>
      </w:r>
      <w:r>
        <w:rPr>
          <w:rFonts w:ascii="Times New Roman" w:hAnsi="Times New Roman" w:cs="Times New Roman"/>
          <w:i/>
        </w:rPr>
        <w:t>)</w:t>
      </w:r>
    </w:p>
    <w:p w:rsidR="00D961F3" w:rsidRDefault="00D961F3"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Общая сумма контролируемых сделок, которые были совершены за 2016 отчетный год, составила более 333 трлн рублей, большая часть которых приходилась на внутри</w:t>
      </w:r>
      <w:r w:rsidR="00A058C4">
        <w:rPr>
          <w:rFonts w:ascii="Times New Roman" w:hAnsi="Times New Roman" w:cs="Times New Roman"/>
          <w:sz w:val="24"/>
          <w:szCs w:val="24"/>
        </w:rPr>
        <w:t>российские сделки (Рис. 6</w:t>
      </w:r>
      <w:r w:rsidRPr="009761E8">
        <w:rPr>
          <w:rFonts w:ascii="Times New Roman" w:hAnsi="Times New Roman" w:cs="Times New Roman"/>
          <w:sz w:val="24"/>
          <w:szCs w:val="24"/>
        </w:rPr>
        <w:t>)</w:t>
      </w:r>
    </w:p>
    <w:p w:rsidR="009B5C45" w:rsidRPr="009761E8" w:rsidRDefault="009B5C45" w:rsidP="009761E8">
      <w:pPr>
        <w:spacing w:after="0" w:line="360" w:lineRule="auto"/>
        <w:jc w:val="both"/>
        <w:rPr>
          <w:rFonts w:ascii="Times New Roman" w:hAnsi="Times New Roman" w:cs="Times New Roman"/>
          <w:sz w:val="24"/>
          <w:szCs w:val="24"/>
        </w:rPr>
      </w:pPr>
    </w:p>
    <w:p w:rsidR="00D961F3" w:rsidRPr="009761E8" w:rsidRDefault="00D961F3" w:rsidP="009761E8">
      <w:pPr>
        <w:spacing w:after="0" w:line="360" w:lineRule="auto"/>
        <w:jc w:val="center"/>
        <w:rPr>
          <w:rFonts w:ascii="Times New Roman" w:hAnsi="Times New Roman" w:cs="Times New Roman"/>
          <w:sz w:val="24"/>
          <w:szCs w:val="24"/>
        </w:rPr>
      </w:pPr>
      <w:r w:rsidRPr="009761E8">
        <w:rPr>
          <w:noProof/>
          <w:sz w:val="24"/>
          <w:szCs w:val="24"/>
          <w:lang w:eastAsia="ru-RU"/>
        </w:rPr>
        <w:drawing>
          <wp:inline distT="0" distB="0" distL="0" distR="0" wp14:anchorId="0C116D44" wp14:editId="71EC67F4">
            <wp:extent cx="5519738" cy="3290888"/>
            <wp:effectExtent l="0" t="0" r="5080" b="50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61F3" w:rsidRDefault="00A058C4" w:rsidP="009C14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6</w:t>
      </w:r>
      <w:r w:rsidR="00D961F3" w:rsidRPr="009761E8">
        <w:rPr>
          <w:rFonts w:ascii="Times New Roman" w:hAnsi="Times New Roman" w:cs="Times New Roman"/>
          <w:sz w:val="24"/>
          <w:szCs w:val="24"/>
        </w:rPr>
        <w:t>. Виды контролируемых сделок в процентном соотношении</w:t>
      </w:r>
    </w:p>
    <w:p w:rsidR="009C1411" w:rsidRDefault="009C1411" w:rsidP="009C1411">
      <w:pPr>
        <w:spacing w:after="0" w:line="360" w:lineRule="auto"/>
        <w:jc w:val="center"/>
        <w:rPr>
          <w:rFonts w:ascii="Times New Roman" w:hAnsi="Times New Roman" w:cs="Times New Roman"/>
          <w:i/>
        </w:rPr>
      </w:pPr>
      <w:r w:rsidRPr="009C1411">
        <w:rPr>
          <w:rFonts w:ascii="Times New Roman" w:hAnsi="Times New Roman" w:cs="Times New Roman"/>
          <w:i/>
        </w:rPr>
        <w:t>Источник: Официальный сайт ФНС - [Электронный ресурс]: https://www.nalog.ru/rn78/ (Дата обращения 15.04.2018</w:t>
      </w:r>
      <w:r>
        <w:rPr>
          <w:rFonts w:ascii="Times New Roman" w:hAnsi="Times New Roman" w:cs="Times New Roman"/>
          <w:i/>
        </w:rPr>
        <w:t>)</w:t>
      </w:r>
    </w:p>
    <w:p w:rsidR="009B5C45" w:rsidRPr="009C1411" w:rsidRDefault="009B5C45" w:rsidP="009C1411">
      <w:pPr>
        <w:spacing w:after="0" w:line="360" w:lineRule="auto"/>
        <w:jc w:val="center"/>
        <w:rPr>
          <w:rFonts w:ascii="Times New Roman" w:hAnsi="Times New Roman" w:cs="Times New Roman"/>
          <w:i/>
        </w:rPr>
      </w:pPr>
    </w:p>
    <w:p w:rsidR="008F0EA0" w:rsidRDefault="00E8572A" w:rsidP="00E85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71A99">
        <w:rPr>
          <w:rFonts w:ascii="Times New Roman" w:hAnsi="Times New Roman" w:cs="Times New Roman"/>
          <w:sz w:val="24"/>
          <w:szCs w:val="24"/>
        </w:rPr>
        <w:t>В целом, н</w:t>
      </w:r>
      <w:r w:rsidR="00D961F3" w:rsidRPr="009761E8">
        <w:rPr>
          <w:rFonts w:ascii="Times New Roman" w:hAnsi="Times New Roman" w:cs="Times New Roman"/>
          <w:sz w:val="24"/>
          <w:szCs w:val="24"/>
        </w:rPr>
        <w:t>а основе приведенной статисти</w:t>
      </w:r>
      <w:r w:rsidR="008A255A" w:rsidRPr="009761E8">
        <w:rPr>
          <w:rFonts w:ascii="Times New Roman" w:hAnsi="Times New Roman" w:cs="Times New Roman"/>
          <w:sz w:val="24"/>
          <w:szCs w:val="24"/>
        </w:rPr>
        <w:t>ки можно сделать вывод</w:t>
      </w:r>
      <w:r w:rsidR="00D961F3" w:rsidRPr="009761E8">
        <w:rPr>
          <w:rFonts w:ascii="Times New Roman" w:hAnsi="Times New Roman" w:cs="Times New Roman"/>
          <w:sz w:val="24"/>
          <w:szCs w:val="24"/>
        </w:rPr>
        <w:t xml:space="preserve"> о том, что нововведения, кото</w:t>
      </w:r>
      <w:r w:rsidR="008A255A" w:rsidRPr="009761E8">
        <w:rPr>
          <w:rFonts w:ascii="Times New Roman" w:hAnsi="Times New Roman" w:cs="Times New Roman"/>
          <w:sz w:val="24"/>
          <w:szCs w:val="24"/>
        </w:rPr>
        <w:t xml:space="preserve">рые вступили в силу в 2012 году, имели решающий характер для развития налогового контроля в области ТЦО. </w:t>
      </w:r>
      <w:r w:rsidR="00871A99">
        <w:rPr>
          <w:rFonts w:ascii="Times New Roman" w:hAnsi="Times New Roman" w:cs="Times New Roman"/>
          <w:sz w:val="24"/>
          <w:szCs w:val="24"/>
        </w:rPr>
        <w:t xml:space="preserve">Прежде всего стоит заметить, что налогоплательщики стали подходить с большей ответственностью к подготовке документации по трансфертному ценообразованию, что говорит о росте их сознательности и компетентности в области ТЦО. </w:t>
      </w:r>
      <w:r w:rsidR="008A255A" w:rsidRPr="009761E8">
        <w:rPr>
          <w:rFonts w:ascii="Times New Roman" w:hAnsi="Times New Roman" w:cs="Times New Roman"/>
          <w:sz w:val="24"/>
          <w:szCs w:val="24"/>
        </w:rPr>
        <w:t>Начиная с 2012 виден очевидный рост налоговой базы, суммы налоговых отчислений,</w:t>
      </w:r>
      <w:r w:rsidR="00871A99">
        <w:rPr>
          <w:rFonts w:ascii="Times New Roman" w:hAnsi="Times New Roman" w:cs="Times New Roman"/>
          <w:sz w:val="24"/>
          <w:szCs w:val="24"/>
        </w:rPr>
        <w:t xml:space="preserve"> что указывает на безусловную эффективность введенных правил, и, как следствие, более результативной фискальной политики государства</w:t>
      </w:r>
      <w:r w:rsidR="008A255A" w:rsidRPr="009761E8">
        <w:rPr>
          <w:rFonts w:ascii="Times New Roman" w:hAnsi="Times New Roman" w:cs="Times New Roman"/>
          <w:sz w:val="24"/>
          <w:szCs w:val="24"/>
        </w:rPr>
        <w:t xml:space="preserve">. Положительная динамика говорит о </w:t>
      </w:r>
      <w:r w:rsidR="008F0EA0" w:rsidRPr="009761E8">
        <w:rPr>
          <w:rFonts w:ascii="Times New Roman" w:hAnsi="Times New Roman" w:cs="Times New Roman"/>
          <w:sz w:val="24"/>
          <w:szCs w:val="24"/>
        </w:rPr>
        <w:t xml:space="preserve">правильности выбора </w:t>
      </w:r>
      <w:r w:rsidR="008A255A" w:rsidRPr="009761E8">
        <w:rPr>
          <w:rFonts w:ascii="Times New Roman" w:hAnsi="Times New Roman" w:cs="Times New Roman"/>
          <w:sz w:val="24"/>
          <w:szCs w:val="24"/>
        </w:rPr>
        <w:t>вектор</w:t>
      </w:r>
      <w:r w:rsidR="008F0EA0" w:rsidRPr="009761E8">
        <w:rPr>
          <w:rFonts w:ascii="Times New Roman" w:hAnsi="Times New Roman" w:cs="Times New Roman"/>
          <w:sz w:val="24"/>
          <w:szCs w:val="24"/>
        </w:rPr>
        <w:t>а</w:t>
      </w:r>
      <w:r w:rsidR="008A255A" w:rsidRPr="009761E8">
        <w:rPr>
          <w:rFonts w:ascii="Times New Roman" w:hAnsi="Times New Roman" w:cs="Times New Roman"/>
          <w:sz w:val="24"/>
          <w:szCs w:val="24"/>
        </w:rPr>
        <w:t xml:space="preserve"> развития </w:t>
      </w:r>
      <w:r w:rsidR="008F0EA0" w:rsidRPr="009761E8">
        <w:rPr>
          <w:rFonts w:ascii="Times New Roman" w:hAnsi="Times New Roman" w:cs="Times New Roman"/>
          <w:sz w:val="24"/>
          <w:szCs w:val="24"/>
        </w:rPr>
        <w:t xml:space="preserve">фискальной политики государства. </w:t>
      </w:r>
      <w:r w:rsidR="00871A99">
        <w:rPr>
          <w:rFonts w:ascii="Times New Roman" w:hAnsi="Times New Roman" w:cs="Times New Roman"/>
          <w:sz w:val="24"/>
          <w:szCs w:val="24"/>
        </w:rPr>
        <w:t>Стоит предположить, что в дальнейшем, совершенствуя существующие законы, можно добиться еще более впечатляющих результатов.</w:t>
      </w:r>
    </w:p>
    <w:p w:rsidR="009B5C45" w:rsidRDefault="009B5C45" w:rsidP="00E8572A">
      <w:pPr>
        <w:spacing w:after="0" w:line="360" w:lineRule="auto"/>
        <w:jc w:val="both"/>
        <w:rPr>
          <w:rFonts w:ascii="Times New Roman" w:hAnsi="Times New Roman" w:cs="Times New Roman"/>
          <w:sz w:val="24"/>
          <w:szCs w:val="24"/>
        </w:rPr>
      </w:pPr>
    </w:p>
    <w:p w:rsidR="00E8572A" w:rsidRDefault="00E8572A" w:rsidP="00E8572A">
      <w:pPr>
        <w:spacing w:after="0" w:line="360" w:lineRule="auto"/>
        <w:jc w:val="both"/>
        <w:rPr>
          <w:rFonts w:ascii="Times New Roman" w:hAnsi="Times New Roman" w:cs="Times New Roman"/>
          <w:sz w:val="24"/>
          <w:szCs w:val="24"/>
        </w:rPr>
      </w:pPr>
    </w:p>
    <w:p w:rsidR="00E8572A" w:rsidRDefault="00E8572A" w:rsidP="00E8572A">
      <w:pPr>
        <w:pStyle w:val="2"/>
        <w:spacing w:line="360" w:lineRule="auto"/>
        <w:jc w:val="center"/>
        <w:rPr>
          <w:rFonts w:ascii="Times New Roman" w:hAnsi="Times New Roman" w:cs="Times New Roman"/>
          <w:b/>
          <w:color w:val="auto"/>
          <w:sz w:val="24"/>
          <w:szCs w:val="24"/>
          <w:shd w:val="clear" w:color="auto" w:fill="FFFFFF"/>
        </w:rPr>
      </w:pPr>
      <w:bookmarkStart w:id="10" w:name="_Toc513844336"/>
      <w:r w:rsidRPr="00E8572A">
        <w:rPr>
          <w:rFonts w:ascii="Times New Roman" w:hAnsi="Times New Roman" w:cs="Times New Roman"/>
          <w:b/>
          <w:color w:val="auto"/>
          <w:sz w:val="24"/>
          <w:szCs w:val="24"/>
          <w:shd w:val="clear" w:color="auto" w:fill="FFFFFF"/>
        </w:rPr>
        <w:t>3.2 Анализ судебной практики по вопросам трансфертного ценообразования</w:t>
      </w:r>
      <w:bookmarkEnd w:id="10"/>
    </w:p>
    <w:p w:rsidR="00E8572A" w:rsidRPr="00E8572A" w:rsidRDefault="00E8572A" w:rsidP="00E8572A">
      <w:pPr>
        <w:spacing w:line="360" w:lineRule="auto"/>
      </w:pPr>
    </w:p>
    <w:p w:rsidR="008C054B" w:rsidRPr="009761E8" w:rsidRDefault="00E8572A" w:rsidP="00E85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9409C" w:rsidRPr="009761E8">
        <w:rPr>
          <w:rFonts w:ascii="Times New Roman" w:hAnsi="Times New Roman" w:cs="Times New Roman"/>
          <w:sz w:val="24"/>
          <w:szCs w:val="24"/>
        </w:rPr>
        <w:t xml:space="preserve">Несмотря на эффективность новых правил ТЦО, существуют определенные проблемы. </w:t>
      </w:r>
      <w:r w:rsidR="00871A99">
        <w:rPr>
          <w:rFonts w:ascii="Times New Roman" w:hAnsi="Times New Roman" w:cs="Times New Roman"/>
          <w:sz w:val="24"/>
          <w:szCs w:val="24"/>
        </w:rPr>
        <w:t>В первую очередь</w:t>
      </w:r>
      <w:r w:rsidR="0039409C" w:rsidRPr="009761E8">
        <w:rPr>
          <w:rFonts w:ascii="Times New Roman" w:hAnsi="Times New Roman" w:cs="Times New Roman"/>
          <w:sz w:val="24"/>
          <w:szCs w:val="24"/>
        </w:rPr>
        <w:t xml:space="preserve"> они касаются сложност</w:t>
      </w:r>
      <w:r w:rsidR="005F2673">
        <w:rPr>
          <w:rFonts w:ascii="Times New Roman" w:hAnsi="Times New Roman" w:cs="Times New Roman"/>
          <w:sz w:val="24"/>
          <w:szCs w:val="24"/>
        </w:rPr>
        <w:t>и</w:t>
      </w:r>
      <w:r w:rsidR="00871A99">
        <w:rPr>
          <w:rFonts w:ascii="Times New Roman" w:hAnsi="Times New Roman" w:cs="Times New Roman"/>
          <w:sz w:val="24"/>
          <w:szCs w:val="24"/>
        </w:rPr>
        <w:t xml:space="preserve"> их применения в судебных делах</w:t>
      </w:r>
      <w:r w:rsidR="008F0EA0" w:rsidRPr="009761E8">
        <w:rPr>
          <w:rFonts w:ascii="Times New Roman" w:hAnsi="Times New Roman" w:cs="Times New Roman"/>
          <w:sz w:val="24"/>
          <w:szCs w:val="24"/>
        </w:rPr>
        <w:t>. Прежде всего это при</w:t>
      </w:r>
      <w:r w:rsidR="00871A99">
        <w:rPr>
          <w:rFonts w:ascii="Times New Roman" w:hAnsi="Times New Roman" w:cs="Times New Roman"/>
          <w:sz w:val="24"/>
          <w:szCs w:val="24"/>
        </w:rPr>
        <w:t>н</w:t>
      </w:r>
      <w:r w:rsidR="008F0EA0" w:rsidRPr="009761E8">
        <w:rPr>
          <w:rFonts w:ascii="Times New Roman" w:hAnsi="Times New Roman" w:cs="Times New Roman"/>
          <w:sz w:val="24"/>
          <w:szCs w:val="24"/>
        </w:rPr>
        <w:t xml:space="preserve">ято связывать с </w:t>
      </w:r>
      <w:r w:rsidR="0039409C" w:rsidRPr="009761E8">
        <w:rPr>
          <w:rFonts w:ascii="Times New Roman" w:hAnsi="Times New Roman" w:cs="Times New Roman"/>
          <w:sz w:val="24"/>
          <w:szCs w:val="24"/>
        </w:rPr>
        <w:t xml:space="preserve">относительной новизной норм и </w:t>
      </w:r>
      <w:r w:rsidR="008F0EA0" w:rsidRPr="009761E8">
        <w:rPr>
          <w:rFonts w:ascii="Times New Roman" w:hAnsi="Times New Roman" w:cs="Times New Roman"/>
          <w:sz w:val="24"/>
          <w:szCs w:val="24"/>
        </w:rPr>
        <w:t xml:space="preserve">недостатком судебной практики, так как она является недостаточно обширной для разрешения споров между налогоплательщиками и органами налоговой политики. </w:t>
      </w:r>
      <w:r w:rsidR="0039409C" w:rsidRPr="009761E8">
        <w:rPr>
          <w:rFonts w:ascii="Times New Roman" w:hAnsi="Times New Roman" w:cs="Times New Roman"/>
          <w:sz w:val="24"/>
          <w:szCs w:val="24"/>
        </w:rPr>
        <w:t>Также стоит брать во внимание то, что большинство спорных случаев, как правило, регулируют на первоначальных этапах, стараясь разрешать их в досудебном порядке.</w:t>
      </w:r>
    </w:p>
    <w:p w:rsidR="00282A7C" w:rsidRPr="009761E8" w:rsidRDefault="0039409C"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r>
      <w:r w:rsidR="00282A7C" w:rsidRPr="009761E8">
        <w:rPr>
          <w:rFonts w:ascii="Times New Roman" w:hAnsi="Times New Roman" w:cs="Times New Roman"/>
          <w:sz w:val="24"/>
          <w:szCs w:val="24"/>
        </w:rPr>
        <w:t>Первым и наиболее значимым делом по вопросу контролируемых сделок в рамках ТЦО по контролируемым сделкам, стало дело ЗАО «Нефтяная комп</w:t>
      </w:r>
      <w:r w:rsidR="00BD27D6" w:rsidRPr="009761E8">
        <w:rPr>
          <w:rFonts w:ascii="Times New Roman" w:hAnsi="Times New Roman" w:cs="Times New Roman"/>
          <w:sz w:val="24"/>
          <w:szCs w:val="24"/>
        </w:rPr>
        <w:t>ания Дулисьма»</w:t>
      </w:r>
      <w:r w:rsidR="00A20760" w:rsidRPr="009761E8">
        <w:rPr>
          <w:rFonts w:ascii="Times New Roman" w:hAnsi="Times New Roman" w:cs="Times New Roman"/>
          <w:sz w:val="24"/>
          <w:szCs w:val="24"/>
        </w:rPr>
        <w:t xml:space="preserve"> (далее – дело)</w:t>
      </w:r>
      <w:r w:rsidR="00BD27D6" w:rsidRPr="009761E8">
        <w:rPr>
          <w:rFonts w:ascii="Times New Roman" w:hAnsi="Times New Roman" w:cs="Times New Roman"/>
          <w:sz w:val="24"/>
          <w:szCs w:val="24"/>
        </w:rPr>
        <w:t>, рассмотренное арбитражным судом (далее – АС)</w:t>
      </w:r>
      <w:r w:rsidR="00282A7C" w:rsidRPr="009761E8">
        <w:rPr>
          <w:rFonts w:ascii="Times New Roman" w:hAnsi="Times New Roman" w:cs="Times New Roman"/>
          <w:sz w:val="24"/>
          <w:szCs w:val="24"/>
        </w:rPr>
        <w:t xml:space="preserve"> г.Москвы (Решение от 27.01.2</w:t>
      </w:r>
      <w:r w:rsidR="00A20760" w:rsidRPr="009761E8">
        <w:rPr>
          <w:rFonts w:ascii="Times New Roman" w:hAnsi="Times New Roman" w:cs="Times New Roman"/>
          <w:sz w:val="24"/>
          <w:szCs w:val="24"/>
        </w:rPr>
        <w:t>017 г. №А40-123426/16-140-1066), в котором речь шла о неуплате налогов и пеней в размере 177 млн рублей.</w:t>
      </w:r>
    </w:p>
    <w:p w:rsidR="00282A7C" w:rsidRPr="009761E8" w:rsidRDefault="00BD27D6"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Как и стоило ожидать, начало формирования судебной практики по вопросам ТЦО пришлось на анализ сделок, в рамках которых осуществлялась реализация товара мировой биржевой торговли </w:t>
      </w:r>
      <w:r w:rsidR="00A20760" w:rsidRPr="009761E8">
        <w:rPr>
          <w:rFonts w:ascii="Times New Roman" w:hAnsi="Times New Roman" w:cs="Times New Roman"/>
          <w:sz w:val="24"/>
          <w:szCs w:val="24"/>
        </w:rPr>
        <w:t>иностранному</w:t>
      </w:r>
      <w:r w:rsidRPr="009761E8">
        <w:rPr>
          <w:rFonts w:ascii="Times New Roman" w:hAnsi="Times New Roman" w:cs="Times New Roman"/>
          <w:sz w:val="24"/>
          <w:szCs w:val="24"/>
        </w:rPr>
        <w:t xml:space="preserve"> т</w:t>
      </w:r>
      <w:r w:rsidR="00A20760" w:rsidRPr="009761E8">
        <w:rPr>
          <w:rFonts w:ascii="Times New Roman" w:hAnsi="Times New Roman" w:cs="Times New Roman"/>
          <w:sz w:val="24"/>
          <w:szCs w:val="24"/>
        </w:rPr>
        <w:t>рейдеру</w:t>
      </w:r>
      <w:r w:rsidRPr="009761E8">
        <w:rPr>
          <w:rFonts w:ascii="Times New Roman" w:hAnsi="Times New Roman" w:cs="Times New Roman"/>
          <w:sz w:val="24"/>
          <w:szCs w:val="24"/>
        </w:rPr>
        <w:t xml:space="preserve">. </w:t>
      </w:r>
      <w:r w:rsidR="00A20760" w:rsidRPr="009761E8">
        <w:rPr>
          <w:rFonts w:ascii="Times New Roman" w:hAnsi="Times New Roman" w:cs="Times New Roman"/>
          <w:sz w:val="24"/>
          <w:szCs w:val="24"/>
        </w:rPr>
        <w:t xml:space="preserve">Данный прецедент также представляет собой интерес, так как он имел несвойственные для подобных дел особенности, которые могут сыграть ключевую роль в жизни компании. </w:t>
      </w:r>
    </w:p>
    <w:p w:rsidR="00CC106A" w:rsidRPr="009761E8" w:rsidRDefault="00A20760"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Дело началось с предоставления налоговым органам уведомления о произведенных сделках в 2012 году, которые </w:t>
      </w:r>
      <w:r w:rsidR="00CC106A" w:rsidRPr="009761E8">
        <w:rPr>
          <w:rFonts w:ascii="Times New Roman" w:hAnsi="Times New Roman" w:cs="Times New Roman"/>
          <w:sz w:val="24"/>
          <w:szCs w:val="24"/>
        </w:rPr>
        <w:t>признаны контролируемыми по следующим причинам</w:t>
      </w:r>
      <w:r w:rsidRPr="009761E8">
        <w:rPr>
          <w:rFonts w:ascii="Times New Roman" w:hAnsi="Times New Roman" w:cs="Times New Roman"/>
          <w:sz w:val="24"/>
          <w:szCs w:val="24"/>
        </w:rPr>
        <w:t xml:space="preserve">: </w:t>
      </w:r>
    </w:p>
    <w:p w:rsidR="00CC106A" w:rsidRPr="009761E8" w:rsidRDefault="00CC106A" w:rsidP="009761E8">
      <w:pPr>
        <w:pStyle w:val="a3"/>
        <w:numPr>
          <w:ilvl w:val="0"/>
          <w:numId w:val="6"/>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С</w:t>
      </w:r>
      <w:r w:rsidR="00A20760" w:rsidRPr="009761E8">
        <w:rPr>
          <w:rFonts w:ascii="Times New Roman" w:hAnsi="Times New Roman" w:cs="Times New Roman"/>
          <w:sz w:val="24"/>
          <w:szCs w:val="24"/>
        </w:rPr>
        <w:t xml:space="preserve">умма доходов по ней превышала 60 млн рублей (а именно – 18 </w:t>
      </w:r>
      <w:r w:rsidRPr="009761E8">
        <w:rPr>
          <w:rFonts w:ascii="Times New Roman" w:hAnsi="Times New Roman" w:cs="Times New Roman"/>
          <w:sz w:val="24"/>
          <w:szCs w:val="24"/>
        </w:rPr>
        <w:t>млрд рублей)</w:t>
      </w:r>
    </w:p>
    <w:p w:rsidR="00CC106A" w:rsidRPr="009761E8" w:rsidRDefault="00CC106A" w:rsidP="009761E8">
      <w:pPr>
        <w:pStyle w:val="a3"/>
        <w:numPr>
          <w:ilvl w:val="0"/>
          <w:numId w:val="6"/>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xml:space="preserve">Объектом выступал товар мировой биржевой торговли – продукт нефтяной промышленности (нефть марки </w:t>
      </w:r>
      <w:r w:rsidRPr="009761E8">
        <w:rPr>
          <w:rFonts w:ascii="Times New Roman" w:hAnsi="Times New Roman" w:cs="Times New Roman"/>
          <w:sz w:val="24"/>
          <w:szCs w:val="24"/>
          <w:lang w:val="en-US"/>
        </w:rPr>
        <w:t>BCTO</w:t>
      </w:r>
      <w:r w:rsidRPr="009761E8">
        <w:rPr>
          <w:rFonts w:ascii="Times New Roman" w:hAnsi="Times New Roman" w:cs="Times New Roman"/>
          <w:sz w:val="24"/>
          <w:szCs w:val="24"/>
        </w:rPr>
        <w:t>)</w:t>
      </w:r>
    </w:p>
    <w:p w:rsidR="00CC106A" w:rsidRPr="009761E8" w:rsidRDefault="00CC106A" w:rsidP="009761E8">
      <w:pPr>
        <w:pStyle w:val="a3"/>
        <w:numPr>
          <w:ilvl w:val="0"/>
          <w:numId w:val="6"/>
        </w:num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 xml:space="preserve"> Покупатель был зарегистрирован в юрисдикции, имеющей определённые преференции в области налогообложения (располагался в оффшорной зоне)</w:t>
      </w:r>
    </w:p>
    <w:p w:rsidR="00CC106A" w:rsidRPr="009761E8" w:rsidRDefault="00CC106A"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Предметом</w:t>
      </w:r>
      <w:r w:rsidR="00A20760" w:rsidRPr="009761E8">
        <w:rPr>
          <w:rFonts w:ascii="Times New Roman" w:hAnsi="Times New Roman" w:cs="Times New Roman"/>
          <w:sz w:val="24"/>
          <w:szCs w:val="24"/>
        </w:rPr>
        <w:t xml:space="preserve"> </w:t>
      </w:r>
      <w:r w:rsidRPr="009761E8">
        <w:rPr>
          <w:rFonts w:ascii="Times New Roman" w:hAnsi="Times New Roman" w:cs="Times New Roman"/>
          <w:sz w:val="24"/>
          <w:szCs w:val="24"/>
        </w:rPr>
        <w:t xml:space="preserve">проверок выступила совокупность </w:t>
      </w:r>
      <w:r w:rsidR="00A20760" w:rsidRPr="009761E8">
        <w:rPr>
          <w:rFonts w:ascii="Times New Roman" w:hAnsi="Times New Roman" w:cs="Times New Roman"/>
          <w:sz w:val="24"/>
          <w:szCs w:val="24"/>
        </w:rPr>
        <w:t>сделок</w:t>
      </w:r>
      <w:r w:rsidRPr="009761E8">
        <w:rPr>
          <w:rFonts w:ascii="Times New Roman" w:hAnsi="Times New Roman" w:cs="Times New Roman"/>
          <w:sz w:val="24"/>
          <w:szCs w:val="24"/>
        </w:rPr>
        <w:t xml:space="preserve">, в контексте которых происходила продажа нефти китайской компании «Concept oil services </w:t>
      </w:r>
      <w:r w:rsidRPr="009761E8">
        <w:rPr>
          <w:rFonts w:ascii="Times New Roman" w:hAnsi="Times New Roman" w:cs="Times New Roman"/>
          <w:sz w:val="24"/>
          <w:szCs w:val="24"/>
          <w:lang w:val="en-US"/>
        </w:rPr>
        <w:t>l</w:t>
      </w:r>
      <w:r w:rsidR="00A20760" w:rsidRPr="009761E8">
        <w:rPr>
          <w:rFonts w:ascii="Times New Roman" w:hAnsi="Times New Roman" w:cs="Times New Roman"/>
          <w:sz w:val="24"/>
          <w:szCs w:val="24"/>
        </w:rPr>
        <w:t xml:space="preserve">imited», </w:t>
      </w:r>
      <w:r w:rsidRPr="009761E8">
        <w:rPr>
          <w:rFonts w:ascii="Times New Roman" w:hAnsi="Times New Roman" w:cs="Times New Roman"/>
          <w:sz w:val="24"/>
          <w:szCs w:val="24"/>
        </w:rPr>
        <w:t>которая была зарегистрирована</w:t>
      </w:r>
      <w:r w:rsidR="00A20760" w:rsidRPr="009761E8">
        <w:rPr>
          <w:rFonts w:ascii="Times New Roman" w:hAnsi="Times New Roman" w:cs="Times New Roman"/>
          <w:sz w:val="24"/>
          <w:szCs w:val="24"/>
        </w:rPr>
        <w:t xml:space="preserve"> в Гонконге (далее – «</w:t>
      </w:r>
      <w:r w:rsidRPr="009761E8">
        <w:rPr>
          <w:rFonts w:ascii="Times New Roman" w:hAnsi="Times New Roman" w:cs="Times New Roman"/>
          <w:sz w:val="24"/>
          <w:szCs w:val="24"/>
        </w:rPr>
        <w:t>Покупатель»). Для транспортировки ревизуемого товара была выбрана компания ОАО «АК Транснефть».</w:t>
      </w:r>
    </w:p>
    <w:p w:rsidR="00CC106A" w:rsidRPr="009761E8" w:rsidRDefault="00CC106A"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При запросе ФНС установленной законом документации</w:t>
      </w:r>
      <w:r w:rsidR="00DE18D6" w:rsidRPr="009761E8">
        <w:rPr>
          <w:rFonts w:ascii="Times New Roman" w:hAnsi="Times New Roman" w:cs="Times New Roman"/>
          <w:sz w:val="24"/>
          <w:szCs w:val="24"/>
        </w:rPr>
        <w:t xml:space="preserve"> налогоплательщик отклонил данное требование, не предоставив расчеты трансфертных цена на поставляемую нефть, а также не указав метод, который использовался </w:t>
      </w:r>
      <w:r w:rsidR="007303CF" w:rsidRPr="009761E8">
        <w:rPr>
          <w:rFonts w:ascii="Times New Roman" w:hAnsi="Times New Roman" w:cs="Times New Roman"/>
          <w:sz w:val="24"/>
          <w:szCs w:val="24"/>
        </w:rPr>
        <w:t>в процесс</w:t>
      </w:r>
      <w:r w:rsidR="00DE18D6" w:rsidRPr="009761E8">
        <w:rPr>
          <w:rFonts w:ascii="Times New Roman" w:hAnsi="Times New Roman" w:cs="Times New Roman"/>
          <w:sz w:val="24"/>
          <w:szCs w:val="24"/>
        </w:rPr>
        <w:t>е</w:t>
      </w:r>
      <w:r w:rsidRPr="009761E8">
        <w:rPr>
          <w:rFonts w:ascii="Times New Roman" w:hAnsi="Times New Roman" w:cs="Times New Roman"/>
          <w:sz w:val="24"/>
          <w:szCs w:val="24"/>
        </w:rPr>
        <w:t xml:space="preserve"> ценообразования.</w:t>
      </w:r>
    </w:p>
    <w:p w:rsidR="007303CF" w:rsidRPr="009761E8" w:rsidRDefault="007303CF"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Для определения рыночной стоимости реализуемой компанией нефти были использованы характерные для данной отрасли ориентиры: котировки S&amp;P Global Platts, компании, которая является мировым лидером по поставке информации об эталонных ценах на энергетические ресурсы. В соответствии с контрактом цена купли-продажи была о</w:t>
      </w:r>
      <w:r w:rsidR="008A2D23">
        <w:rPr>
          <w:rFonts w:ascii="Times New Roman" w:hAnsi="Times New Roman" w:cs="Times New Roman"/>
          <w:sz w:val="24"/>
          <w:szCs w:val="24"/>
        </w:rPr>
        <w:t xml:space="preserve">пределена как среднее значение </w:t>
      </w:r>
      <w:r w:rsidRPr="009761E8">
        <w:rPr>
          <w:rFonts w:ascii="Times New Roman" w:hAnsi="Times New Roman" w:cs="Times New Roman"/>
          <w:sz w:val="24"/>
          <w:szCs w:val="24"/>
        </w:rPr>
        <w:t>из средних котировок на нефтепродукты маркерного сорта нефти</w:t>
      </w:r>
      <w:r w:rsidR="005F0B08" w:rsidRPr="009761E8">
        <w:rPr>
          <w:rFonts w:ascii="Times New Roman" w:hAnsi="Times New Roman" w:cs="Times New Roman"/>
          <w:sz w:val="24"/>
          <w:szCs w:val="24"/>
        </w:rPr>
        <w:t xml:space="preserve"> «Дубай»</w:t>
      </w:r>
      <w:r w:rsidRPr="009761E8">
        <w:rPr>
          <w:rFonts w:ascii="Times New Roman" w:hAnsi="Times New Roman" w:cs="Times New Roman"/>
          <w:sz w:val="24"/>
          <w:szCs w:val="24"/>
        </w:rPr>
        <w:t xml:space="preserve">, согласованная обеими сторонами за вычетом дифференциала, который был определен до факта поставки, исходя из ситуации, которая превалировала на рынке. При проведении проверок </w:t>
      </w:r>
      <w:r w:rsidR="005F0B08" w:rsidRPr="009761E8">
        <w:rPr>
          <w:rFonts w:ascii="Times New Roman" w:hAnsi="Times New Roman" w:cs="Times New Roman"/>
          <w:sz w:val="24"/>
          <w:szCs w:val="24"/>
        </w:rPr>
        <w:t>ФНС использовала котировки S&amp;P Global Platts</w:t>
      </w:r>
      <w:r w:rsidRPr="009761E8">
        <w:rPr>
          <w:rFonts w:ascii="Times New Roman" w:hAnsi="Times New Roman" w:cs="Times New Roman"/>
          <w:sz w:val="24"/>
          <w:szCs w:val="24"/>
        </w:rPr>
        <w:t xml:space="preserve"> </w:t>
      </w:r>
      <w:r w:rsidR="005F0B08" w:rsidRPr="009761E8">
        <w:rPr>
          <w:rFonts w:ascii="Times New Roman" w:hAnsi="Times New Roman" w:cs="Times New Roman"/>
          <w:sz w:val="24"/>
          <w:szCs w:val="24"/>
        </w:rPr>
        <w:t>в качестве сопоставимых. Тем не менее корректировка сырой нефти происходила на дифференциал ESPO M1, то есть была увеличена на минимальное значение премии</w:t>
      </w:r>
      <w:r w:rsidRPr="009761E8">
        <w:rPr>
          <w:rFonts w:ascii="Times New Roman" w:hAnsi="Times New Roman" w:cs="Times New Roman"/>
          <w:sz w:val="24"/>
          <w:szCs w:val="24"/>
        </w:rPr>
        <w:t xml:space="preserve">, </w:t>
      </w:r>
      <w:r w:rsidR="005F0B08" w:rsidRPr="009761E8">
        <w:rPr>
          <w:rFonts w:ascii="Times New Roman" w:hAnsi="Times New Roman" w:cs="Times New Roman"/>
          <w:sz w:val="24"/>
          <w:szCs w:val="24"/>
        </w:rPr>
        <w:t xml:space="preserve">определение </w:t>
      </w:r>
      <w:r w:rsidRPr="009761E8">
        <w:rPr>
          <w:rFonts w:ascii="Times New Roman" w:hAnsi="Times New Roman" w:cs="Times New Roman"/>
          <w:sz w:val="24"/>
          <w:szCs w:val="24"/>
        </w:rPr>
        <w:t>к</w:t>
      </w:r>
      <w:r w:rsidR="005F0B08" w:rsidRPr="009761E8">
        <w:rPr>
          <w:rFonts w:ascii="Times New Roman" w:hAnsi="Times New Roman" w:cs="Times New Roman"/>
          <w:sz w:val="24"/>
          <w:szCs w:val="24"/>
        </w:rPr>
        <w:t xml:space="preserve">оторого происходило на максимально близкую дату до подписания дополнительного </w:t>
      </w:r>
      <w:r w:rsidRPr="009761E8">
        <w:rPr>
          <w:rFonts w:ascii="Times New Roman" w:hAnsi="Times New Roman" w:cs="Times New Roman"/>
          <w:sz w:val="24"/>
          <w:szCs w:val="24"/>
        </w:rPr>
        <w:t xml:space="preserve">соглашения по </w:t>
      </w:r>
      <w:r w:rsidR="005F0B08" w:rsidRPr="009761E8">
        <w:rPr>
          <w:rFonts w:ascii="Times New Roman" w:hAnsi="Times New Roman" w:cs="Times New Roman"/>
          <w:sz w:val="24"/>
          <w:szCs w:val="24"/>
        </w:rPr>
        <w:t>сделке.  Стоит заметить, что, для того, чтобы определить возможность применения нефти марки «Дубай» в качестве с</w:t>
      </w:r>
      <w:r w:rsidR="00364C98">
        <w:rPr>
          <w:rFonts w:ascii="Times New Roman" w:hAnsi="Times New Roman" w:cs="Times New Roman"/>
          <w:sz w:val="24"/>
          <w:szCs w:val="24"/>
        </w:rPr>
        <w:t>о</w:t>
      </w:r>
      <w:r w:rsidR="005F0B08" w:rsidRPr="009761E8">
        <w:rPr>
          <w:rFonts w:ascii="Times New Roman" w:hAnsi="Times New Roman" w:cs="Times New Roman"/>
          <w:sz w:val="24"/>
          <w:szCs w:val="24"/>
        </w:rPr>
        <w:t xml:space="preserve">поставимой, ФНС было направлен запрос в агентство S&amp;P Global Platts, которое в последствии констатировало, что применение котировок маркерной нефти является резонной в контексте рассматриваемой сделки. </w:t>
      </w:r>
    </w:p>
    <w:p w:rsidR="005F0B08" w:rsidRPr="009761E8" w:rsidRDefault="005F0B08"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Также ФНС </w:t>
      </w:r>
      <w:r w:rsidR="001968D0" w:rsidRPr="009761E8">
        <w:rPr>
          <w:rFonts w:ascii="Times New Roman" w:hAnsi="Times New Roman" w:cs="Times New Roman"/>
          <w:sz w:val="24"/>
          <w:szCs w:val="24"/>
        </w:rPr>
        <w:t>было проведено исследование на предмет</w:t>
      </w:r>
      <w:r w:rsidRPr="009761E8">
        <w:rPr>
          <w:rFonts w:ascii="Times New Roman" w:hAnsi="Times New Roman" w:cs="Times New Roman"/>
          <w:sz w:val="24"/>
          <w:szCs w:val="24"/>
        </w:rPr>
        <w:t xml:space="preserve"> возможности </w:t>
      </w:r>
      <w:r w:rsidR="001968D0" w:rsidRPr="009761E8">
        <w:rPr>
          <w:rFonts w:ascii="Times New Roman" w:hAnsi="Times New Roman" w:cs="Times New Roman"/>
          <w:sz w:val="24"/>
          <w:szCs w:val="24"/>
        </w:rPr>
        <w:t xml:space="preserve">использовании таких методов ТЦО, как метод цены последующей реализации и </w:t>
      </w:r>
      <w:r w:rsidRPr="009761E8">
        <w:rPr>
          <w:rFonts w:ascii="Times New Roman" w:hAnsi="Times New Roman" w:cs="Times New Roman"/>
          <w:sz w:val="24"/>
          <w:szCs w:val="24"/>
        </w:rPr>
        <w:t>сопоставимых рыночных цен.</w:t>
      </w:r>
      <w:r w:rsidR="001968D0" w:rsidRPr="009761E8">
        <w:rPr>
          <w:rFonts w:ascii="Times New Roman" w:hAnsi="Times New Roman" w:cs="Times New Roman"/>
          <w:sz w:val="24"/>
          <w:szCs w:val="24"/>
        </w:rPr>
        <w:t xml:space="preserve"> На первом же настаивала Компания, тем не менее, по мнению суда, его</w:t>
      </w:r>
      <w:r w:rsidRPr="009761E8">
        <w:rPr>
          <w:rFonts w:ascii="Times New Roman" w:hAnsi="Times New Roman" w:cs="Times New Roman"/>
          <w:sz w:val="24"/>
          <w:szCs w:val="24"/>
        </w:rPr>
        <w:t xml:space="preserve"> </w:t>
      </w:r>
      <w:r w:rsidR="001968D0" w:rsidRPr="009761E8">
        <w:rPr>
          <w:rFonts w:ascii="Times New Roman" w:hAnsi="Times New Roman" w:cs="Times New Roman"/>
          <w:sz w:val="24"/>
          <w:szCs w:val="24"/>
        </w:rPr>
        <w:t xml:space="preserve">применение является некорректным по причине отсутствия </w:t>
      </w:r>
      <w:r w:rsidRPr="009761E8">
        <w:rPr>
          <w:rFonts w:ascii="Times New Roman" w:hAnsi="Times New Roman" w:cs="Times New Roman"/>
          <w:sz w:val="24"/>
          <w:szCs w:val="24"/>
        </w:rPr>
        <w:t>информации</w:t>
      </w:r>
      <w:r w:rsidR="001968D0" w:rsidRPr="009761E8">
        <w:rPr>
          <w:rFonts w:ascii="Times New Roman" w:hAnsi="Times New Roman" w:cs="Times New Roman"/>
          <w:sz w:val="24"/>
          <w:szCs w:val="24"/>
        </w:rPr>
        <w:t xml:space="preserve"> о том, кто в последствии станет конечным покупателем</w:t>
      </w:r>
      <w:r w:rsidRPr="009761E8">
        <w:rPr>
          <w:rFonts w:ascii="Times New Roman" w:hAnsi="Times New Roman" w:cs="Times New Roman"/>
          <w:sz w:val="24"/>
          <w:szCs w:val="24"/>
        </w:rPr>
        <w:t xml:space="preserve"> нефти</w:t>
      </w:r>
      <w:r w:rsidR="001968D0" w:rsidRPr="009761E8">
        <w:rPr>
          <w:rFonts w:ascii="Times New Roman" w:hAnsi="Times New Roman" w:cs="Times New Roman"/>
          <w:sz w:val="24"/>
          <w:szCs w:val="24"/>
        </w:rPr>
        <w:t xml:space="preserve"> после реализации</w:t>
      </w:r>
      <w:r w:rsidRPr="009761E8">
        <w:rPr>
          <w:rFonts w:ascii="Times New Roman" w:hAnsi="Times New Roman" w:cs="Times New Roman"/>
          <w:sz w:val="24"/>
          <w:szCs w:val="24"/>
        </w:rPr>
        <w:t xml:space="preserve"> </w:t>
      </w:r>
      <w:r w:rsidR="001968D0" w:rsidRPr="009761E8">
        <w:rPr>
          <w:rFonts w:ascii="Times New Roman" w:hAnsi="Times New Roman" w:cs="Times New Roman"/>
          <w:sz w:val="24"/>
          <w:szCs w:val="24"/>
        </w:rPr>
        <w:t>Покупателю</w:t>
      </w:r>
      <w:r w:rsidRPr="009761E8">
        <w:rPr>
          <w:rFonts w:ascii="Times New Roman" w:hAnsi="Times New Roman" w:cs="Times New Roman"/>
          <w:sz w:val="24"/>
          <w:szCs w:val="24"/>
        </w:rPr>
        <w:t xml:space="preserve">. </w:t>
      </w:r>
      <w:r w:rsidR="001968D0" w:rsidRPr="009761E8">
        <w:rPr>
          <w:rFonts w:ascii="Times New Roman" w:hAnsi="Times New Roman" w:cs="Times New Roman"/>
          <w:sz w:val="24"/>
          <w:szCs w:val="24"/>
        </w:rPr>
        <w:t>По причине отсутствия на рынке сопоставимых сделок Покупателя, в рамках которых осуществлялась продажа идентичного товара, а также публичной информации, налоговыми органами было принято решение</w:t>
      </w:r>
      <w:r w:rsidRPr="009761E8">
        <w:rPr>
          <w:rFonts w:ascii="Times New Roman" w:hAnsi="Times New Roman" w:cs="Times New Roman"/>
          <w:sz w:val="24"/>
          <w:szCs w:val="24"/>
        </w:rPr>
        <w:t xml:space="preserve"> </w:t>
      </w:r>
      <w:r w:rsidR="001968D0" w:rsidRPr="009761E8">
        <w:rPr>
          <w:rFonts w:ascii="Times New Roman" w:hAnsi="Times New Roman" w:cs="Times New Roman"/>
          <w:sz w:val="24"/>
          <w:szCs w:val="24"/>
        </w:rPr>
        <w:t>применять информацию, полученную от S&amp;P Global Platts</w:t>
      </w:r>
      <w:r w:rsidRPr="009761E8">
        <w:rPr>
          <w:rFonts w:ascii="Times New Roman" w:hAnsi="Times New Roman" w:cs="Times New Roman"/>
          <w:sz w:val="24"/>
          <w:szCs w:val="24"/>
        </w:rPr>
        <w:t xml:space="preserve">. </w:t>
      </w:r>
      <w:r w:rsidR="001968D0" w:rsidRPr="009761E8">
        <w:rPr>
          <w:rFonts w:ascii="Times New Roman" w:hAnsi="Times New Roman" w:cs="Times New Roman"/>
          <w:sz w:val="24"/>
          <w:szCs w:val="24"/>
        </w:rPr>
        <w:t xml:space="preserve">В качестве противовеса Компания заявила об осведомленности </w:t>
      </w:r>
      <w:r w:rsidRPr="009761E8">
        <w:rPr>
          <w:rFonts w:ascii="Times New Roman" w:hAnsi="Times New Roman" w:cs="Times New Roman"/>
          <w:sz w:val="24"/>
          <w:szCs w:val="24"/>
        </w:rPr>
        <w:t xml:space="preserve">ФНС </w:t>
      </w:r>
      <w:r w:rsidR="001968D0" w:rsidRPr="009761E8">
        <w:rPr>
          <w:rFonts w:ascii="Times New Roman" w:hAnsi="Times New Roman" w:cs="Times New Roman"/>
          <w:sz w:val="24"/>
          <w:szCs w:val="24"/>
        </w:rPr>
        <w:t xml:space="preserve">о сделках, проводимых другими </w:t>
      </w:r>
      <w:r w:rsidRPr="009761E8">
        <w:rPr>
          <w:rFonts w:ascii="Times New Roman" w:hAnsi="Times New Roman" w:cs="Times New Roman"/>
          <w:sz w:val="24"/>
          <w:szCs w:val="24"/>
        </w:rPr>
        <w:t>малыми нефтяными организация</w:t>
      </w:r>
      <w:r w:rsidR="001968D0" w:rsidRPr="009761E8">
        <w:rPr>
          <w:rFonts w:ascii="Times New Roman" w:hAnsi="Times New Roman" w:cs="Times New Roman"/>
          <w:sz w:val="24"/>
          <w:szCs w:val="24"/>
        </w:rPr>
        <w:t>ми</w:t>
      </w:r>
      <w:r w:rsidRPr="009761E8">
        <w:rPr>
          <w:rFonts w:ascii="Times New Roman" w:hAnsi="Times New Roman" w:cs="Times New Roman"/>
          <w:sz w:val="24"/>
          <w:szCs w:val="24"/>
        </w:rPr>
        <w:t xml:space="preserve"> с </w:t>
      </w:r>
      <w:r w:rsidR="001968D0" w:rsidRPr="009761E8">
        <w:rPr>
          <w:rFonts w:ascii="Times New Roman" w:hAnsi="Times New Roman" w:cs="Times New Roman"/>
          <w:sz w:val="24"/>
          <w:szCs w:val="24"/>
        </w:rPr>
        <w:t>Покупателем, которые были про</w:t>
      </w:r>
      <w:r w:rsidR="00E556BA" w:rsidRPr="009761E8">
        <w:rPr>
          <w:rFonts w:ascii="Times New Roman" w:hAnsi="Times New Roman" w:cs="Times New Roman"/>
          <w:sz w:val="24"/>
          <w:szCs w:val="24"/>
        </w:rPr>
        <w:t>изведены на аналогичных условиях. Тем не менее протест был</w:t>
      </w:r>
      <w:r w:rsidRPr="009761E8">
        <w:rPr>
          <w:rFonts w:ascii="Times New Roman" w:hAnsi="Times New Roman" w:cs="Times New Roman"/>
          <w:sz w:val="24"/>
          <w:szCs w:val="24"/>
        </w:rPr>
        <w:t xml:space="preserve"> отклонен</w:t>
      </w:r>
      <w:r w:rsidR="00E556BA" w:rsidRPr="009761E8">
        <w:rPr>
          <w:rFonts w:ascii="Times New Roman" w:hAnsi="Times New Roman" w:cs="Times New Roman"/>
          <w:sz w:val="24"/>
          <w:szCs w:val="24"/>
        </w:rPr>
        <w:t xml:space="preserve"> в силу того, что организациями не раскрываются обстоятельства подобных сделок</w:t>
      </w:r>
      <w:r w:rsidRPr="009761E8">
        <w:rPr>
          <w:rFonts w:ascii="Times New Roman" w:hAnsi="Times New Roman" w:cs="Times New Roman"/>
          <w:sz w:val="24"/>
          <w:szCs w:val="24"/>
        </w:rPr>
        <w:t>. С</w:t>
      </w:r>
      <w:r w:rsidR="00E556BA" w:rsidRPr="009761E8">
        <w:rPr>
          <w:rFonts w:ascii="Times New Roman" w:hAnsi="Times New Roman" w:cs="Times New Roman"/>
          <w:sz w:val="24"/>
          <w:szCs w:val="24"/>
        </w:rPr>
        <w:t>ледовательно</w:t>
      </w:r>
      <w:r w:rsidRPr="009761E8">
        <w:rPr>
          <w:rFonts w:ascii="Times New Roman" w:hAnsi="Times New Roman" w:cs="Times New Roman"/>
          <w:sz w:val="24"/>
          <w:szCs w:val="24"/>
        </w:rPr>
        <w:t xml:space="preserve">, </w:t>
      </w:r>
      <w:r w:rsidR="00E556BA" w:rsidRPr="009761E8">
        <w:rPr>
          <w:rFonts w:ascii="Times New Roman" w:hAnsi="Times New Roman" w:cs="Times New Roman"/>
          <w:sz w:val="24"/>
          <w:szCs w:val="24"/>
        </w:rPr>
        <w:t xml:space="preserve">ФНС не имели права произвести сравнения цен </w:t>
      </w:r>
      <w:r w:rsidRPr="009761E8">
        <w:rPr>
          <w:rFonts w:ascii="Times New Roman" w:hAnsi="Times New Roman" w:cs="Times New Roman"/>
          <w:sz w:val="24"/>
          <w:szCs w:val="24"/>
        </w:rPr>
        <w:t>по сделкам</w:t>
      </w:r>
      <w:r w:rsidR="00E556BA" w:rsidRPr="009761E8">
        <w:rPr>
          <w:rFonts w:ascii="Times New Roman" w:hAnsi="Times New Roman" w:cs="Times New Roman"/>
          <w:sz w:val="24"/>
          <w:szCs w:val="24"/>
        </w:rPr>
        <w:t>, подлежащих контролю,</w:t>
      </w:r>
      <w:r w:rsidRPr="009761E8">
        <w:rPr>
          <w:rFonts w:ascii="Times New Roman" w:hAnsi="Times New Roman" w:cs="Times New Roman"/>
          <w:sz w:val="24"/>
          <w:szCs w:val="24"/>
        </w:rPr>
        <w:t xml:space="preserve"> с ценами </w:t>
      </w:r>
      <w:r w:rsidR="00E556BA" w:rsidRPr="009761E8">
        <w:rPr>
          <w:rFonts w:ascii="Times New Roman" w:hAnsi="Times New Roman" w:cs="Times New Roman"/>
          <w:sz w:val="24"/>
          <w:szCs w:val="24"/>
        </w:rPr>
        <w:t>иных экономических субъектов</w:t>
      </w:r>
      <w:r w:rsidRPr="009761E8">
        <w:rPr>
          <w:rFonts w:ascii="Times New Roman" w:hAnsi="Times New Roman" w:cs="Times New Roman"/>
          <w:sz w:val="24"/>
          <w:szCs w:val="24"/>
        </w:rPr>
        <w:t xml:space="preserve">. </w:t>
      </w:r>
      <w:r w:rsidR="00E556BA" w:rsidRPr="009761E8">
        <w:rPr>
          <w:rFonts w:ascii="Times New Roman" w:hAnsi="Times New Roman" w:cs="Times New Roman"/>
          <w:sz w:val="24"/>
          <w:szCs w:val="24"/>
        </w:rPr>
        <w:t xml:space="preserve">Компания </w:t>
      </w:r>
      <w:r w:rsidRPr="009761E8">
        <w:rPr>
          <w:rFonts w:ascii="Times New Roman" w:hAnsi="Times New Roman" w:cs="Times New Roman"/>
          <w:sz w:val="24"/>
          <w:szCs w:val="24"/>
        </w:rPr>
        <w:t xml:space="preserve">также </w:t>
      </w:r>
      <w:r w:rsidR="00E556BA" w:rsidRPr="009761E8">
        <w:rPr>
          <w:rFonts w:ascii="Times New Roman" w:hAnsi="Times New Roman" w:cs="Times New Roman"/>
          <w:sz w:val="24"/>
          <w:szCs w:val="24"/>
        </w:rPr>
        <w:t>призвала АС взять во внимание риски</w:t>
      </w:r>
      <w:r w:rsidRPr="009761E8">
        <w:rPr>
          <w:rFonts w:ascii="Times New Roman" w:hAnsi="Times New Roman" w:cs="Times New Roman"/>
          <w:sz w:val="24"/>
          <w:szCs w:val="24"/>
        </w:rPr>
        <w:t xml:space="preserve">, </w:t>
      </w:r>
      <w:r w:rsidR="00E556BA" w:rsidRPr="009761E8">
        <w:rPr>
          <w:rFonts w:ascii="Times New Roman" w:hAnsi="Times New Roman" w:cs="Times New Roman"/>
          <w:sz w:val="24"/>
          <w:szCs w:val="24"/>
        </w:rPr>
        <w:t>которые влияют на трансфертную цену нефти: истощаемость нефтяных запасов</w:t>
      </w:r>
      <w:r w:rsidRPr="009761E8">
        <w:rPr>
          <w:rFonts w:ascii="Times New Roman" w:hAnsi="Times New Roman" w:cs="Times New Roman"/>
          <w:sz w:val="24"/>
          <w:szCs w:val="24"/>
        </w:rPr>
        <w:t xml:space="preserve"> </w:t>
      </w:r>
      <w:r w:rsidR="00E556BA" w:rsidRPr="009761E8">
        <w:rPr>
          <w:rFonts w:ascii="Times New Roman" w:hAnsi="Times New Roman" w:cs="Times New Roman"/>
          <w:sz w:val="24"/>
          <w:szCs w:val="24"/>
        </w:rPr>
        <w:t xml:space="preserve">на месторождении и проведении в год сделки плановой </w:t>
      </w:r>
      <w:r w:rsidRPr="009761E8">
        <w:rPr>
          <w:rFonts w:ascii="Times New Roman" w:hAnsi="Times New Roman" w:cs="Times New Roman"/>
          <w:sz w:val="24"/>
          <w:szCs w:val="24"/>
        </w:rPr>
        <w:t xml:space="preserve">реконструкции </w:t>
      </w:r>
      <w:r w:rsidR="00E556BA" w:rsidRPr="009761E8">
        <w:rPr>
          <w:rFonts w:ascii="Times New Roman" w:hAnsi="Times New Roman" w:cs="Times New Roman"/>
          <w:sz w:val="24"/>
          <w:szCs w:val="24"/>
        </w:rPr>
        <w:t>основных средств</w:t>
      </w:r>
      <w:r w:rsidRPr="009761E8">
        <w:rPr>
          <w:rFonts w:ascii="Times New Roman" w:hAnsi="Times New Roman" w:cs="Times New Roman"/>
          <w:sz w:val="24"/>
          <w:szCs w:val="24"/>
        </w:rPr>
        <w:t xml:space="preserve">, что </w:t>
      </w:r>
      <w:r w:rsidR="00E556BA" w:rsidRPr="009761E8">
        <w:rPr>
          <w:rFonts w:ascii="Times New Roman" w:hAnsi="Times New Roman" w:cs="Times New Roman"/>
          <w:sz w:val="24"/>
          <w:szCs w:val="24"/>
        </w:rPr>
        <w:t>сыграло немаловажную роль при определении цены. Суд признал эти факты несостоятельным в соответствии с данными Министерства природных ресурсов и экологии РФ, а также отверг использование котировок S&amp;P Global Platts в качестве ориентира в рассматриваемой сделки.</w:t>
      </w:r>
    </w:p>
    <w:p w:rsidR="00444F2A" w:rsidRPr="009761E8" w:rsidRDefault="00E556BA"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Рассматриваемое судебное дело стало предметом интереса не только потому, что оно являлось первооткрывателем </w:t>
      </w:r>
      <w:r w:rsidR="00444F2A" w:rsidRPr="009761E8">
        <w:rPr>
          <w:rFonts w:ascii="Times New Roman" w:hAnsi="Times New Roman" w:cs="Times New Roman"/>
          <w:sz w:val="24"/>
          <w:szCs w:val="24"/>
        </w:rPr>
        <w:t xml:space="preserve">по делам ТЦО, но и из-за факта отказа налогоплательщика оспаривать решение АС и уплаты начисленных налогов и штрафных процентов. Более того, </w:t>
      </w:r>
      <w:r w:rsidRPr="009761E8">
        <w:rPr>
          <w:rFonts w:ascii="Times New Roman" w:hAnsi="Times New Roman" w:cs="Times New Roman"/>
          <w:sz w:val="24"/>
          <w:szCs w:val="24"/>
        </w:rPr>
        <w:t xml:space="preserve">спор </w:t>
      </w:r>
      <w:r w:rsidR="00444F2A" w:rsidRPr="009761E8">
        <w:rPr>
          <w:rFonts w:ascii="Times New Roman" w:hAnsi="Times New Roman" w:cs="Times New Roman"/>
          <w:sz w:val="24"/>
          <w:szCs w:val="24"/>
        </w:rPr>
        <w:t>был рассмотрен к</w:t>
      </w:r>
      <w:r w:rsidRPr="009761E8">
        <w:rPr>
          <w:rFonts w:ascii="Times New Roman" w:hAnsi="Times New Roman" w:cs="Times New Roman"/>
          <w:sz w:val="24"/>
          <w:szCs w:val="24"/>
        </w:rPr>
        <w:t xml:space="preserve">оллегиальным составом, что </w:t>
      </w:r>
      <w:r w:rsidR="00444F2A" w:rsidRPr="009761E8">
        <w:rPr>
          <w:rFonts w:ascii="Times New Roman" w:hAnsi="Times New Roman" w:cs="Times New Roman"/>
          <w:sz w:val="24"/>
          <w:szCs w:val="24"/>
        </w:rPr>
        <w:t xml:space="preserve">является крайней мерой при рассмотрении дел, связанных с налоговыми. Также, нетипичным   оказалось то, что спор был открыт по отношению к небольшой компании, когда прежде всего нововведения были созданы для контроля более крупных организаций. </w:t>
      </w:r>
    </w:p>
    <w:p w:rsidR="00444F2A" w:rsidRPr="009761E8" w:rsidRDefault="00444F2A" w:rsidP="009761E8">
      <w:pPr>
        <w:spacing w:after="0" w:line="360" w:lineRule="auto"/>
        <w:jc w:val="both"/>
        <w:rPr>
          <w:rFonts w:ascii="Times New Roman" w:hAnsi="Times New Roman" w:cs="Times New Roman"/>
          <w:sz w:val="24"/>
          <w:szCs w:val="24"/>
        </w:rPr>
      </w:pPr>
      <w:r w:rsidRPr="009761E8">
        <w:rPr>
          <w:rFonts w:ascii="Times New Roman" w:hAnsi="Times New Roman" w:cs="Times New Roman"/>
          <w:sz w:val="24"/>
          <w:szCs w:val="24"/>
        </w:rPr>
        <w:tab/>
        <w:t xml:space="preserve">Несмотря на то, что Компания проиграла суд, стоит выделить определённые положительные аспекты данного дела: </w:t>
      </w:r>
    </w:p>
    <w:p w:rsidR="00444F2A" w:rsidRPr="006045D1" w:rsidRDefault="00444F2A" w:rsidP="006045D1">
      <w:pPr>
        <w:pStyle w:val="a3"/>
        <w:numPr>
          <w:ilvl w:val="0"/>
          <w:numId w:val="9"/>
        </w:numPr>
        <w:spacing w:after="0" w:line="360" w:lineRule="auto"/>
        <w:jc w:val="both"/>
        <w:rPr>
          <w:rFonts w:ascii="Times New Roman" w:hAnsi="Times New Roman" w:cs="Times New Roman"/>
          <w:sz w:val="24"/>
          <w:szCs w:val="24"/>
        </w:rPr>
      </w:pPr>
      <w:r w:rsidRPr="006045D1">
        <w:rPr>
          <w:rFonts w:ascii="Times New Roman" w:hAnsi="Times New Roman" w:cs="Times New Roman"/>
          <w:sz w:val="24"/>
          <w:szCs w:val="24"/>
        </w:rPr>
        <w:t>во внимание суда было принято, что разделом V.1 НК РФ не устанавливаются обязанности доказывать получение организацией, в отношении которой производится проверка, необоснованной налоговой выгоды</w:t>
      </w:r>
    </w:p>
    <w:p w:rsidR="00F87FA3" w:rsidRPr="009C1411" w:rsidRDefault="00444F2A" w:rsidP="00A92946">
      <w:pPr>
        <w:pStyle w:val="a3"/>
        <w:numPr>
          <w:ilvl w:val="0"/>
          <w:numId w:val="9"/>
        </w:numPr>
        <w:spacing w:after="0" w:line="360" w:lineRule="auto"/>
        <w:jc w:val="both"/>
        <w:rPr>
          <w:rFonts w:ascii="Times New Roman" w:hAnsi="Times New Roman" w:cs="Times New Roman"/>
          <w:sz w:val="24"/>
          <w:szCs w:val="24"/>
        </w:rPr>
      </w:pPr>
      <w:r w:rsidRPr="006045D1">
        <w:rPr>
          <w:rFonts w:ascii="Times New Roman" w:hAnsi="Times New Roman" w:cs="Times New Roman"/>
          <w:sz w:val="24"/>
          <w:szCs w:val="24"/>
        </w:rPr>
        <w:t>с</w:t>
      </w:r>
      <w:r w:rsidR="009605F5" w:rsidRPr="006045D1">
        <w:rPr>
          <w:rFonts w:ascii="Times New Roman" w:hAnsi="Times New Roman" w:cs="Times New Roman"/>
          <w:sz w:val="24"/>
          <w:szCs w:val="24"/>
        </w:rPr>
        <w:t>удом не был принят довод об отсутствии резона занижения</w:t>
      </w:r>
      <w:r w:rsidRPr="006045D1">
        <w:rPr>
          <w:rFonts w:ascii="Times New Roman" w:hAnsi="Times New Roman" w:cs="Times New Roman"/>
          <w:sz w:val="24"/>
          <w:szCs w:val="24"/>
        </w:rPr>
        <w:t xml:space="preserve"> цены</w:t>
      </w:r>
      <w:r w:rsidR="009605F5" w:rsidRPr="006045D1">
        <w:rPr>
          <w:rFonts w:ascii="Times New Roman" w:hAnsi="Times New Roman" w:cs="Times New Roman"/>
          <w:sz w:val="24"/>
          <w:szCs w:val="24"/>
        </w:rPr>
        <w:t xml:space="preserve"> Компанией-продавцом</w:t>
      </w:r>
      <w:r w:rsidRPr="006045D1">
        <w:rPr>
          <w:rFonts w:ascii="Times New Roman" w:hAnsi="Times New Roman" w:cs="Times New Roman"/>
          <w:sz w:val="24"/>
          <w:szCs w:val="24"/>
        </w:rPr>
        <w:t xml:space="preserve">, </w:t>
      </w:r>
      <w:r w:rsidR="009605F5" w:rsidRPr="006045D1">
        <w:rPr>
          <w:rFonts w:ascii="Times New Roman" w:hAnsi="Times New Roman" w:cs="Times New Roman"/>
          <w:sz w:val="24"/>
          <w:szCs w:val="24"/>
        </w:rPr>
        <w:t>так как доказательство получения</w:t>
      </w:r>
      <w:r w:rsidRPr="006045D1">
        <w:rPr>
          <w:rFonts w:ascii="Times New Roman" w:hAnsi="Times New Roman" w:cs="Times New Roman"/>
          <w:sz w:val="24"/>
          <w:szCs w:val="24"/>
        </w:rPr>
        <w:t xml:space="preserve"> налоговой выгоды не </w:t>
      </w:r>
      <w:r w:rsidR="009605F5" w:rsidRPr="006045D1">
        <w:rPr>
          <w:rFonts w:ascii="Times New Roman" w:hAnsi="Times New Roman" w:cs="Times New Roman"/>
          <w:sz w:val="24"/>
          <w:szCs w:val="24"/>
        </w:rPr>
        <w:t>выступает в качестве обязательного элемента</w:t>
      </w:r>
      <w:r w:rsidRPr="006045D1">
        <w:rPr>
          <w:rFonts w:ascii="Times New Roman" w:hAnsi="Times New Roman" w:cs="Times New Roman"/>
          <w:sz w:val="24"/>
          <w:szCs w:val="24"/>
        </w:rPr>
        <w:t xml:space="preserve"> при </w:t>
      </w:r>
      <w:r w:rsidR="009605F5" w:rsidRPr="006045D1">
        <w:rPr>
          <w:rFonts w:ascii="Times New Roman" w:hAnsi="Times New Roman" w:cs="Times New Roman"/>
          <w:sz w:val="24"/>
          <w:szCs w:val="24"/>
        </w:rPr>
        <w:t>ценовом контроле в контролируемых сделок</w:t>
      </w:r>
    </w:p>
    <w:p w:rsidR="00C657F6" w:rsidRDefault="00A157DA" w:rsidP="006317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Вторым, но не менее значимым прецедентом по вопросам ТЦО</w:t>
      </w:r>
      <w:r w:rsidR="00314E85">
        <w:rPr>
          <w:rFonts w:ascii="Times New Roman" w:hAnsi="Times New Roman" w:cs="Times New Roman"/>
          <w:sz w:val="24"/>
          <w:szCs w:val="24"/>
        </w:rPr>
        <w:t>,</w:t>
      </w:r>
      <w:r>
        <w:rPr>
          <w:rFonts w:ascii="Times New Roman" w:hAnsi="Times New Roman" w:cs="Times New Roman"/>
          <w:sz w:val="24"/>
          <w:szCs w:val="24"/>
        </w:rPr>
        <w:t xml:space="preserve"> стало д</w:t>
      </w:r>
      <w:r w:rsidR="004D27A3">
        <w:rPr>
          <w:rFonts w:ascii="Times New Roman" w:hAnsi="Times New Roman" w:cs="Times New Roman"/>
          <w:sz w:val="24"/>
          <w:szCs w:val="24"/>
        </w:rPr>
        <w:t>ело «Уралкалия» (</w:t>
      </w:r>
      <w:r w:rsidR="004D27A3" w:rsidRPr="004D27A3">
        <w:rPr>
          <w:rFonts w:ascii="Times New Roman" w:hAnsi="Times New Roman" w:cs="Times New Roman"/>
          <w:sz w:val="24"/>
          <w:szCs w:val="24"/>
        </w:rPr>
        <w:t>№ А40-29025/17-75-227</w:t>
      </w:r>
      <w:r w:rsidR="004D27A3">
        <w:rPr>
          <w:rFonts w:ascii="Times New Roman" w:hAnsi="Times New Roman" w:cs="Times New Roman"/>
          <w:sz w:val="24"/>
          <w:szCs w:val="24"/>
        </w:rPr>
        <w:t>)</w:t>
      </w:r>
      <w:r>
        <w:rPr>
          <w:rFonts w:ascii="Times New Roman" w:hAnsi="Times New Roman" w:cs="Times New Roman"/>
          <w:sz w:val="24"/>
          <w:szCs w:val="24"/>
        </w:rPr>
        <w:t xml:space="preserve">, </w:t>
      </w:r>
      <w:r w:rsidR="004D27A3">
        <w:rPr>
          <w:rFonts w:ascii="Times New Roman" w:hAnsi="Times New Roman" w:cs="Times New Roman"/>
          <w:sz w:val="24"/>
          <w:szCs w:val="24"/>
        </w:rPr>
        <w:t xml:space="preserve">где идет речь о недоуплате налога в размере 980 млн рублей, </w:t>
      </w:r>
      <w:r>
        <w:rPr>
          <w:rFonts w:ascii="Times New Roman" w:hAnsi="Times New Roman" w:cs="Times New Roman"/>
          <w:sz w:val="24"/>
          <w:szCs w:val="24"/>
        </w:rPr>
        <w:t>последнее решение по которому было</w:t>
      </w:r>
      <w:r w:rsidR="008818EA">
        <w:rPr>
          <w:rFonts w:ascii="Times New Roman" w:hAnsi="Times New Roman" w:cs="Times New Roman"/>
          <w:sz w:val="24"/>
          <w:szCs w:val="24"/>
        </w:rPr>
        <w:t xml:space="preserve"> вынесено </w:t>
      </w:r>
      <w:r w:rsidR="008005DE">
        <w:rPr>
          <w:rFonts w:ascii="Times New Roman" w:hAnsi="Times New Roman" w:cs="Times New Roman"/>
          <w:sz w:val="24"/>
          <w:szCs w:val="24"/>
        </w:rPr>
        <w:t xml:space="preserve">10 </w:t>
      </w:r>
      <w:r>
        <w:rPr>
          <w:rFonts w:ascii="Times New Roman" w:hAnsi="Times New Roman" w:cs="Times New Roman"/>
          <w:sz w:val="24"/>
          <w:szCs w:val="24"/>
        </w:rPr>
        <w:t>октября 2017 года.</w:t>
      </w:r>
    </w:p>
    <w:p w:rsidR="00986ABF" w:rsidRPr="00986ABF" w:rsidRDefault="00A157DA" w:rsidP="00314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14E85">
        <w:rPr>
          <w:rFonts w:ascii="Times New Roman" w:hAnsi="Times New Roman" w:cs="Times New Roman"/>
          <w:sz w:val="24"/>
          <w:szCs w:val="24"/>
        </w:rPr>
        <w:t>После предоставления</w:t>
      </w:r>
      <w:r w:rsidRPr="00A157DA">
        <w:rPr>
          <w:rFonts w:ascii="Times New Roman" w:hAnsi="Times New Roman" w:cs="Times New Roman"/>
          <w:sz w:val="24"/>
          <w:szCs w:val="24"/>
        </w:rPr>
        <w:t xml:space="preserve"> уведомления ПАО </w:t>
      </w:r>
      <w:r w:rsidR="004D27A3">
        <w:rPr>
          <w:rFonts w:ascii="Times New Roman" w:hAnsi="Times New Roman" w:cs="Times New Roman"/>
          <w:sz w:val="24"/>
          <w:szCs w:val="24"/>
        </w:rPr>
        <w:t>«</w:t>
      </w:r>
      <w:r w:rsidRPr="00A157DA">
        <w:rPr>
          <w:rFonts w:ascii="Times New Roman" w:hAnsi="Times New Roman" w:cs="Times New Roman"/>
          <w:sz w:val="24"/>
          <w:szCs w:val="24"/>
        </w:rPr>
        <w:t>Уралкалий</w:t>
      </w:r>
      <w:r w:rsidR="004D27A3">
        <w:rPr>
          <w:rFonts w:ascii="Times New Roman" w:hAnsi="Times New Roman" w:cs="Times New Roman"/>
          <w:sz w:val="24"/>
          <w:szCs w:val="24"/>
        </w:rPr>
        <w:t>»</w:t>
      </w:r>
      <w:r w:rsidR="00314E85">
        <w:rPr>
          <w:rFonts w:ascii="Times New Roman" w:hAnsi="Times New Roman" w:cs="Times New Roman"/>
          <w:sz w:val="24"/>
          <w:szCs w:val="24"/>
        </w:rPr>
        <w:t xml:space="preserve"> (далее – Продавец)</w:t>
      </w:r>
      <w:r w:rsidRPr="00A157DA">
        <w:rPr>
          <w:rFonts w:ascii="Times New Roman" w:hAnsi="Times New Roman" w:cs="Times New Roman"/>
          <w:sz w:val="24"/>
          <w:szCs w:val="24"/>
        </w:rPr>
        <w:t xml:space="preserve"> о кон</w:t>
      </w:r>
      <w:r w:rsidR="00314E85">
        <w:rPr>
          <w:rFonts w:ascii="Times New Roman" w:hAnsi="Times New Roman" w:cs="Times New Roman"/>
          <w:sz w:val="24"/>
          <w:szCs w:val="24"/>
        </w:rPr>
        <w:t xml:space="preserve">тролируемых сделках за 2012 год ФНС РФ было вынесено </w:t>
      </w:r>
      <w:r w:rsidRPr="00A157DA">
        <w:rPr>
          <w:rFonts w:ascii="Times New Roman" w:hAnsi="Times New Roman" w:cs="Times New Roman"/>
          <w:sz w:val="24"/>
          <w:szCs w:val="24"/>
        </w:rPr>
        <w:t>решение о проведе</w:t>
      </w:r>
      <w:r w:rsidR="00986ABF">
        <w:rPr>
          <w:rFonts w:ascii="Times New Roman" w:hAnsi="Times New Roman" w:cs="Times New Roman"/>
          <w:sz w:val="24"/>
          <w:szCs w:val="24"/>
        </w:rPr>
        <w:t xml:space="preserve">нии проверки по ТЦО в отношении </w:t>
      </w:r>
      <w:r w:rsidR="004D27A3">
        <w:rPr>
          <w:rFonts w:ascii="Times New Roman" w:hAnsi="Times New Roman" w:cs="Times New Roman"/>
          <w:sz w:val="24"/>
          <w:szCs w:val="24"/>
        </w:rPr>
        <w:t xml:space="preserve">контролируемых </w:t>
      </w:r>
      <w:r w:rsidRPr="00A157DA">
        <w:rPr>
          <w:rFonts w:ascii="Times New Roman" w:hAnsi="Times New Roman" w:cs="Times New Roman"/>
          <w:sz w:val="24"/>
          <w:szCs w:val="24"/>
        </w:rPr>
        <w:t>сделок по реализации хлористого</w:t>
      </w:r>
      <w:r>
        <w:rPr>
          <w:rFonts w:ascii="Times New Roman" w:hAnsi="Times New Roman" w:cs="Times New Roman"/>
          <w:sz w:val="24"/>
          <w:szCs w:val="24"/>
        </w:rPr>
        <w:t xml:space="preserve"> </w:t>
      </w:r>
      <w:r w:rsidR="00986ABF">
        <w:rPr>
          <w:rFonts w:ascii="Times New Roman" w:hAnsi="Times New Roman" w:cs="Times New Roman"/>
          <w:sz w:val="24"/>
          <w:szCs w:val="24"/>
        </w:rPr>
        <w:t>калия в адрес взаимозависимой</w:t>
      </w:r>
      <w:r w:rsidRPr="00A157DA">
        <w:rPr>
          <w:rFonts w:ascii="Times New Roman" w:hAnsi="Times New Roman" w:cs="Times New Roman"/>
          <w:sz w:val="24"/>
          <w:szCs w:val="24"/>
        </w:rPr>
        <w:t xml:space="preserve"> швейцарско</w:t>
      </w:r>
      <w:r w:rsidR="00986ABF">
        <w:rPr>
          <w:rFonts w:ascii="Times New Roman" w:hAnsi="Times New Roman" w:cs="Times New Roman"/>
          <w:sz w:val="24"/>
          <w:szCs w:val="24"/>
        </w:rPr>
        <w:t>й</w:t>
      </w:r>
      <w:r w:rsidR="00314E85">
        <w:rPr>
          <w:rFonts w:ascii="Times New Roman" w:hAnsi="Times New Roman" w:cs="Times New Roman"/>
          <w:sz w:val="24"/>
          <w:szCs w:val="24"/>
        </w:rPr>
        <w:t xml:space="preserve"> </w:t>
      </w:r>
      <w:r w:rsidR="00986ABF">
        <w:rPr>
          <w:rFonts w:ascii="Times New Roman" w:hAnsi="Times New Roman" w:cs="Times New Roman"/>
          <w:sz w:val="24"/>
          <w:szCs w:val="24"/>
        </w:rPr>
        <w:t>компании</w:t>
      </w:r>
      <w:r w:rsidR="00314E85">
        <w:rPr>
          <w:rFonts w:ascii="Times New Roman" w:hAnsi="Times New Roman" w:cs="Times New Roman"/>
          <w:sz w:val="24"/>
          <w:szCs w:val="24"/>
        </w:rPr>
        <w:t xml:space="preserve"> URALKALI TRADING SA </w:t>
      </w:r>
      <w:r w:rsidRPr="00A157DA">
        <w:rPr>
          <w:rFonts w:ascii="Times New Roman" w:hAnsi="Times New Roman" w:cs="Times New Roman"/>
          <w:sz w:val="24"/>
          <w:szCs w:val="24"/>
        </w:rPr>
        <w:t>(далее «UT SA»)</w:t>
      </w:r>
      <w:r w:rsidR="0002481F">
        <w:rPr>
          <w:rFonts w:ascii="Times New Roman" w:hAnsi="Times New Roman" w:cs="Times New Roman"/>
          <w:sz w:val="24"/>
          <w:szCs w:val="24"/>
        </w:rPr>
        <w:t>,.</w:t>
      </w:r>
      <w:r w:rsidR="00986ABF">
        <w:rPr>
          <w:rFonts w:ascii="Times New Roman" w:hAnsi="Times New Roman" w:cs="Times New Roman"/>
          <w:sz w:val="24"/>
          <w:szCs w:val="24"/>
        </w:rPr>
        <w:tab/>
        <w:t>Представителями ФНС РФ было отмечено, что</w:t>
      </w:r>
      <w:r w:rsidR="004D27A3">
        <w:rPr>
          <w:rFonts w:ascii="Times New Roman" w:hAnsi="Times New Roman" w:cs="Times New Roman"/>
          <w:sz w:val="24"/>
          <w:szCs w:val="24"/>
        </w:rPr>
        <w:t xml:space="preserve"> «Уралкалий»</w:t>
      </w:r>
      <w:r w:rsidR="00986ABF" w:rsidRPr="00986ABF">
        <w:rPr>
          <w:rFonts w:ascii="Times New Roman" w:hAnsi="Times New Roman" w:cs="Times New Roman"/>
          <w:sz w:val="24"/>
          <w:szCs w:val="24"/>
        </w:rPr>
        <w:t xml:space="preserve"> и </w:t>
      </w:r>
      <w:r w:rsidR="00986ABF">
        <w:rPr>
          <w:rFonts w:ascii="Times New Roman" w:hAnsi="Times New Roman" w:cs="Times New Roman"/>
          <w:sz w:val="24"/>
          <w:szCs w:val="24"/>
          <w:lang w:val="en-US"/>
        </w:rPr>
        <w:t>UT</w:t>
      </w:r>
      <w:r w:rsidR="00986ABF" w:rsidRPr="00986ABF">
        <w:rPr>
          <w:rFonts w:ascii="Times New Roman" w:hAnsi="Times New Roman" w:cs="Times New Roman"/>
          <w:sz w:val="24"/>
          <w:szCs w:val="24"/>
        </w:rPr>
        <w:t xml:space="preserve"> </w:t>
      </w:r>
      <w:r w:rsidR="00986ABF">
        <w:rPr>
          <w:rFonts w:ascii="Times New Roman" w:hAnsi="Times New Roman" w:cs="Times New Roman"/>
          <w:sz w:val="24"/>
          <w:szCs w:val="24"/>
          <w:lang w:val="en-US"/>
        </w:rPr>
        <w:t>SA</w:t>
      </w:r>
      <w:r w:rsidR="00986ABF">
        <w:rPr>
          <w:rFonts w:ascii="Times New Roman" w:hAnsi="Times New Roman" w:cs="Times New Roman"/>
          <w:sz w:val="24"/>
          <w:szCs w:val="24"/>
        </w:rPr>
        <w:t xml:space="preserve"> являются взаимозависимыми</w:t>
      </w:r>
      <w:r w:rsidR="00986ABF" w:rsidRPr="00986ABF">
        <w:rPr>
          <w:rFonts w:ascii="Times New Roman" w:hAnsi="Times New Roman" w:cs="Times New Roman"/>
          <w:sz w:val="24"/>
          <w:szCs w:val="24"/>
        </w:rPr>
        <w:t xml:space="preserve">, так как </w:t>
      </w:r>
      <w:r w:rsidR="00986ABF">
        <w:rPr>
          <w:rFonts w:ascii="Times New Roman" w:hAnsi="Times New Roman" w:cs="Times New Roman"/>
          <w:sz w:val="24"/>
          <w:szCs w:val="24"/>
          <w:lang w:val="en-US"/>
        </w:rPr>
        <w:t>UT</w:t>
      </w:r>
      <w:r w:rsidR="00986ABF" w:rsidRPr="00986ABF">
        <w:rPr>
          <w:rFonts w:ascii="Times New Roman" w:hAnsi="Times New Roman" w:cs="Times New Roman"/>
          <w:sz w:val="24"/>
          <w:szCs w:val="24"/>
        </w:rPr>
        <w:t xml:space="preserve"> SA через люксем</w:t>
      </w:r>
      <w:r w:rsidR="004D27A3">
        <w:rPr>
          <w:rFonts w:ascii="Times New Roman" w:hAnsi="Times New Roman" w:cs="Times New Roman"/>
          <w:sz w:val="24"/>
          <w:szCs w:val="24"/>
        </w:rPr>
        <w:t>бургскую структуру принадлежит «Уралкалию»</w:t>
      </w:r>
      <w:r w:rsidR="00986ABF" w:rsidRPr="00986ABF">
        <w:rPr>
          <w:rFonts w:ascii="Times New Roman" w:hAnsi="Times New Roman" w:cs="Times New Roman"/>
          <w:sz w:val="24"/>
          <w:szCs w:val="24"/>
        </w:rPr>
        <w:t xml:space="preserve">. Данными системы "СПАРК-Интерфакс" </w:t>
      </w:r>
      <w:r w:rsidR="004D27A3">
        <w:rPr>
          <w:rFonts w:ascii="Times New Roman" w:hAnsi="Times New Roman" w:cs="Times New Roman"/>
          <w:sz w:val="24"/>
          <w:szCs w:val="24"/>
        </w:rPr>
        <w:t>подтверждается, что ОАО «Уралкалий»</w:t>
      </w:r>
      <w:r w:rsidR="00986ABF" w:rsidRPr="00986ABF">
        <w:rPr>
          <w:rFonts w:ascii="Times New Roman" w:hAnsi="Times New Roman" w:cs="Times New Roman"/>
          <w:sz w:val="24"/>
          <w:szCs w:val="24"/>
        </w:rPr>
        <w:t xml:space="preserve"> </w:t>
      </w:r>
      <w:r w:rsidR="00986ABF">
        <w:rPr>
          <w:rFonts w:ascii="Times New Roman" w:hAnsi="Times New Roman" w:cs="Times New Roman"/>
          <w:sz w:val="24"/>
          <w:szCs w:val="24"/>
        </w:rPr>
        <w:t>полностью владеет</w:t>
      </w:r>
      <w:r w:rsidR="00986ABF" w:rsidRPr="00986ABF">
        <w:rPr>
          <w:rFonts w:ascii="Times New Roman" w:hAnsi="Times New Roman" w:cs="Times New Roman"/>
          <w:sz w:val="24"/>
          <w:szCs w:val="24"/>
        </w:rPr>
        <w:t xml:space="preserve"> люксембургской</w:t>
      </w:r>
      <w:r w:rsidR="00F53293">
        <w:rPr>
          <w:rFonts w:ascii="Times New Roman" w:hAnsi="Times New Roman" w:cs="Times New Roman"/>
          <w:sz w:val="24"/>
          <w:szCs w:val="24"/>
        </w:rPr>
        <w:t xml:space="preserve"> компанией</w:t>
      </w:r>
      <w:r w:rsidR="00986ABF" w:rsidRPr="00986ABF">
        <w:rPr>
          <w:rFonts w:ascii="Times New Roman" w:hAnsi="Times New Roman" w:cs="Times New Roman"/>
          <w:sz w:val="24"/>
          <w:szCs w:val="24"/>
        </w:rPr>
        <w:t xml:space="preserve"> Uralkali Capital s.a.r.l.</w:t>
      </w:r>
    </w:p>
    <w:p w:rsidR="00314E85" w:rsidRPr="00314E85" w:rsidRDefault="00986ABF" w:rsidP="00314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14E85">
        <w:rPr>
          <w:rFonts w:ascii="Times New Roman" w:hAnsi="Times New Roman" w:cs="Times New Roman"/>
          <w:sz w:val="24"/>
          <w:szCs w:val="24"/>
        </w:rPr>
        <w:t xml:space="preserve">При определении трансфертной цены Продавцом был использован метод сопоставимой рентабельности. </w:t>
      </w:r>
      <w:r w:rsidR="00314E85" w:rsidRPr="00314E85">
        <w:rPr>
          <w:rFonts w:ascii="Times New Roman" w:hAnsi="Times New Roman" w:cs="Times New Roman"/>
          <w:sz w:val="24"/>
          <w:szCs w:val="24"/>
        </w:rPr>
        <w:t>Согласно положе</w:t>
      </w:r>
      <w:r w:rsidR="00314E85">
        <w:rPr>
          <w:rFonts w:ascii="Times New Roman" w:hAnsi="Times New Roman" w:cs="Times New Roman"/>
          <w:sz w:val="24"/>
          <w:szCs w:val="24"/>
        </w:rPr>
        <w:t>ниям Раздела V.1 НК РФ рассматриваемой метод</w:t>
      </w:r>
      <w:r w:rsidR="00314E85" w:rsidRPr="00314E85">
        <w:rPr>
          <w:rFonts w:ascii="Times New Roman" w:hAnsi="Times New Roman" w:cs="Times New Roman"/>
          <w:sz w:val="24"/>
          <w:szCs w:val="24"/>
        </w:rPr>
        <w:t xml:space="preserve"> </w:t>
      </w:r>
      <w:r w:rsidR="00314E85">
        <w:rPr>
          <w:rFonts w:ascii="Times New Roman" w:hAnsi="Times New Roman" w:cs="Times New Roman"/>
          <w:sz w:val="24"/>
          <w:szCs w:val="24"/>
        </w:rPr>
        <w:t xml:space="preserve">является наиболее приоритетным за </w:t>
      </w:r>
      <w:r w:rsidR="00314E85" w:rsidRPr="00314E85">
        <w:rPr>
          <w:rFonts w:ascii="Times New Roman" w:hAnsi="Times New Roman" w:cs="Times New Roman"/>
          <w:sz w:val="24"/>
          <w:szCs w:val="24"/>
        </w:rPr>
        <w:t>исключение</w:t>
      </w:r>
      <w:r w:rsidR="00314E85">
        <w:rPr>
          <w:rFonts w:ascii="Times New Roman" w:hAnsi="Times New Roman" w:cs="Times New Roman"/>
          <w:sz w:val="24"/>
          <w:szCs w:val="24"/>
        </w:rPr>
        <w:t>м тех случаев, когда осуществляется перепродажа</w:t>
      </w:r>
      <w:r w:rsidR="00314E85" w:rsidRPr="00314E85">
        <w:rPr>
          <w:rFonts w:ascii="Times New Roman" w:hAnsi="Times New Roman" w:cs="Times New Roman"/>
          <w:sz w:val="24"/>
          <w:szCs w:val="24"/>
        </w:rPr>
        <w:t xml:space="preserve"> (без</w:t>
      </w:r>
      <w:r w:rsidR="00314E85">
        <w:rPr>
          <w:rFonts w:ascii="Times New Roman" w:hAnsi="Times New Roman" w:cs="Times New Roman"/>
          <w:sz w:val="24"/>
          <w:szCs w:val="24"/>
        </w:rPr>
        <w:t xml:space="preserve"> последующей переработки</w:t>
      </w:r>
      <w:r w:rsidR="00314E85" w:rsidRPr="00314E85">
        <w:rPr>
          <w:rFonts w:ascii="Times New Roman" w:hAnsi="Times New Roman" w:cs="Times New Roman"/>
          <w:sz w:val="24"/>
          <w:szCs w:val="24"/>
        </w:rPr>
        <w:t xml:space="preserve">) </w:t>
      </w:r>
      <w:r w:rsidR="00314E85">
        <w:rPr>
          <w:rFonts w:ascii="Times New Roman" w:hAnsi="Times New Roman" w:cs="Times New Roman"/>
          <w:sz w:val="24"/>
          <w:szCs w:val="24"/>
        </w:rPr>
        <w:t xml:space="preserve">товара в адрес не взаимозависимых </w:t>
      </w:r>
      <w:r w:rsidR="00314E85" w:rsidRPr="00314E85">
        <w:rPr>
          <w:rFonts w:ascii="Times New Roman" w:hAnsi="Times New Roman" w:cs="Times New Roman"/>
          <w:sz w:val="24"/>
          <w:szCs w:val="24"/>
        </w:rPr>
        <w:t xml:space="preserve">лиц, </w:t>
      </w:r>
      <w:r w:rsidR="00314E85">
        <w:rPr>
          <w:rFonts w:ascii="Times New Roman" w:hAnsi="Times New Roman" w:cs="Times New Roman"/>
          <w:sz w:val="24"/>
          <w:szCs w:val="24"/>
        </w:rPr>
        <w:t>которые были приобретены в рамках по контролируемой сделки</w:t>
      </w:r>
      <w:r w:rsidR="00314E85" w:rsidRPr="00314E85">
        <w:rPr>
          <w:rFonts w:ascii="Times New Roman" w:hAnsi="Times New Roman" w:cs="Times New Roman"/>
          <w:sz w:val="24"/>
          <w:szCs w:val="24"/>
        </w:rPr>
        <w:t>, где н</w:t>
      </w:r>
      <w:r w:rsidR="00314E85">
        <w:rPr>
          <w:rFonts w:ascii="Times New Roman" w:hAnsi="Times New Roman" w:cs="Times New Roman"/>
          <w:sz w:val="24"/>
          <w:szCs w:val="24"/>
        </w:rPr>
        <w:t>аибольший приоритет имеет метод цены последующей реализации</w:t>
      </w:r>
      <w:r w:rsidR="00314E85" w:rsidRPr="00314E85">
        <w:rPr>
          <w:rFonts w:ascii="Times New Roman" w:hAnsi="Times New Roman" w:cs="Times New Roman"/>
          <w:sz w:val="24"/>
          <w:szCs w:val="24"/>
        </w:rPr>
        <w:t>.</w:t>
      </w:r>
    </w:p>
    <w:p w:rsidR="00A157DA" w:rsidRDefault="00314E85" w:rsidP="00314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Методы сопоставимой рентабельности</w:t>
      </w:r>
      <w:r w:rsidRPr="00314E85">
        <w:rPr>
          <w:rFonts w:ascii="Times New Roman" w:hAnsi="Times New Roman" w:cs="Times New Roman"/>
          <w:sz w:val="24"/>
          <w:szCs w:val="24"/>
        </w:rPr>
        <w:t xml:space="preserve"> и затратный </w:t>
      </w:r>
      <w:r>
        <w:rPr>
          <w:rFonts w:ascii="Times New Roman" w:hAnsi="Times New Roman" w:cs="Times New Roman"/>
          <w:sz w:val="24"/>
          <w:szCs w:val="24"/>
        </w:rPr>
        <w:t xml:space="preserve">метод </w:t>
      </w:r>
      <w:r w:rsidRPr="00314E85">
        <w:rPr>
          <w:rFonts w:ascii="Times New Roman" w:hAnsi="Times New Roman" w:cs="Times New Roman"/>
          <w:sz w:val="24"/>
          <w:szCs w:val="24"/>
        </w:rPr>
        <w:t>не</w:t>
      </w:r>
      <w:r w:rsidR="00986ABF">
        <w:rPr>
          <w:rFonts w:ascii="Times New Roman" w:hAnsi="Times New Roman" w:cs="Times New Roman"/>
          <w:sz w:val="24"/>
          <w:szCs w:val="24"/>
        </w:rPr>
        <w:t xml:space="preserve"> имеют прямого </w:t>
      </w:r>
      <w:r>
        <w:rPr>
          <w:rFonts w:ascii="Times New Roman" w:hAnsi="Times New Roman" w:cs="Times New Roman"/>
          <w:sz w:val="24"/>
          <w:szCs w:val="24"/>
        </w:rPr>
        <w:t>приоритета, тем не менее, р</w:t>
      </w:r>
      <w:r w:rsidRPr="00314E85">
        <w:rPr>
          <w:rFonts w:ascii="Times New Roman" w:hAnsi="Times New Roman" w:cs="Times New Roman"/>
          <w:sz w:val="24"/>
          <w:szCs w:val="24"/>
        </w:rPr>
        <w:t>а</w:t>
      </w:r>
      <w:r>
        <w:rPr>
          <w:rFonts w:ascii="Times New Roman" w:hAnsi="Times New Roman" w:cs="Times New Roman"/>
          <w:sz w:val="24"/>
          <w:szCs w:val="24"/>
        </w:rPr>
        <w:t xml:space="preserve">здел V.1 указывает, что метод сопоставимой рентабельности </w:t>
      </w:r>
      <w:r w:rsidRPr="00314E85">
        <w:rPr>
          <w:rFonts w:ascii="Times New Roman" w:hAnsi="Times New Roman" w:cs="Times New Roman"/>
          <w:sz w:val="24"/>
          <w:szCs w:val="24"/>
        </w:rPr>
        <w:t xml:space="preserve">может </w:t>
      </w:r>
      <w:r>
        <w:rPr>
          <w:rFonts w:ascii="Times New Roman" w:hAnsi="Times New Roman" w:cs="Times New Roman"/>
          <w:sz w:val="24"/>
          <w:szCs w:val="24"/>
        </w:rPr>
        <w:t>быть применим в ситуациях, когда метод цены последующей реализации и затратный метод не могут быть однозначно использованы для определения рыночной цены. Использованный Продавцом метод является наименее приоритетным</w:t>
      </w:r>
      <w:r w:rsidR="004D27A3">
        <w:rPr>
          <w:rFonts w:ascii="Times New Roman" w:hAnsi="Times New Roman" w:cs="Times New Roman"/>
          <w:sz w:val="24"/>
          <w:szCs w:val="24"/>
        </w:rPr>
        <w:t xml:space="preserve"> среди всех остальных в контексте рассматриваемой сделки.</w:t>
      </w:r>
    </w:p>
    <w:p w:rsidR="00371C2D" w:rsidRDefault="00314E85" w:rsidP="00371C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B40E0">
        <w:rPr>
          <w:rFonts w:ascii="Times New Roman" w:hAnsi="Times New Roman" w:cs="Times New Roman"/>
          <w:sz w:val="24"/>
          <w:szCs w:val="24"/>
        </w:rPr>
        <w:t>П</w:t>
      </w:r>
      <w:r w:rsidRPr="00314E85">
        <w:rPr>
          <w:rFonts w:ascii="Times New Roman" w:hAnsi="Times New Roman" w:cs="Times New Roman"/>
          <w:sz w:val="24"/>
          <w:szCs w:val="24"/>
        </w:rPr>
        <w:t>. 5 ст. 105.17 НК РФ</w:t>
      </w:r>
      <w:r>
        <w:rPr>
          <w:rFonts w:ascii="Times New Roman" w:hAnsi="Times New Roman" w:cs="Times New Roman"/>
          <w:sz w:val="24"/>
          <w:szCs w:val="24"/>
        </w:rPr>
        <w:t xml:space="preserve"> </w:t>
      </w:r>
      <w:r w:rsidR="00CB40E0">
        <w:rPr>
          <w:rFonts w:ascii="Times New Roman" w:hAnsi="Times New Roman" w:cs="Times New Roman"/>
          <w:sz w:val="24"/>
          <w:szCs w:val="24"/>
        </w:rPr>
        <w:t>гласит, что «</w:t>
      </w:r>
      <w:r w:rsidR="00CB40E0" w:rsidRPr="00CB40E0">
        <w:rPr>
          <w:rFonts w:ascii="Times New Roman" w:hAnsi="Times New Roman" w:cs="Times New Roman"/>
          <w:sz w:val="24"/>
          <w:szCs w:val="24"/>
        </w:rPr>
        <w:t>налоговый орган не м</w:t>
      </w:r>
      <w:r w:rsidR="00CB40E0">
        <w:rPr>
          <w:rFonts w:ascii="Times New Roman" w:hAnsi="Times New Roman" w:cs="Times New Roman"/>
          <w:sz w:val="24"/>
          <w:szCs w:val="24"/>
        </w:rPr>
        <w:t xml:space="preserve">ожет </w:t>
      </w:r>
      <w:r w:rsidR="00CB40E0" w:rsidRPr="00CB40E0">
        <w:rPr>
          <w:rFonts w:ascii="Times New Roman" w:hAnsi="Times New Roman" w:cs="Times New Roman"/>
          <w:sz w:val="24"/>
          <w:szCs w:val="24"/>
        </w:rPr>
        <w:t xml:space="preserve">использовать другой метод пока не </w:t>
      </w:r>
      <w:r w:rsidR="00CB40E0">
        <w:rPr>
          <w:rFonts w:ascii="Times New Roman" w:hAnsi="Times New Roman" w:cs="Times New Roman"/>
          <w:sz w:val="24"/>
          <w:szCs w:val="24"/>
        </w:rPr>
        <w:t xml:space="preserve">докажет, что метод, примененный </w:t>
      </w:r>
      <w:r w:rsidR="00CB40E0" w:rsidRPr="00CB40E0">
        <w:rPr>
          <w:rFonts w:ascii="Times New Roman" w:hAnsi="Times New Roman" w:cs="Times New Roman"/>
          <w:sz w:val="24"/>
          <w:szCs w:val="24"/>
        </w:rPr>
        <w:t>налогоплательщиком, не позволяет определить сопо</w:t>
      </w:r>
      <w:r w:rsidR="00CB40E0">
        <w:rPr>
          <w:rFonts w:ascii="Times New Roman" w:hAnsi="Times New Roman" w:cs="Times New Roman"/>
          <w:sz w:val="24"/>
          <w:szCs w:val="24"/>
        </w:rPr>
        <w:t xml:space="preserve">ставимость коммерческих и (или) </w:t>
      </w:r>
      <w:r w:rsidR="00CB40E0" w:rsidRPr="00CB40E0">
        <w:rPr>
          <w:rFonts w:ascii="Times New Roman" w:hAnsi="Times New Roman" w:cs="Times New Roman"/>
          <w:sz w:val="24"/>
          <w:szCs w:val="24"/>
        </w:rPr>
        <w:t>финансовых условий контролируемой сделки с услови</w:t>
      </w:r>
      <w:r w:rsidR="00CB40E0">
        <w:rPr>
          <w:rFonts w:ascii="Times New Roman" w:hAnsi="Times New Roman" w:cs="Times New Roman"/>
          <w:sz w:val="24"/>
          <w:szCs w:val="24"/>
        </w:rPr>
        <w:t xml:space="preserve">ями сопоставляемых сделок между </w:t>
      </w:r>
      <w:r w:rsidR="00CB40E0" w:rsidRPr="00CB40E0">
        <w:rPr>
          <w:rFonts w:ascii="Times New Roman" w:hAnsi="Times New Roman" w:cs="Times New Roman"/>
          <w:sz w:val="24"/>
          <w:szCs w:val="24"/>
        </w:rPr>
        <w:t>лицами, не являющимися в</w:t>
      </w:r>
      <w:r w:rsidR="00CB40E0">
        <w:rPr>
          <w:rFonts w:ascii="Times New Roman" w:hAnsi="Times New Roman" w:cs="Times New Roman"/>
          <w:sz w:val="24"/>
          <w:szCs w:val="24"/>
        </w:rPr>
        <w:t xml:space="preserve">заимозависимыми». Из этого следует, что порядок применения методов ТЦО будет выглядеть следующим образом: </w:t>
      </w:r>
    </w:p>
    <w:p w:rsidR="00371C2D" w:rsidRPr="00371C2D" w:rsidRDefault="00CB40E0" w:rsidP="00371C2D">
      <w:pPr>
        <w:pStyle w:val="a3"/>
        <w:numPr>
          <w:ilvl w:val="0"/>
          <w:numId w:val="39"/>
        </w:numPr>
        <w:spacing w:after="0" w:line="360" w:lineRule="auto"/>
        <w:jc w:val="both"/>
        <w:rPr>
          <w:rFonts w:ascii="Times New Roman" w:hAnsi="Times New Roman" w:cs="Times New Roman"/>
          <w:sz w:val="24"/>
          <w:szCs w:val="24"/>
        </w:rPr>
      </w:pPr>
      <w:r w:rsidRPr="00371C2D">
        <w:rPr>
          <w:rFonts w:ascii="Times New Roman" w:hAnsi="Times New Roman" w:cs="Times New Roman"/>
          <w:sz w:val="24"/>
          <w:szCs w:val="24"/>
        </w:rPr>
        <w:t>мет</w:t>
      </w:r>
      <w:r w:rsidR="00371C2D" w:rsidRPr="00371C2D">
        <w:rPr>
          <w:rFonts w:ascii="Times New Roman" w:hAnsi="Times New Roman" w:cs="Times New Roman"/>
          <w:sz w:val="24"/>
          <w:szCs w:val="24"/>
        </w:rPr>
        <w:t>од сопоставимой рентабельности</w:t>
      </w:r>
    </w:p>
    <w:p w:rsidR="00371C2D" w:rsidRPr="00371C2D" w:rsidRDefault="00CB40E0" w:rsidP="00371C2D">
      <w:pPr>
        <w:pStyle w:val="a3"/>
        <w:numPr>
          <w:ilvl w:val="0"/>
          <w:numId w:val="39"/>
        </w:numPr>
        <w:spacing w:after="0" w:line="360" w:lineRule="auto"/>
        <w:jc w:val="both"/>
        <w:rPr>
          <w:rFonts w:ascii="Times New Roman" w:hAnsi="Times New Roman" w:cs="Times New Roman"/>
          <w:sz w:val="24"/>
          <w:szCs w:val="24"/>
        </w:rPr>
      </w:pPr>
      <w:r w:rsidRPr="00371C2D">
        <w:rPr>
          <w:rFonts w:ascii="Times New Roman" w:hAnsi="Times New Roman" w:cs="Times New Roman"/>
          <w:sz w:val="24"/>
          <w:szCs w:val="24"/>
        </w:rPr>
        <w:t>ме</w:t>
      </w:r>
      <w:r w:rsidR="00371C2D" w:rsidRPr="00371C2D">
        <w:rPr>
          <w:rFonts w:ascii="Times New Roman" w:hAnsi="Times New Roman" w:cs="Times New Roman"/>
          <w:sz w:val="24"/>
          <w:szCs w:val="24"/>
        </w:rPr>
        <w:t>тод цены последующей реализации</w:t>
      </w:r>
    </w:p>
    <w:p w:rsidR="00371C2D" w:rsidRPr="00371C2D" w:rsidRDefault="00CB40E0" w:rsidP="00371C2D">
      <w:pPr>
        <w:pStyle w:val="a3"/>
        <w:numPr>
          <w:ilvl w:val="0"/>
          <w:numId w:val="39"/>
        </w:numPr>
        <w:spacing w:after="0" w:line="360" w:lineRule="auto"/>
        <w:jc w:val="both"/>
        <w:rPr>
          <w:rFonts w:ascii="Times New Roman" w:hAnsi="Times New Roman" w:cs="Times New Roman"/>
          <w:sz w:val="24"/>
          <w:szCs w:val="24"/>
        </w:rPr>
      </w:pPr>
      <w:r w:rsidRPr="00371C2D">
        <w:rPr>
          <w:rFonts w:ascii="Times New Roman" w:hAnsi="Times New Roman" w:cs="Times New Roman"/>
          <w:sz w:val="24"/>
          <w:szCs w:val="24"/>
        </w:rPr>
        <w:t>м</w:t>
      </w:r>
      <w:r w:rsidR="00371C2D" w:rsidRPr="00371C2D">
        <w:rPr>
          <w:rFonts w:ascii="Times New Roman" w:hAnsi="Times New Roman" w:cs="Times New Roman"/>
          <w:sz w:val="24"/>
          <w:szCs w:val="24"/>
        </w:rPr>
        <w:t>етод сопоставимых рыночных цен</w:t>
      </w:r>
    </w:p>
    <w:p w:rsidR="00371C2D" w:rsidRPr="00371C2D" w:rsidRDefault="00371C2D" w:rsidP="00371C2D">
      <w:pPr>
        <w:pStyle w:val="a3"/>
        <w:numPr>
          <w:ilvl w:val="0"/>
          <w:numId w:val="39"/>
        </w:numPr>
        <w:spacing w:after="0" w:line="360" w:lineRule="auto"/>
        <w:jc w:val="both"/>
        <w:rPr>
          <w:rFonts w:ascii="Times New Roman" w:hAnsi="Times New Roman" w:cs="Times New Roman"/>
          <w:sz w:val="24"/>
          <w:szCs w:val="24"/>
        </w:rPr>
      </w:pPr>
      <w:r w:rsidRPr="00371C2D">
        <w:rPr>
          <w:rFonts w:ascii="Times New Roman" w:hAnsi="Times New Roman" w:cs="Times New Roman"/>
          <w:sz w:val="24"/>
          <w:szCs w:val="24"/>
        </w:rPr>
        <w:t>затратный метод</w:t>
      </w:r>
    </w:p>
    <w:p w:rsidR="00314E85" w:rsidRPr="00371C2D" w:rsidRDefault="00371C2D" w:rsidP="00371C2D">
      <w:pPr>
        <w:pStyle w:val="a3"/>
        <w:numPr>
          <w:ilvl w:val="0"/>
          <w:numId w:val="39"/>
        </w:numPr>
        <w:spacing w:after="0" w:line="360" w:lineRule="auto"/>
        <w:jc w:val="both"/>
        <w:rPr>
          <w:rFonts w:ascii="Times New Roman" w:hAnsi="Times New Roman" w:cs="Times New Roman"/>
          <w:sz w:val="24"/>
          <w:szCs w:val="24"/>
        </w:rPr>
      </w:pPr>
      <w:r w:rsidRPr="00371C2D">
        <w:rPr>
          <w:rFonts w:ascii="Times New Roman" w:hAnsi="Times New Roman" w:cs="Times New Roman"/>
          <w:sz w:val="24"/>
          <w:szCs w:val="24"/>
        </w:rPr>
        <w:t>метод распределения прибыли</w:t>
      </w:r>
    </w:p>
    <w:p w:rsidR="00314E85" w:rsidRDefault="00CB40E0" w:rsidP="00CB40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Продавцом был выбран метод сопоставимой рентабельности, расчеты которого были основаны на финансовых отчетах зарубежного трейдера </w:t>
      </w:r>
      <w:r>
        <w:rPr>
          <w:rFonts w:ascii="Times New Roman" w:hAnsi="Times New Roman" w:cs="Times New Roman"/>
          <w:sz w:val="24"/>
          <w:szCs w:val="24"/>
          <w:lang w:val="en-US"/>
        </w:rPr>
        <w:t>UT</w:t>
      </w:r>
      <w:r w:rsidRPr="00CB40E0">
        <w:rPr>
          <w:rFonts w:ascii="Times New Roman" w:hAnsi="Times New Roman" w:cs="Times New Roman"/>
          <w:sz w:val="24"/>
          <w:szCs w:val="24"/>
        </w:rPr>
        <w:t xml:space="preserve"> </w:t>
      </w:r>
      <w:r>
        <w:rPr>
          <w:rFonts w:ascii="Times New Roman" w:hAnsi="Times New Roman" w:cs="Times New Roman"/>
          <w:sz w:val="24"/>
          <w:szCs w:val="24"/>
          <w:lang w:val="en-US"/>
        </w:rPr>
        <w:t>SA</w:t>
      </w:r>
      <w:r>
        <w:rPr>
          <w:rFonts w:ascii="Times New Roman" w:hAnsi="Times New Roman" w:cs="Times New Roman"/>
          <w:sz w:val="24"/>
          <w:szCs w:val="24"/>
        </w:rPr>
        <w:t xml:space="preserve">, чья рентабельности продаж за год составила 1,81%. С целью определения рыночного уровня рентабельности было использовано исследование международной компанией </w:t>
      </w:r>
      <w:r>
        <w:rPr>
          <w:rFonts w:ascii="Times New Roman" w:hAnsi="Times New Roman" w:cs="Times New Roman"/>
          <w:sz w:val="24"/>
          <w:szCs w:val="24"/>
          <w:lang w:val="en-US"/>
        </w:rPr>
        <w:t>PWC</w:t>
      </w:r>
      <w:r>
        <w:rPr>
          <w:rFonts w:ascii="Times New Roman" w:hAnsi="Times New Roman" w:cs="Times New Roman"/>
          <w:sz w:val="24"/>
          <w:szCs w:val="24"/>
        </w:rPr>
        <w:t>, специализирующейся на профессиональном консалтинге и аудите, которое показало значение 1.83-</w:t>
      </w:r>
      <w:r w:rsidRPr="00CB40E0">
        <w:rPr>
          <w:rFonts w:ascii="Times New Roman" w:hAnsi="Times New Roman" w:cs="Times New Roman"/>
          <w:sz w:val="24"/>
          <w:szCs w:val="24"/>
        </w:rPr>
        <w:t>5.59%</w:t>
      </w:r>
      <w:r>
        <w:rPr>
          <w:rFonts w:ascii="Times New Roman" w:hAnsi="Times New Roman" w:cs="Times New Roman"/>
          <w:sz w:val="24"/>
          <w:szCs w:val="24"/>
        </w:rPr>
        <w:t xml:space="preserve"> по мировым сопоставимым трейдерам.</w:t>
      </w:r>
    </w:p>
    <w:p w:rsidR="008B2E72" w:rsidRDefault="008B2E72" w:rsidP="00CB40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Представители ФНС РФ</w:t>
      </w:r>
      <w:r w:rsidR="004D27A3">
        <w:rPr>
          <w:rFonts w:ascii="Times New Roman" w:hAnsi="Times New Roman" w:cs="Times New Roman"/>
          <w:sz w:val="24"/>
          <w:szCs w:val="24"/>
        </w:rPr>
        <w:t xml:space="preserve"> заявляют</w:t>
      </w:r>
      <w:r>
        <w:rPr>
          <w:rFonts w:ascii="Times New Roman" w:hAnsi="Times New Roman" w:cs="Times New Roman"/>
          <w:sz w:val="24"/>
          <w:szCs w:val="24"/>
        </w:rPr>
        <w:t>, что</w:t>
      </w:r>
      <w:r w:rsidRPr="00CB40E0">
        <w:rPr>
          <w:rFonts w:ascii="Times New Roman" w:hAnsi="Times New Roman" w:cs="Times New Roman"/>
          <w:sz w:val="24"/>
          <w:szCs w:val="24"/>
        </w:rPr>
        <w:t xml:space="preserve"> </w:t>
      </w:r>
      <w:r>
        <w:rPr>
          <w:rFonts w:ascii="Times New Roman" w:hAnsi="Times New Roman" w:cs="Times New Roman"/>
          <w:sz w:val="24"/>
          <w:szCs w:val="24"/>
        </w:rPr>
        <w:t xml:space="preserve">компания </w:t>
      </w:r>
      <w:r w:rsidRPr="00CB40E0">
        <w:rPr>
          <w:rFonts w:ascii="Times New Roman" w:hAnsi="Times New Roman" w:cs="Times New Roman"/>
          <w:sz w:val="24"/>
          <w:szCs w:val="24"/>
        </w:rPr>
        <w:t>UT SA осу</w:t>
      </w:r>
      <w:r>
        <w:rPr>
          <w:rFonts w:ascii="Times New Roman" w:hAnsi="Times New Roman" w:cs="Times New Roman"/>
          <w:sz w:val="24"/>
          <w:szCs w:val="24"/>
        </w:rPr>
        <w:t>ществляет перепродажу купленного калия</w:t>
      </w:r>
      <w:r w:rsidRPr="00CB40E0">
        <w:rPr>
          <w:rFonts w:ascii="Times New Roman" w:hAnsi="Times New Roman" w:cs="Times New Roman"/>
          <w:sz w:val="24"/>
          <w:szCs w:val="24"/>
        </w:rPr>
        <w:t xml:space="preserve"> взаимозависимы</w:t>
      </w:r>
      <w:r>
        <w:rPr>
          <w:rFonts w:ascii="Times New Roman" w:hAnsi="Times New Roman" w:cs="Times New Roman"/>
          <w:sz w:val="24"/>
          <w:szCs w:val="24"/>
        </w:rPr>
        <w:t>м лицам, что является препятствием для применения метода сравнительных цен</w:t>
      </w:r>
      <w:r w:rsidRPr="00CB40E0">
        <w:rPr>
          <w:rFonts w:ascii="Times New Roman" w:hAnsi="Times New Roman" w:cs="Times New Roman"/>
          <w:sz w:val="24"/>
          <w:szCs w:val="24"/>
        </w:rPr>
        <w:t xml:space="preserve"> при </w:t>
      </w:r>
      <w:r>
        <w:rPr>
          <w:rFonts w:ascii="Times New Roman" w:hAnsi="Times New Roman" w:cs="Times New Roman"/>
          <w:sz w:val="24"/>
          <w:szCs w:val="24"/>
        </w:rPr>
        <w:t>рассмотрение</w:t>
      </w:r>
      <w:r w:rsidRPr="00CB40E0">
        <w:rPr>
          <w:rFonts w:ascii="Times New Roman" w:hAnsi="Times New Roman" w:cs="Times New Roman"/>
          <w:sz w:val="24"/>
          <w:szCs w:val="24"/>
        </w:rPr>
        <w:t xml:space="preserve"> финансовых </w:t>
      </w:r>
      <w:r>
        <w:rPr>
          <w:rFonts w:ascii="Times New Roman" w:hAnsi="Times New Roman" w:cs="Times New Roman"/>
          <w:sz w:val="24"/>
          <w:szCs w:val="24"/>
        </w:rPr>
        <w:t>результатов</w:t>
      </w:r>
      <w:r w:rsidRPr="00CB40E0">
        <w:rPr>
          <w:rFonts w:ascii="Times New Roman" w:hAnsi="Times New Roman" w:cs="Times New Roman"/>
          <w:sz w:val="24"/>
          <w:szCs w:val="24"/>
        </w:rPr>
        <w:t xml:space="preserve"> UT SA</w:t>
      </w:r>
      <w:r>
        <w:rPr>
          <w:rFonts w:ascii="Times New Roman" w:hAnsi="Times New Roman" w:cs="Times New Roman"/>
          <w:sz w:val="24"/>
          <w:szCs w:val="24"/>
        </w:rPr>
        <w:t>. Изначально позиция суда была такова: доля продукции</w:t>
      </w:r>
      <w:r w:rsidRPr="008005DE">
        <w:rPr>
          <w:rFonts w:ascii="Times New Roman" w:hAnsi="Times New Roman" w:cs="Times New Roman"/>
          <w:sz w:val="24"/>
          <w:szCs w:val="24"/>
        </w:rPr>
        <w:t xml:space="preserve"> UT SA</w:t>
      </w:r>
      <w:r>
        <w:rPr>
          <w:rFonts w:ascii="Times New Roman" w:hAnsi="Times New Roman" w:cs="Times New Roman"/>
          <w:sz w:val="24"/>
          <w:szCs w:val="24"/>
        </w:rPr>
        <w:t>, которая реализуется</w:t>
      </w:r>
      <w:r w:rsidRPr="008005DE">
        <w:rPr>
          <w:rFonts w:ascii="Times New Roman" w:hAnsi="Times New Roman" w:cs="Times New Roman"/>
          <w:sz w:val="24"/>
          <w:szCs w:val="24"/>
        </w:rPr>
        <w:t xml:space="preserve"> в </w:t>
      </w:r>
      <w:r>
        <w:rPr>
          <w:rFonts w:ascii="Times New Roman" w:hAnsi="Times New Roman" w:cs="Times New Roman"/>
          <w:sz w:val="24"/>
          <w:szCs w:val="24"/>
        </w:rPr>
        <w:t>пользу</w:t>
      </w:r>
      <w:r w:rsidRPr="008005DE">
        <w:rPr>
          <w:rFonts w:ascii="Times New Roman" w:hAnsi="Times New Roman" w:cs="Times New Roman"/>
          <w:sz w:val="24"/>
          <w:szCs w:val="24"/>
        </w:rPr>
        <w:t xml:space="preserve"> взаимозависимых ли</w:t>
      </w:r>
      <w:r>
        <w:rPr>
          <w:rFonts w:ascii="Times New Roman" w:hAnsi="Times New Roman" w:cs="Times New Roman"/>
          <w:sz w:val="24"/>
          <w:szCs w:val="24"/>
        </w:rPr>
        <w:t>ц не превосходит показатель в 10%, то есть вклад был</w:t>
      </w:r>
      <w:r w:rsidRPr="008005DE">
        <w:rPr>
          <w:rFonts w:ascii="Times New Roman" w:hAnsi="Times New Roman" w:cs="Times New Roman"/>
          <w:sz w:val="24"/>
          <w:szCs w:val="24"/>
        </w:rPr>
        <w:t xml:space="preserve"> незна</w:t>
      </w:r>
      <w:r>
        <w:rPr>
          <w:rFonts w:ascii="Times New Roman" w:hAnsi="Times New Roman" w:cs="Times New Roman"/>
          <w:sz w:val="24"/>
          <w:szCs w:val="24"/>
        </w:rPr>
        <w:t xml:space="preserve">чительным и не оказывал значительного </w:t>
      </w:r>
      <w:r w:rsidRPr="008005DE">
        <w:rPr>
          <w:rFonts w:ascii="Times New Roman" w:hAnsi="Times New Roman" w:cs="Times New Roman"/>
          <w:sz w:val="24"/>
          <w:szCs w:val="24"/>
        </w:rPr>
        <w:t>влияни</w:t>
      </w:r>
      <w:r>
        <w:rPr>
          <w:rFonts w:ascii="Times New Roman" w:hAnsi="Times New Roman" w:cs="Times New Roman"/>
          <w:sz w:val="24"/>
          <w:szCs w:val="24"/>
        </w:rPr>
        <w:t>я на конечные показатели</w:t>
      </w:r>
      <w:r w:rsidRPr="008005DE">
        <w:rPr>
          <w:rFonts w:ascii="Times New Roman" w:hAnsi="Times New Roman" w:cs="Times New Roman"/>
          <w:sz w:val="24"/>
          <w:szCs w:val="24"/>
        </w:rPr>
        <w:t xml:space="preserve"> рентабельнос</w:t>
      </w:r>
      <w:r>
        <w:rPr>
          <w:rFonts w:ascii="Times New Roman" w:hAnsi="Times New Roman" w:cs="Times New Roman"/>
          <w:sz w:val="24"/>
          <w:szCs w:val="24"/>
        </w:rPr>
        <w:t>ти UT SA. Более того, при исключении</w:t>
      </w:r>
      <w:r w:rsidRPr="008005DE">
        <w:rPr>
          <w:rFonts w:ascii="Times New Roman" w:hAnsi="Times New Roman" w:cs="Times New Roman"/>
          <w:sz w:val="24"/>
          <w:szCs w:val="24"/>
        </w:rPr>
        <w:t xml:space="preserve"> </w:t>
      </w:r>
      <w:r>
        <w:rPr>
          <w:rFonts w:ascii="Times New Roman" w:hAnsi="Times New Roman" w:cs="Times New Roman"/>
          <w:sz w:val="24"/>
          <w:szCs w:val="24"/>
        </w:rPr>
        <w:t>рассматриваемой доли</w:t>
      </w:r>
      <w:r w:rsidRPr="008005DE">
        <w:rPr>
          <w:rFonts w:ascii="Times New Roman" w:hAnsi="Times New Roman" w:cs="Times New Roman"/>
          <w:sz w:val="24"/>
          <w:szCs w:val="24"/>
        </w:rPr>
        <w:t xml:space="preserve"> переп</w:t>
      </w:r>
      <w:r>
        <w:rPr>
          <w:rFonts w:ascii="Times New Roman" w:hAnsi="Times New Roman" w:cs="Times New Roman"/>
          <w:sz w:val="24"/>
          <w:szCs w:val="24"/>
        </w:rPr>
        <w:t xml:space="preserve">родажи из расчета рентабельности </w:t>
      </w:r>
      <w:r w:rsidRPr="008005DE">
        <w:rPr>
          <w:rFonts w:ascii="Times New Roman" w:hAnsi="Times New Roman" w:cs="Times New Roman"/>
          <w:sz w:val="24"/>
          <w:szCs w:val="24"/>
        </w:rPr>
        <w:t xml:space="preserve">UT SA, конечный показатель </w:t>
      </w:r>
      <w:r>
        <w:rPr>
          <w:rFonts w:ascii="Times New Roman" w:hAnsi="Times New Roman" w:cs="Times New Roman"/>
          <w:sz w:val="24"/>
          <w:szCs w:val="24"/>
        </w:rPr>
        <w:t>колеблетс</w:t>
      </w:r>
      <w:r w:rsidRPr="008005DE">
        <w:rPr>
          <w:rFonts w:ascii="Times New Roman" w:hAnsi="Times New Roman" w:cs="Times New Roman"/>
          <w:sz w:val="24"/>
          <w:szCs w:val="24"/>
        </w:rPr>
        <w:t>я в пределах рыночного интервала</w:t>
      </w:r>
      <w:r>
        <w:rPr>
          <w:rFonts w:ascii="Times New Roman" w:hAnsi="Times New Roman" w:cs="Times New Roman"/>
          <w:sz w:val="24"/>
          <w:szCs w:val="24"/>
        </w:rPr>
        <w:t>.</w:t>
      </w:r>
    </w:p>
    <w:p w:rsidR="00986ABF" w:rsidRPr="00986ABF" w:rsidRDefault="00CB40E0" w:rsidP="00986A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86ABF">
        <w:rPr>
          <w:rFonts w:ascii="Times New Roman" w:hAnsi="Times New Roman" w:cs="Times New Roman"/>
          <w:sz w:val="24"/>
          <w:szCs w:val="24"/>
        </w:rPr>
        <w:t>При первом рассмотрении дела АС</w:t>
      </w:r>
      <w:r w:rsidR="00986ABF" w:rsidRPr="00986ABF">
        <w:rPr>
          <w:rFonts w:ascii="Times New Roman" w:hAnsi="Times New Roman" w:cs="Times New Roman"/>
          <w:sz w:val="24"/>
          <w:szCs w:val="24"/>
        </w:rPr>
        <w:t xml:space="preserve"> с помощью PWC </w:t>
      </w:r>
      <w:r w:rsidR="00986ABF">
        <w:rPr>
          <w:rFonts w:ascii="Times New Roman" w:hAnsi="Times New Roman" w:cs="Times New Roman"/>
          <w:sz w:val="24"/>
          <w:szCs w:val="24"/>
        </w:rPr>
        <w:t>было отобрано</w:t>
      </w:r>
      <w:r w:rsidR="00F53293">
        <w:rPr>
          <w:rFonts w:ascii="Times New Roman" w:hAnsi="Times New Roman" w:cs="Times New Roman"/>
          <w:sz w:val="24"/>
          <w:szCs w:val="24"/>
        </w:rPr>
        <w:t xml:space="preserve"> 12 сопоставимых с UT</w:t>
      </w:r>
      <w:r w:rsidR="00986ABF" w:rsidRPr="00986ABF">
        <w:rPr>
          <w:rFonts w:ascii="Times New Roman" w:hAnsi="Times New Roman" w:cs="Times New Roman"/>
          <w:sz w:val="24"/>
          <w:szCs w:val="24"/>
        </w:rPr>
        <w:t xml:space="preserve"> SA иностранных ком</w:t>
      </w:r>
      <w:r w:rsidR="00986ABF">
        <w:rPr>
          <w:rFonts w:ascii="Times New Roman" w:hAnsi="Times New Roman" w:cs="Times New Roman"/>
          <w:sz w:val="24"/>
          <w:szCs w:val="24"/>
        </w:rPr>
        <w:t>паний-дистрибьюторов удобрений с целью определения рыночного уровня</w:t>
      </w:r>
      <w:r w:rsidR="00986ABF" w:rsidRPr="00986ABF">
        <w:rPr>
          <w:rFonts w:ascii="Times New Roman" w:hAnsi="Times New Roman" w:cs="Times New Roman"/>
          <w:sz w:val="24"/>
          <w:szCs w:val="24"/>
        </w:rPr>
        <w:t xml:space="preserve"> рентабельности </w:t>
      </w:r>
      <w:r w:rsidR="00986ABF">
        <w:rPr>
          <w:rFonts w:ascii="Times New Roman" w:hAnsi="Times New Roman" w:cs="Times New Roman"/>
          <w:sz w:val="24"/>
          <w:szCs w:val="24"/>
        </w:rPr>
        <w:t xml:space="preserve">за </w:t>
      </w:r>
      <w:r w:rsidR="00986ABF" w:rsidRPr="00986ABF">
        <w:rPr>
          <w:rFonts w:ascii="Times New Roman" w:hAnsi="Times New Roman" w:cs="Times New Roman"/>
          <w:sz w:val="24"/>
          <w:szCs w:val="24"/>
        </w:rPr>
        <w:t>2009-2011</w:t>
      </w:r>
      <w:r w:rsidR="00986ABF">
        <w:rPr>
          <w:rFonts w:ascii="Times New Roman" w:hAnsi="Times New Roman" w:cs="Times New Roman"/>
          <w:sz w:val="24"/>
          <w:szCs w:val="24"/>
        </w:rPr>
        <w:t xml:space="preserve"> отчетные</w:t>
      </w:r>
      <w:r w:rsidR="00986ABF" w:rsidRPr="00986ABF">
        <w:rPr>
          <w:rFonts w:ascii="Times New Roman" w:hAnsi="Times New Roman" w:cs="Times New Roman"/>
          <w:sz w:val="24"/>
          <w:szCs w:val="24"/>
        </w:rPr>
        <w:t xml:space="preserve"> годы. Рентаб</w:t>
      </w:r>
      <w:r w:rsidR="00F53293">
        <w:rPr>
          <w:rFonts w:ascii="Times New Roman" w:hAnsi="Times New Roman" w:cs="Times New Roman"/>
          <w:sz w:val="24"/>
          <w:szCs w:val="24"/>
        </w:rPr>
        <w:t>ельность UT</w:t>
      </w:r>
      <w:r w:rsidR="00986ABF" w:rsidRPr="00986ABF">
        <w:rPr>
          <w:rFonts w:ascii="Times New Roman" w:hAnsi="Times New Roman" w:cs="Times New Roman"/>
          <w:sz w:val="24"/>
          <w:szCs w:val="24"/>
        </w:rPr>
        <w:t xml:space="preserve"> SA составила 1,81%</w:t>
      </w:r>
      <w:r w:rsidR="0002481F">
        <w:rPr>
          <w:rFonts w:ascii="Times New Roman" w:hAnsi="Times New Roman" w:cs="Times New Roman"/>
          <w:sz w:val="24"/>
          <w:szCs w:val="24"/>
        </w:rPr>
        <w:t>, в то время как интервал рыночной рентабельности составил</w:t>
      </w:r>
      <w:r w:rsidR="00986ABF" w:rsidRPr="00986ABF">
        <w:rPr>
          <w:rFonts w:ascii="Times New Roman" w:hAnsi="Times New Roman" w:cs="Times New Roman"/>
          <w:sz w:val="24"/>
          <w:szCs w:val="24"/>
        </w:rPr>
        <w:t xml:space="preserve"> 1,83</w:t>
      </w:r>
      <w:r w:rsidR="0002481F">
        <w:rPr>
          <w:rFonts w:ascii="Times New Roman" w:hAnsi="Times New Roman" w:cs="Times New Roman"/>
          <w:sz w:val="24"/>
          <w:szCs w:val="24"/>
        </w:rPr>
        <w:t>-5,59%). Рентабельность</w:t>
      </w:r>
      <w:r w:rsidR="00986ABF" w:rsidRPr="00986ABF">
        <w:rPr>
          <w:rFonts w:ascii="Times New Roman" w:hAnsi="Times New Roman" w:cs="Times New Roman"/>
          <w:sz w:val="24"/>
          <w:szCs w:val="24"/>
        </w:rPr>
        <w:t xml:space="preserve"> продаж </w:t>
      </w:r>
      <w:r w:rsidR="0002481F">
        <w:rPr>
          <w:rFonts w:ascii="Times New Roman" w:hAnsi="Times New Roman" w:cs="Times New Roman"/>
          <w:sz w:val="24"/>
          <w:szCs w:val="24"/>
        </w:rPr>
        <w:t>компаний</w:t>
      </w:r>
      <w:r w:rsidR="00107C6D">
        <w:rPr>
          <w:rFonts w:ascii="Times New Roman" w:hAnsi="Times New Roman" w:cs="Times New Roman"/>
          <w:sz w:val="24"/>
          <w:szCs w:val="24"/>
        </w:rPr>
        <w:t xml:space="preserve"> Uralkali Trading SA и ЗАО «Белорусская калийная компания»</w:t>
      </w:r>
      <w:r w:rsidR="00986ABF" w:rsidRPr="00986ABF">
        <w:rPr>
          <w:rFonts w:ascii="Times New Roman" w:hAnsi="Times New Roman" w:cs="Times New Roman"/>
          <w:sz w:val="24"/>
          <w:szCs w:val="24"/>
        </w:rPr>
        <w:t xml:space="preserve"> за 2012 год </w:t>
      </w:r>
      <w:r w:rsidR="0002481F">
        <w:rPr>
          <w:rFonts w:ascii="Times New Roman" w:hAnsi="Times New Roman" w:cs="Times New Roman"/>
          <w:sz w:val="24"/>
          <w:szCs w:val="24"/>
        </w:rPr>
        <w:t>попадали в указанный интервал</w:t>
      </w:r>
      <w:r w:rsidR="00986ABF" w:rsidRPr="00986ABF">
        <w:rPr>
          <w:rFonts w:ascii="Times New Roman" w:hAnsi="Times New Roman" w:cs="Times New Roman"/>
          <w:sz w:val="24"/>
          <w:szCs w:val="24"/>
        </w:rPr>
        <w:t xml:space="preserve">, </w:t>
      </w:r>
      <w:r w:rsidR="0002481F">
        <w:rPr>
          <w:rFonts w:ascii="Times New Roman" w:hAnsi="Times New Roman" w:cs="Times New Roman"/>
          <w:sz w:val="24"/>
          <w:szCs w:val="24"/>
        </w:rPr>
        <w:t>следовательно, «Уралкалием» верно были определены трансфертные цены, так как они соответствовали рыночному уровню. По мнению АС, использование метода сопоставимой рентабельности также являлось обоснованным</w:t>
      </w:r>
      <w:r w:rsidR="00986ABF" w:rsidRPr="00986ABF">
        <w:rPr>
          <w:rFonts w:ascii="Times New Roman" w:hAnsi="Times New Roman" w:cs="Times New Roman"/>
          <w:sz w:val="24"/>
          <w:szCs w:val="24"/>
        </w:rPr>
        <w:t>.</w:t>
      </w:r>
    </w:p>
    <w:p w:rsidR="00F53293" w:rsidRDefault="0002481F" w:rsidP="00986A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Тем не менее апелляцией было приятно иное решение. Представители ФНС посчитали,</w:t>
      </w:r>
      <w:r w:rsidR="00986ABF" w:rsidRPr="00986ABF">
        <w:rPr>
          <w:rFonts w:ascii="Times New Roman" w:hAnsi="Times New Roman" w:cs="Times New Roman"/>
          <w:sz w:val="24"/>
          <w:szCs w:val="24"/>
        </w:rPr>
        <w:t xml:space="preserve"> что при исчислении налога н</w:t>
      </w:r>
      <w:r>
        <w:rPr>
          <w:rFonts w:ascii="Times New Roman" w:hAnsi="Times New Roman" w:cs="Times New Roman"/>
          <w:sz w:val="24"/>
          <w:szCs w:val="24"/>
        </w:rPr>
        <w:t>а прибыль за 2012 год Продавцом</w:t>
      </w:r>
      <w:r w:rsidR="00986ABF" w:rsidRPr="00986ABF">
        <w:rPr>
          <w:rFonts w:ascii="Times New Roman" w:hAnsi="Times New Roman" w:cs="Times New Roman"/>
          <w:sz w:val="24"/>
          <w:szCs w:val="24"/>
        </w:rPr>
        <w:t xml:space="preserve"> должен был </w:t>
      </w:r>
      <w:r>
        <w:rPr>
          <w:rFonts w:ascii="Times New Roman" w:hAnsi="Times New Roman" w:cs="Times New Roman"/>
          <w:sz w:val="24"/>
          <w:szCs w:val="24"/>
        </w:rPr>
        <w:t>быть применен</w:t>
      </w:r>
      <w:r w:rsidR="00986ABF" w:rsidRPr="00986ABF">
        <w:rPr>
          <w:rFonts w:ascii="Times New Roman" w:hAnsi="Times New Roman" w:cs="Times New Roman"/>
          <w:sz w:val="24"/>
          <w:szCs w:val="24"/>
        </w:rPr>
        <w:t xml:space="preserve"> м</w:t>
      </w:r>
      <w:r>
        <w:rPr>
          <w:rFonts w:ascii="Times New Roman" w:hAnsi="Times New Roman" w:cs="Times New Roman"/>
          <w:sz w:val="24"/>
          <w:szCs w:val="24"/>
        </w:rPr>
        <w:t>етод сопоставимых рыночных цен в силу общедоступности информации</w:t>
      </w:r>
      <w:r w:rsidR="00986ABF" w:rsidRPr="00986ABF">
        <w:rPr>
          <w:rFonts w:ascii="Times New Roman" w:hAnsi="Times New Roman" w:cs="Times New Roman"/>
          <w:sz w:val="24"/>
          <w:szCs w:val="24"/>
        </w:rPr>
        <w:t xml:space="preserve"> о сопостав</w:t>
      </w:r>
      <w:r w:rsidR="00490D75">
        <w:rPr>
          <w:rFonts w:ascii="Times New Roman" w:hAnsi="Times New Roman" w:cs="Times New Roman"/>
          <w:sz w:val="24"/>
          <w:szCs w:val="24"/>
        </w:rPr>
        <w:t xml:space="preserve">имых рыночных ценах, которой располагала информационно-ценовое агентство «Аргус Медиа». На это основе представителями ФНС было принято решение о доначислении </w:t>
      </w:r>
      <w:r w:rsidR="00F53293">
        <w:rPr>
          <w:rFonts w:ascii="Times New Roman" w:hAnsi="Times New Roman" w:cs="Times New Roman"/>
          <w:sz w:val="24"/>
          <w:szCs w:val="24"/>
        </w:rPr>
        <w:t>налогов.</w:t>
      </w:r>
    </w:p>
    <w:p w:rsidR="00986ABF" w:rsidRPr="00986ABF" w:rsidRDefault="00F53293" w:rsidP="00986A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90D75">
        <w:rPr>
          <w:rFonts w:ascii="Times New Roman" w:hAnsi="Times New Roman" w:cs="Times New Roman"/>
          <w:sz w:val="24"/>
          <w:szCs w:val="24"/>
        </w:rPr>
        <w:t xml:space="preserve">Судом </w:t>
      </w:r>
      <w:r w:rsidR="00986ABF" w:rsidRPr="00986ABF">
        <w:rPr>
          <w:rFonts w:ascii="Times New Roman" w:hAnsi="Times New Roman" w:cs="Times New Roman"/>
          <w:sz w:val="24"/>
          <w:szCs w:val="24"/>
        </w:rPr>
        <w:t xml:space="preserve">первой инстанции </w:t>
      </w:r>
      <w:r w:rsidR="00490D75">
        <w:rPr>
          <w:rFonts w:ascii="Times New Roman" w:hAnsi="Times New Roman" w:cs="Times New Roman"/>
          <w:sz w:val="24"/>
          <w:szCs w:val="24"/>
        </w:rPr>
        <w:t>было заявлено</w:t>
      </w:r>
      <w:r w:rsidR="00986ABF" w:rsidRPr="00986ABF">
        <w:rPr>
          <w:rFonts w:ascii="Times New Roman" w:hAnsi="Times New Roman" w:cs="Times New Roman"/>
          <w:sz w:val="24"/>
          <w:szCs w:val="24"/>
        </w:rPr>
        <w:t xml:space="preserve">, что </w:t>
      </w:r>
      <w:r w:rsidR="00490D75">
        <w:rPr>
          <w:rFonts w:ascii="Times New Roman" w:hAnsi="Times New Roman" w:cs="Times New Roman"/>
          <w:sz w:val="24"/>
          <w:szCs w:val="24"/>
        </w:rPr>
        <w:t>при рассмотрении рынка калийных удобрений</w:t>
      </w:r>
      <w:r w:rsidR="00986ABF" w:rsidRPr="00986ABF">
        <w:rPr>
          <w:rFonts w:ascii="Times New Roman" w:hAnsi="Times New Roman" w:cs="Times New Roman"/>
          <w:sz w:val="24"/>
          <w:szCs w:val="24"/>
        </w:rPr>
        <w:t xml:space="preserve"> </w:t>
      </w:r>
      <w:r w:rsidR="00490D75">
        <w:rPr>
          <w:rFonts w:ascii="Times New Roman" w:hAnsi="Times New Roman" w:cs="Times New Roman"/>
          <w:sz w:val="24"/>
          <w:szCs w:val="24"/>
        </w:rPr>
        <w:t>отсутствует</w:t>
      </w:r>
      <w:r w:rsidR="00986ABF" w:rsidRPr="00986ABF">
        <w:rPr>
          <w:rFonts w:ascii="Times New Roman" w:hAnsi="Times New Roman" w:cs="Times New Roman"/>
          <w:sz w:val="24"/>
          <w:szCs w:val="24"/>
        </w:rPr>
        <w:t xml:space="preserve"> </w:t>
      </w:r>
      <w:r w:rsidR="00490D75">
        <w:rPr>
          <w:rFonts w:ascii="Times New Roman" w:hAnsi="Times New Roman" w:cs="Times New Roman"/>
          <w:sz w:val="24"/>
          <w:szCs w:val="24"/>
        </w:rPr>
        <w:t>исчерпывающая</w:t>
      </w:r>
      <w:r w:rsidR="00986ABF" w:rsidRPr="00986ABF">
        <w:rPr>
          <w:rFonts w:ascii="Times New Roman" w:hAnsi="Times New Roman" w:cs="Times New Roman"/>
          <w:sz w:val="24"/>
          <w:szCs w:val="24"/>
        </w:rPr>
        <w:t xml:space="preserve"> ин</w:t>
      </w:r>
      <w:r w:rsidR="00490D75">
        <w:rPr>
          <w:rFonts w:ascii="Times New Roman" w:hAnsi="Times New Roman" w:cs="Times New Roman"/>
          <w:sz w:val="24"/>
          <w:szCs w:val="24"/>
        </w:rPr>
        <w:t>формация</w:t>
      </w:r>
      <w:r w:rsidR="00986ABF" w:rsidRPr="00986ABF">
        <w:rPr>
          <w:rFonts w:ascii="Times New Roman" w:hAnsi="Times New Roman" w:cs="Times New Roman"/>
          <w:sz w:val="24"/>
          <w:szCs w:val="24"/>
        </w:rPr>
        <w:t xml:space="preserve"> о </w:t>
      </w:r>
      <w:r>
        <w:rPr>
          <w:rFonts w:ascii="Times New Roman" w:hAnsi="Times New Roman" w:cs="Times New Roman"/>
          <w:sz w:val="24"/>
          <w:szCs w:val="24"/>
        </w:rPr>
        <w:t>подобных</w:t>
      </w:r>
      <w:r w:rsidR="00986ABF" w:rsidRPr="00986ABF">
        <w:rPr>
          <w:rFonts w:ascii="Times New Roman" w:hAnsi="Times New Roman" w:cs="Times New Roman"/>
          <w:sz w:val="24"/>
          <w:szCs w:val="24"/>
        </w:rPr>
        <w:t xml:space="preserve"> сделках, </w:t>
      </w:r>
      <w:r w:rsidR="00490D75">
        <w:rPr>
          <w:rFonts w:ascii="Times New Roman" w:hAnsi="Times New Roman" w:cs="Times New Roman"/>
          <w:sz w:val="24"/>
          <w:szCs w:val="24"/>
        </w:rPr>
        <w:t xml:space="preserve">а также </w:t>
      </w:r>
      <w:r w:rsidR="00986ABF" w:rsidRPr="00986ABF">
        <w:rPr>
          <w:rFonts w:ascii="Times New Roman" w:hAnsi="Times New Roman" w:cs="Times New Roman"/>
          <w:sz w:val="24"/>
          <w:szCs w:val="24"/>
        </w:rPr>
        <w:t xml:space="preserve">отсутствуют сделки, </w:t>
      </w:r>
      <w:r w:rsidR="00490D75">
        <w:rPr>
          <w:rFonts w:ascii="Times New Roman" w:hAnsi="Times New Roman" w:cs="Times New Roman"/>
          <w:sz w:val="24"/>
          <w:szCs w:val="24"/>
        </w:rPr>
        <w:t>которые были совершены</w:t>
      </w:r>
      <w:r w:rsidR="00986ABF" w:rsidRPr="00986ABF">
        <w:rPr>
          <w:rFonts w:ascii="Times New Roman" w:hAnsi="Times New Roman" w:cs="Times New Roman"/>
          <w:sz w:val="24"/>
          <w:szCs w:val="24"/>
        </w:rPr>
        <w:t xml:space="preserve"> самим "Уралкалием" с </w:t>
      </w:r>
      <w:r w:rsidR="00490D75">
        <w:rPr>
          <w:rFonts w:ascii="Times New Roman" w:hAnsi="Times New Roman" w:cs="Times New Roman"/>
          <w:sz w:val="24"/>
          <w:szCs w:val="24"/>
        </w:rPr>
        <w:t xml:space="preserve">компанией, которая не является взаимозависимой лицом, </w:t>
      </w:r>
      <w:r w:rsidR="00986ABF" w:rsidRPr="00986ABF">
        <w:rPr>
          <w:rFonts w:ascii="Times New Roman" w:hAnsi="Times New Roman" w:cs="Times New Roman"/>
          <w:sz w:val="24"/>
          <w:szCs w:val="24"/>
        </w:rPr>
        <w:t>но, по мнению апелляции, эти выводы не соответствуют обстоятельствам дела.</w:t>
      </w:r>
    </w:p>
    <w:p w:rsidR="00986ABF" w:rsidRPr="00986ABF" w:rsidRDefault="00490D75" w:rsidP="00986A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86ABF" w:rsidRPr="00986ABF">
        <w:rPr>
          <w:rFonts w:ascii="Times New Roman" w:hAnsi="Times New Roman" w:cs="Times New Roman"/>
          <w:sz w:val="24"/>
          <w:szCs w:val="24"/>
        </w:rPr>
        <w:t>Суд</w:t>
      </w:r>
      <w:r w:rsidR="00767A96">
        <w:rPr>
          <w:rFonts w:ascii="Times New Roman" w:hAnsi="Times New Roman" w:cs="Times New Roman"/>
          <w:sz w:val="24"/>
          <w:szCs w:val="24"/>
        </w:rPr>
        <w:t>ом</w:t>
      </w:r>
      <w:r w:rsidR="00986ABF" w:rsidRPr="00986ABF">
        <w:rPr>
          <w:rFonts w:ascii="Times New Roman" w:hAnsi="Times New Roman" w:cs="Times New Roman"/>
          <w:sz w:val="24"/>
          <w:szCs w:val="24"/>
        </w:rPr>
        <w:t xml:space="preserve"> апелляционной инстанции </w:t>
      </w:r>
      <w:r w:rsidR="00F53293">
        <w:rPr>
          <w:rFonts w:ascii="Times New Roman" w:hAnsi="Times New Roman" w:cs="Times New Roman"/>
          <w:sz w:val="24"/>
          <w:szCs w:val="24"/>
        </w:rPr>
        <w:t xml:space="preserve">также </w:t>
      </w:r>
      <w:r w:rsidR="00767A96">
        <w:rPr>
          <w:rFonts w:ascii="Times New Roman" w:hAnsi="Times New Roman" w:cs="Times New Roman"/>
          <w:sz w:val="24"/>
          <w:szCs w:val="24"/>
        </w:rPr>
        <w:t>было заключено, что метод расчета котировок «Аргус Медиа»</w:t>
      </w:r>
      <w:r w:rsidR="00986ABF" w:rsidRPr="00986ABF">
        <w:rPr>
          <w:rFonts w:ascii="Times New Roman" w:hAnsi="Times New Roman" w:cs="Times New Roman"/>
          <w:sz w:val="24"/>
          <w:szCs w:val="24"/>
        </w:rPr>
        <w:t xml:space="preserve"> </w:t>
      </w:r>
      <w:r w:rsidR="00767A96">
        <w:rPr>
          <w:rFonts w:ascii="Times New Roman" w:hAnsi="Times New Roman" w:cs="Times New Roman"/>
          <w:sz w:val="24"/>
          <w:szCs w:val="24"/>
        </w:rPr>
        <w:t>дало возможность</w:t>
      </w:r>
      <w:r w:rsidR="00986ABF" w:rsidRPr="00986ABF">
        <w:rPr>
          <w:rFonts w:ascii="Times New Roman" w:hAnsi="Times New Roman" w:cs="Times New Roman"/>
          <w:sz w:val="24"/>
          <w:szCs w:val="24"/>
        </w:rPr>
        <w:t xml:space="preserve"> ФНС применить котировку на </w:t>
      </w:r>
      <w:r w:rsidR="00767A96">
        <w:rPr>
          <w:rFonts w:ascii="Times New Roman" w:hAnsi="Times New Roman" w:cs="Times New Roman"/>
          <w:sz w:val="24"/>
          <w:szCs w:val="24"/>
        </w:rPr>
        <w:t>рассматриваемый товар</w:t>
      </w:r>
      <w:r w:rsidR="00986ABF" w:rsidRPr="00986ABF">
        <w:rPr>
          <w:rFonts w:ascii="Times New Roman" w:hAnsi="Times New Roman" w:cs="Times New Roman"/>
          <w:sz w:val="24"/>
          <w:szCs w:val="24"/>
        </w:rPr>
        <w:t xml:space="preserve"> в качестве сопоставимой сделки. Мировые информационно</w:t>
      </w:r>
      <w:r w:rsidR="00767A96">
        <w:rPr>
          <w:rFonts w:ascii="Times New Roman" w:hAnsi="Times New Roman" w:cs="Times New Roman"/>
          <w:sz w:val="24"/>
          <w:szCs w:val="24"/>
        </w:rPr>
        <w:t>-ценовые агентства, такие, как «</w:t>
      </w:r>
      <w:r w:rsidR="00986ABF" w:rsidRPr="00986ABF">
        <w:rPr>
          <w:rFonts w:ascii="Times New Roman" w:hAnsi="Times New Roman" w:cs="Times New Roman"/>
          <w:sz w:val="24"/>
          <w:szCs w:val="24"/>
        </w:rPr>
        <w:t>Аргус М</w:t>
      </w:r>
      <w:r w:rsidR="00767A96">
        <w:rPr>
          <w:rFonts w:ascii="Times New Roman" w:hAnsi="Times New Roman" w:cs="Times New Roman"/>
          <w:sz w:val="24"/>
          <w:szCs w:val="24"/>
        </w:rPr>
        <w:t>едиа»</w:t>
      </w:r>
      <w:r w:rsidR="00986ABF" w:rsidRPr="00986ABF">
        <w:rPr>
          <w:rFonts w:ascii="Times New Roman" w:hAnsi="Times New Roman" w:cs="Times New Roman"/>
          <w:sz w:val="24"/>
          <w:szCs w:val="24"/>
        </w:rPr>
        <w:t xml:space="preserve">, для </w:t>
      </w:r>
      <w:r w:rsidR="00767A96">
        <w:rPr>
          <w:rFonts w:ascii="Times New Roman" w:hAnsi="Times New Roman" w:cs="Times New Roman"/>
          <w:sz w:val="24"/>
          <w:szCs w:val="24"/>
        </w:rPr>
        <w:t>расчета котировок</w:t>
      </w:r>
      <w:r w:rsidR="00986ABF" w:rsidRPr="00986ABF">
        <w:rPr>
          <w:rFonts w:ascii="Times New Roman" w:hAnsi="Times New Roman" w:cs="Times New Roman"/>
          <w:sz w:val="24"/>
          <w:szCs w:val="24"/>
        </w:rPr>
        <w:t xml:space="preserve"> хлоркалия </w:t>
      </w:r>
      <w:r w:rsidR="00767A96" w:rsidRPr="00986ABF">
        <w:rPr>
          <w:rFonts w:ascii="Times New Roman" w:hAnsi="Times New Roman" w:cs="Times New Roman"/>
          <w:sz w:val="24"/>
          <w:szCs w:val="24"/>
        </w:rPr>
        <w:t xml:space="preserve">делят </w:t>
      </w:r>
      <w:r w:rsidR="00F53293" w:rsidRPr="00986ABF">
        <w:rPr>
          <w:rFonts w:ascii="Times New Roman" w:hAnsi="Times New Roman" w:cs="Times New Roman"/>
          <w:sz w:val="24"/>
          <w:szCs w:val="24"/>
        </w:rPr>
        <w:t xml:space="preserve">его </w:t>
      </w:r>
      <w:r w:rsidR="00986ABF" w:rsidRPr="00986ABF">
        <w:rPr>
          <w:rFonts w:ascii="Times New Roman" w:hAnsi="Times New Roman" w:cs="Times New Roman"/>
          <w:sz w:val="24"/>
          <w:szCs w:val="24"/>
        </w:rPr>
        <w:t>на ста</w:t>
      </w:r>
      <w:r w:rsidR="00767A96">
        <w:rPr>
          <w:rFonts w:ascii="Times New Roman" w:hAnsi="Times New Roman" w:cs="Times New Roman"/>
          <w:sz w:val="24"/>
          <w:szCs w:val="24"/>
        </w:rPr>
        <w:t>ндартный и гранулированный, то есть</w:t>
      </w:r>
      <w:r w:rsidR="00986ABF" w:rsidRPr="00986ABF">
        <w:rPr>
          <w:rFonts w:ascii="Times New Roman" w:hAnsi="Times New Roman" w:cs="Times New Roman"/>
          <w:sz w:val="24"/>
          <w:szCs w:val="24"/>
        </w:rPr>
        <w:t xml:space="preserve"> </w:t>
      </w:r>
      <w:r w:rsidR="00767A96">
        <w:rPr>
          <w:rFonts w:ascii="Times New Roman" w:hAnsi="Times New Roman" w:cs="Times New Roman"/>
          <w:sz w:val="24"/>
          <w:szCs w:val="24"/>
        </w:rPr>
        <w:t>для определения диапазона рыночных цен</w:t>
      </w:r>
      <w:r w:rsidR="00986ABF" w:rsidRPr="00986ABF">
        <w:rPr>
          <w:rFonts w:ascii="Times New Roman" w:hAnsi="Times New Roman" w:cs="Times New Roman"/>
          <w:sz w:val="24"/>
          <w:szCs w:val="24"/>
        </w:rPr>
        <w:t xml:space="preserve"> на калий </w:t>
      </w:r>
      <w:r w:rsidR="00767A96">
        <w:rPr>
          <w:rFonts w:ascii="Times New Roman" w:hAnsi="Times New Roman" w:cs="Times New Roman"/>
          <w:sz w:val="24"/>
          <w:szCs w:val="24"/>
        </w:rPr>
        <w:t>производится группировка</w:t>
      </w:r>
      <w:r w:rsidR="00986ABF" w:rsidRPr="00986ABF">
        <w:rPr>
          <w:rFonts w:ascii="Times New Roman" w:hAnsi="Times New Roman" w:cs="Times New Roman"/>
          <w:sz w:val="24"/>
          <w:szCs w:val="24"/>
        </w:rPr>
        <w:t xml:space="preserve"> по </w:t>
      </w:r>
      <w:r w:rsidR="00767A96">
        <w:rPr>
          <w:rFonts w:ascii="Times New Roman" w:hAnsi="Times New Roman" w:cs="Times New Roman"/>
          <w:sz w:val="24"/>
          <w:szCs w:val="24"/>
        </w:rPr>
        <w:t>данному признаку. «Аргус Медиа»</w:t>
      </w:r>
      <w:r w:rsidR="00986ABF" w:rsidRPr="00986ABF">
        <w:rPr>
          <w:rFonts w:ascii="Times New Roman" w:hAnsi="Times New Roman" w:cs="Times New Roman"/>
          <w:sz w:val="24"/>
          <w:szCs w:val="24"/>
        </w:rPr>
        <w:t xml:space="preserve"> публикует ценовые котировки для товара, соответствующего по качественным характеристикам товару из анализируемых сделок. </w:t>
      </w:r>
      <w:r w:rsidR="00767A96">
        <w:rPr>
          <w:rFonts w:ascii="Times New Roman" w:hAnsi="Times New Roman" w:cs="Times New Roman"/>
          <w:sz w:val="24"/>
          <w:szCs w:val="24"/>
        </w:rPr>
        <w:t xml:space="preserve">Арбитражный суд посчитал, </w:t>
      </w:r>
      <w:r w:rsidR="00986ABF" w:rsidRPr="00986ABF">
        <w:rPr>
          <w:rFonts w:ascii="Times New Roman" w:hAnsi="Times New Roman" w:cs="Times New Roman"/>
          <w:sz w:val="24"/>
          <w:szCs w:val="24"/>
        </w:rPr>
        <w:t>что коммерческие и финансовые условия сделок, на основании ко</w:t>
      </w:r>
      <w:r w:rsidR="00767A96">
        <w:rPr>
          <w:rFonts w:ascii="Times New Roman" w:hAnsi="Times New Roman" w:cs="Times New Roman"/>
          <w:sz w:val="24"/>
          <w:szCs w:val="24"/>
        </w:rPr>
        <w:t>торых рассчитываются котировки «Аргус Медиа»</w:t>
      </w:r>
      <w:r w:rsidR="00986ABF" w:rsidRPr="00986ABF">
        <w:rPr>
          <w:rFonts w:ascii="Times New Roman" w:hAnsi="Times New Roman" w:cs="Times New Roman"/>
          <w:sz w:val="24"/>
          <w:szCs w:val="24"/>
        </w:rPr>
        <w:t>, соответствуют коммерческим и финансовым условиям контролируемых сделок.</w:t>
      </w:r>
    </w:p>
    <w:p w:rsidR="00986ABF" w:rsidRPr="00986ABF" w:rsidRDefault="00767A96" w:rsidP="00986A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w:t>
      </w:r>
      <w:r w:rsidR="00986ABF" w:rsidRPr="00986ABF">
        <w:rPr>
          <w:rFonts w:ascii="Times New Roman" w:hAnsi="Times New Roman" w:cs="Times New Roman"/>
          <w:sz w:val="24"/>
          <w:szCs w:val="24"/>
        </w:rPr>
        <w:t>ывод</w:t>
      </w:r>
      <w:r>
        <w:rPr>
          <w:rFonts w:ascii="Times New Roman" w:hAnsi="Times New Roman" w:cs="Times New Roman"/>
          <w:sz w:val="24"/>
          <w:szCs w:val="24"/>
        </w:rPr>
        <w:t>ы, принятые судом</w:t>
      </w:r>
      <w:r w:rsidR="00986ABF" w:rsidRPr="00986ABF">
        <w:rPr>
          <w:rFonts w:ascii="Times New Roman" w:hAnsi="Times New Roman" w:cs="Times New Roman"/>
          <w:sz w:val="24"/>
          <w:szCs w:val="24"/>
        </w:rPr>
        <w:t xml:space="preserve"> первой инстанции об отсутствии сравнения условий сделок ЗАО "Белорусская калийная компания" со сделками </w:t>
      </w:r>
      <w:r>
        <w:rPr>
          <w:rFonts w:ascii="Times New Roman" w:hAnsi="Times New Roman" w:cs="Times New Roman"/>
          <w:sz w:val="24"/>
          <w:szCs w:val="24"/>
        </w:rPr>
        <w:t xml:space="preserve">«Уралкалия», а также о наличии </w:t>
      </w:r>
      <w:r w:rsidR="00986ABF" w:rsidRPr="00986ABF">
        <w:rPr>
          <w:rFonts w:ascii="Times New Roman" w:hAnsi="Times New Roman" w:cs="Times New Roman"/>
          <w:sz w:val="24"/>
          <w:szCs w:val="24"/>
        </w:rPr>
        <w:t xml:space="preserve">необходимости </w:t>
      </w:r>
      <w:r>
        <w:rPr>
          <w:rFonts w:ascii="Times New Roman" w:hAnsi="Times New Roman" w:cs="Times New Roman"/>
          <w:sz w:val="24"/>
          <w:szCs w:val="24"/>
        </w:rPr>
        <w:t>в проведении</w:t>
      </w:r>
      <w:r w:rsidR="00986ABF" w:rsidRPr="00986ABF">
        <w:rPr>
          <w:rFonts w:ascii="Times New Roman" w:hAnsi="Times New Roman" w:cs="Times New Roman"/>
          <w:sz w:val="24"/>
          <w:szCs w:val="24"/>
        </w:rPr>
        <w:t xml:space="preserve"> соответствующих корректировок </w:t>
      </w:r>
      <w:r>
        <w:rPr>
          <w:rFonts w:ascii="Times New Roman" w:hAnsi="Times New Roman" w:cs="Times New Roman"/>
          <w:sz w:val="24"/>
          <w:szCs w:val="24"/>
        </w:rPr>
        <w:t xml:space="preserve">представляются </w:t>
      </w:r>
      <w:r w:rsidR="00986ABF" w:rsidRPr="00986ABF">
        <w:rPr>
          <w:rFonts w:ascii="Times New Roman" w:hAnsi="Times New Roman" w:cs="Times New Roman"/>
          <w:sz w:val="24"/>
          <w:szCs w:val="24"/>
        </w:rPr>
        <w:t>необоснован</w:t>
      </w:r>
      <w:r>
        <w:rPr>
          <w:rFonts w:ascii="Times New Roman" w:hAnsi="Times New Roman" w:cs="Times New Roman"/>
          <w:sz w:val="24"/>
          <w:szCs w:val="24"/>
        </w:rPr>
        <w:t>ными, по мнению апелляции</w:t>
      </w:r>
      <w:r w:rsidR="00986ABF" w:rsidRPr="00986ABF">
        <w:rPr>
          <w:rFonts w:ascii="Times New Roman" w:hAnsi="Times New Roman" w:cs="Times New Roman"/>
          <w:sz w:val="24"/>
          <w:szCs w:val="24"/>
        </w:rPr>
        <w:t xml:space="preserve">. </w:t>
      </w:r>
    </w:p>
    <w:p w:rsidR="008B2E72" w:rsidRDefault="00767A96" w:rsidP="00986A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B2E72">
        <w:rPr>
          <w:rFonts w:ascii="Times New Roman" w:hAnsi="Times New Roman" w:cs="Times New Roman"/>
          <w:sz w:val="24"/>
          <w:szCs w:val="24"/>
        </w:rPr>
        <w:t>Апелляцией был также отклонен</w:t>
      </w:r>
      <w:r w:rsidR="00986ABF" w:rsidRPr="00986ABF">
        <w:rPr>
          <w:rFonts w:ascii="Times New Roman" w:hAnsi="Times New Roman" w:cs="Times New Roman"/>
          <w:sz w:val="24"/>
          <w:szCs w:val="24"/>
        </w:rPr>
        <w:t xml:space="preserve"> довод </w:t>
      </w:r>
      <w:r w:rsidR="008B2E72">
        <w:rPr>
          <w:rFonts w:ascii="Times New Roman" w:hAnsi="Times New Roman" w:cs="Times New Roman"/>
          <w:sz w:val="24"/>
          <w:szCs w:val="24"/>
        </w:rPr>
        <w:t>«Уралкалия»</w:t>
      </w:r>
      <w:r w:rsidR="00986ABF" w:rsidRPr="00986ABF">
        <w:rPr>
          <w:rFonts w:ascii="Times New Roman" w:hAnsi="Times New Roman" w:cs="Times New Roman"/>
          <w:sz w:val="24"/>
          <w:szCs w:val="24"/>
        </w:rPr>
        <w:t xml:space="preserve"> о том, что у каждой выделенной номенклатуры </w:t>
      </w:r>
      <w:r w:rsidR="008B2E72">
        <w:rPr>
          <w:rFonts w:ascii="Times New Roman" w:hAnsi="Times New Roman" w:cs="Times New Roman"/>
          <w:sz w:val="24"/>
          <w:szCs w:val="24"/>
        </w:rPr>
        <w:t>сущест</w:t>
      </w:r>
      <w:r w:rsidR="00F53293">
        <w:rPr>
          <w:rFonts w:ascii="Times New Roman" w:hAnsi="Times New Roman" w:cs="Times New Roman"/>
          <w:sz w:val="24"/>
          <w:szCs w:val="24"/>
        </w:rPr>
        <w:t>вует ряд особенных характеристи</w:t>
      </w:r>
      <w:r w:rsidR="008B2E72">
        <w:rPr>
          <w:rFonts w:ascii="Times New Roman" w:hAnsi="Times New Roman" w:cs="Times New Roman"/>
          <w:sz w:val="24"/>
          <w:szCs w:val="24"/>
        </w:rPr>
        <w:t>к</w:t>
      </w:r>
      <w:r w:rsidR="00986ABF" w:rsidRPr="00986ABF">
        <w:rPr>
          <w:rFonts w:ascii="Times New Roman" w:hAnsi="Times New Roman" w:cs="Times New Roman"/>
          <w:sz w:val="24"/>
          <w:szCs w:val="24"/>
        </w:rPr>
        <w:t xml:space="preserve">, что </w:t>
      </w:r>
      <w:r w:rsidR="00F53293">
        <w:rPr>
          <w:rFonts w:ascii="Times New Roman" w:hAnsi="Times New Roman" w:cs="Times New Roman"/>
          <w:sz w:val="24"/>
          <w:szCs w:val="24"/>
        </w:rPr>
        <w:t>оказыва</w:t>
      </w:r>
      <w:r w:rsidR="008B2E72">
        <w:rPr>
          <w:rFonts w:ascii="Times New Roman" w:hAnsi="Times New Roman" w:cs="Times New Roman"/>
          <w:sz w:val="24"/>
          <w:szCs w:val="24"/>
        </w:rPr>
        <w:t>ет существенное влияние на цену</w:t>
      </w:r>
      <w:r w:rsidR="00986ABF" w:rsidRPr="00986ABF">
        <w:rPr>
          <w:rFonts w:ascii="Times New Roman" w:hAnsi="Times New Roman" w:cs="Times New Roman"/>
          <w:sz w:val="24"/>
          <w:szCs w:val="24"/>
        </w:rPr>
        <w:t>. "На цену между налогоплательщиком и Uralkali Trading SA в значительной степени мог оказывать влияние характер ценообразования при последующей реализации товара трейдером. При этом налоговым органом в качестве сопоставимых сделок по отношению к проверяемым контролируемым сделкам были приняты максимально низкие котировки информационно-ценового агентства (минимальные котировки по контрактным ценам), что соответствует нормам НК</w:t>
      </w:r>
      <w:r w:rsidR="00F53293">
        <w:rPr>
          <w:rFonts w:ascii="Times New Roman" w:hAnsi="Times New Roman" w:cs="Times New Roman"/>
          <w:sz w:val="24"/>
          <w:szCs w:val="24"/>
        </w:rPr>
        <w:t xml:space="preserve"> РФ", - пояснил суд, 10 октября, приняв при этом решение </w:t>
      </w:r>
      <w:r w:rsidR="00986ABF" w:rsidRPr="00986ABF">
        <w:rPr>
          <w:rFonts w:ascii="Times New Roman" w:hAnsi="Times New Roman" w:cs="Times New Roman"/>
          <w:sz w:val="24"/>
          <w:szCs w:val="24"/>
        </w:rPr>
        <w:t>в пользу ФНС.</w:t>
      </w:r>
      <w:r w:rsidR="008B2E72">
        <w:rPr>
          <w:rFonts w:ascii="Times New Roman" w:hAnsi="Times New Roman" w:cs="Times New Roman"/>
          <w:sz w:val="24"/>
          <w:szCs w:val="24"/>
        </w:rPr>
        <w:t xml:space="preserve"> </w:t>
      </w:r>
    </w:p>
    <w:p w:rsidR="008818EA" w:rsidRDefault="008B2E72" w:rsidP="008818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3293">
        <w:rPr>
          <w:rFonts w:ascii="Times New Roman" w:hAnsi="Times New Roman" w:cs="Times New Roman"/>
          <w:sz w:val="24"/>
          <w:szCs w:val="24"/>
        </w:rPr>
        <w:t xml:space="preserve">Несмотря на то, что изначально АС принял решение в пользу налогоплательщика, а затем отменил его, удовлетворив требования ФНС, последние новости от 6 марта 2018 года говорят от том, что </w:t>
      </w:r>
      <w:r w:rsidR="008818EA" w:rsidRPr="008818EA">
        <w:rPr>
          <w:rFonts w:ascii="Times New Roman" w:hAnsi="Times New Roman" w:cs="Times New Roman"/>
          <w:sz w:val="24"/>
          <w:szCs w:val="24"/>
        </w:rPr>
        <w:t>Арбитражный суд Московского округа</w:t>
      </w:r>
      <w:r w:rsidR="008818EA">
        <w:rPr>
          <w:rFonts w:ascii="Times New Roman" w:hAnsi="Times New Roman" w:cs="Times New Roman"/>
          <w:sz w:val="24"/>
          <w:szCs w:val="24"/>
        </w:rPr>
        <w:t xml:space="preserve"> </w:t>
      </w:r>
      <w:r w:rsidR="008818EA" w:rsidRPr="008818EA">
        <w:rPr>
          <w:rFonts w:ascii="Times New Roman" w:hAnsi="Times New Roman" w:cs="Times New Roman"/>
          <w:sz w:val="24"/>
          <w:szCs w:val="24"/>
        </w:rPr>
        <w:t>отменил все судебные акты и отправил на новое рассмотрение заявление ПАО «Уралкалий» о признании недействительным решения ФНС РФ о доначислении компании около 980 миллионов рублей</w:t>
      </w:r>
      <w:r w:rsidR="008818EA">
        <w:rPr>
          <w:rFonts w:ascii="Times New Roman" w:hAnsi="Times New Roman" w:cs="Times New Roman"/>
          <w:sz w:val="24"/>
          <w:szCs w:val="24"/>
        </w:rPr>
        <w:t xml:space="preserve">. </w:t>
      </w:r>
      <w:r w:rsidR="00F53293">
        <w:rPr>
          <w:rFonts w:ascii="Times New Roman" w:hAnsi="Times New Roman" w:cs="Times New Roman"/>
          <w:sz w:val="24"/>
          <w:szCs w:val="24"/>
        </w:rPr>
        <w:t>И д</w:t>
      </w:r>
      <w:r w:rsidR="008818EA" w:rsidRPr="008818EA">
        <w:rPr>
          <w:rFonts w:ascii="Times New Roman" w:hAnsi="Times New Roman" w:cs="Times New Roman"/>
          <w:sz w:val="24"/>
          <w:szCs w:val="24"/>
        </w:rPr>
        <w:t>ело</w:t>
      </w:r>
      <w:r w:rsidR="00F53293">
        <w:rPr>
          <w:rFonts w:ascii="Times New Roman" w:hAnsi="Times New Roman" w:cs="Times New Roman"/>
          <w:sz w:val="24"/>
          <w:szCs w:val="24"/>
        </w:rPr>
        <w:t xml:space="preserve"> вновь</w:t>
      </w:r>
      <w:r w:rsidR="008818EA" w:rsidRPr="008818EA">
        <w:rPr>
          <w:rFonts w:ascii="Times New Roman" w:hAnsi="Times New Roman" w:cs="Times New Roman"/>
          <w:sz w:val="24"/>
          <w:szCs w:val="24"/>
        </w:rPr>
        <w:t xml:space="preserve"> направлено на новое рассмотрение в столичный арбитраж.</w:t>
      </w:r>
    </w:p>
    <w:p w:rsidR="00F53293" w:rsidRPr="00F53293" w:rsidRDefault="00F53293" w:rsidP="00F532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7C6D">
        <w:rPr>
          <w:rFonts w:ascii="Times New Roman" w:hAnsi="Times New Roman" w:cs="Times New Roman"/>
          <w:sz w:val="24"/>
          <w:szCs w:val="24"/>
        </w:rPr>
        <w:t>Говоря о проблемах</w:t>
      </w:r>
      <w:r w:rsidRPr="00F53293">
        <w:rPr>
          <w:rFonts w:ascii="Times New Roman" w:hAnsi="Times New Roman" w:cs="Times New Roman"/>
          <w:sz w:val="24"/>
          <w:szCs w:val="24"/>
        </w:rPr>
        <w:t>,</w:t>
      </w:r>
      <w:r w:rsidR="00107C6D">
        <w:rPr>
          <w:rFonts w:ascii="Times New Roman" w:hAnsi="Times New Roman" w:cs="Times New Roman"/>
          <w:sz w:val="24"/>
          <w:szCs w:val="24"/>
        </w:rPr>
        <w:t xml:space="preserve"> которые можно выделить на основе анализа дела «Уралкалия»,</w:t>
      </w:r>
      <w:r w:rsidRPr="00F53293">
        <w:rPr>
          <w:rFonts w:ascii="Times New Roman" w:hAnsi="Times New Roman" w:cs="Times New Roman"/>
          <w:sz w:val="24"/>
          <w:szCs w:val="24"/>
        </w:rPr>
        <w:t xml:space="preserve"> </w:t>
      </w:r>
      <w:r w:rsidR="00107C6D">
        <w:rPr>
          <w:rFonts w:ascii="Times New Roman" w:hAnsi="Times New Roman" w:cs="Times New Roman"/>
          <w:sz w:val="24"/>
          <w:szCs w:val="24"/>
        </w:rPr>
        <w:t>прежде всего стоит сказать о некомпетентности органов судебной власти, а также неточностей существующих норм налогового кодекса. Выводы, которые были сделаны апелляционном судом, в большинстве своем базируются</w:t>
      </w:r>
      <w:r w:rsidRPr="00F53293">
        <w:rPr>
          <w:rFonts w:ascii="Times New Roman" w:hAnsi="Times New Roman" w:cs="Times New Roman"/>
          <w:sz w:val="24"/>
          <w:szCs w:val="24"/>
        </w:rPr>
        <w:t xml:space="preserve"> не на глубоком изучении порядка применения правил трансфертного ценообразования, а</w:t>
      </w:r>
      <w:r w:rsidR="00107C6D">
        <w:rPr>
          <w:rFonts w:ascii="Times New Roman" w:hAnsi="Times New Roman" w:cs="Times New Roman"/>
          <w:sz w:val="24"/>
          <w:szCs w:val="24"/>
        </w:rPr>
        <w:t xml:space="preserve"> скорее на эмпирическом уровне.</w:t>
      </w:r>
      <w:r w:rsidRPr="00F53293">
        <w:rPr>
          <w:rFonts w:ascii="Times New Roman" w:hAnsi="Times New Roman" w:cs="Times New Roman"/>
          <w:sz w:val="24"/>
          <w:szCs w:val="24"/>
        </w:rPr>
        <w:t xml:space="preserve"> </w:t>
      </w:r>
      <w:r w:rsidR="00107C6D">
        <w:rPr>
          <w:rFonts w:ascii="Times New Roman" w:hAnsi="Times New Roman" w:cs="Times New Roman"/>
          <w:sz w:val="24"/>
          <w:szCs w:val="24"/>
        </w:rPr>
        <w:t>Вместо того, чтобы произвести расчет методом сопоставимых цен, была взята информация</w:t>
      </w:r>
      <w:r w:rsidRPr="00F53293">
        <w:rPr>
          <w:rFonts w:ascii="Times New Roman" w:hAnsi="Times New Roman" w:cs="Times New Roman"/>
          <w:sz w:val="24"/>
          <w:szCs w:val="24"/>
        </w:rPr>
        <w:t xml:space="preserve"> </w:t>
      </w:r>
      <w:r w:rsidR="00107C6D">
        <w:rPr>
          <w:rFonts w:ascii="Times New Roman" w:hAnsi="Times New Roman" w:cs="Times New Roman"/>
          <w:sz w:val="24"/>
          <w:szCs w:val="24"/>
        </w:rPr>
        <w:t>о котировках агентства, которая не может быть использована в контексте данной сделки в условиях специфики работы «Аргус Медиа»</w:t>
      </w:r>
      <w:r w:rsidR="00B6079B">
        <w:rPr>
          <w:rFonts w:ascii="Times New Roman" w:hAnsi="Times New Roman" w:cs="Times New Roman"/>
          <w:sz w:val="24"/>
          <w:szCs w:val="24"/>
        </w:rPr>
        <w:t xml:space="preserve">. 9-й </w:t>
      </w:r>
      <w:r w:rsidRPr="00F53293">
        <w:rPr>
          <w:rFonts w:ascii="Times New Roman" w:hAnsi="Times New Roman" w:cs="Times New Roman"/>
          <w:sz w:val="24"/>
          <w:szCs w:val="24"/>
        </w:rPr>
        <w:t xml:space="preserve">АС </w:t>
      </w:r>
      <w:r w:rsidR="00B6079B">
        <w:rPr>
          <w:rFonts w:ascii="Times New Roman" w:hAnsi="Times New Roman" w:cs="Times New Roman"/>
          <w:sz w:val="24"/>
          <w:szCs w:val="24"/>
        </w:rPr>
        <w:t xml:space="preserve">также не взял во внимание факт того, что </w:t>
      </w:r>
      <w:r w:rsidR="00B6079B" w:rsidRPr="00F53293">
        <w:rPr>
          <w:rFonts w:ascii="Times New Roman" w:hAnsi="Times New Roman" w:cs="Times New Roman"/>
          <w:sz w:val="24"/>
          <w:szCs w:val="24"/>
        </w:rPr>
        <w:t xml:space="preserve">в рамках налогового контроля </w:t>
      </w:r>
      <w:r w:rsidR="00B6079B">
        <w:rPr>
          <w:rFonts w:ascii="Times New Roman" w:hAnsi="Times New Roman" w:cs="Times New Roman"/>
          <w:sz w:val="24"/>
          <w:szCs w:val="24"/>
        </w:rPr>
        <w:t>приоритетным является тот метод, который непосредственно выбрал налогоплательщик. Также произошло смягчение критериев</w:t>
      </w:r>
      <w:r w:rsidRPr="00F53293">
        <w:rPr>
          <w:rFonts w:ascii="Times New Roman" w:hAnsi="Times New Roman" w:cs="Times New Roman"/>
          <w:sz w:val="24"/>
          <w:szCs w:val="24"/>
        </w:rPr>
        <w:t xml:space="preserve"> признания сделок сопоставимыми </w:t>
      </w:r>
      <w:r w:rsidR="00B6079B">
        <w:rPr>
          <w:rFonts w:ascii="Times New Roman" w:hAnsi="Times New Roman" w:cs="Times New Roman"/>
          <w:sz w:val="24"/>
          <w:szCs w:val="24"/>
        </w:rPr>
        <w:t>с целью</w:t>
      </w:r>
      <w:r w:rsidRPr="00F53293">
        <w:rPr>
          <w:rFonts w:ascii="Times New Roman" w:hAnsi="Times New Roman" w:cs="Times New Roman"/>
          <w:sz w:val="24"/>
          <w:szCs w:val="24"/>
        </w:rPr>
        <w:t xml:space="preserve"> применения метода сопо</w:t>
      </w:r>
      <w:r w:rsidR="00B6079B">
        <w:rPr>
          <w:rFonts w:ascii="Times New Roman" w:hAnsi="Times New Roman" w:cs="Times New Roman"/>
          <w:sz w:val="24"/>
          <w:szCs w:val="24"/>
        </w:rPr>
        <w:t>ставимых цен.</w:t>
      </w:r>
    </w:p>
    <w:p w:rsidR="00F53293" w:rsidRDefault="00B6079B" w:rsidP="00F532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 целью снижения возникающих рисков, компаниям стоит </w:t>
      </w:r>
      <w:r w:rsidR="00F53293" w:rsidRPr="00F53293">
        <w:rPr>
          <w:rFonts w:ascii="Times New Roman" w:hAnsi="Times New Roman" w:cs="Times New Roman"/>
          <w:sz w:val="24"/>
          <w:szCs w:val="24"/>
        </w:rPr>
        <w:t>критически пересмотреть позицию</w:t>
      </w:r>
      <w:r>
        <w:rPr>
          <w:rFonts w:ascii="Times New Roman" w:hAnsi="Times New Roman" w:cs="Times New Roman"/>
          <w:sz w:val="24"/>
          <w:szCs w:val="24"/>
        </w:rPr>
        <w:t xml:space="preserve"> относительно выбранного метода ТЦО и по возможности применять метод сопоставимых цен, так как именно он является наиболее приоритетным для инспекторов ФНС в силу его просты. Выбирая другой способ расчет трансфертной цены, необходим</w:t>
      </w:r>
      <w:r w:rsidR="00F53293" w:rsidRPr="00F53293">
        <w:rPr>
          <w:rFonts w:ascii="Times New Roman" w:hAnsi="Times New Roman" w:cs="Times New Roman"/>
          <w:sz w:val="24"/>
          <w:szCs w:val="24"/>
        </w:rPr>
        <w:t>о</w:t>
      </w:r>
      <w:r>
        <w:rPr>
          <w:rFonts w:ascii="Times New Roman" w:hAnsi="Times New Roman" w:cs="Times New Roman"/>
          <w:sz w:val="24"/>
          <w:szCs w:val="24"/>
        </w:rPr>
        <w:t xml:space="preserve"> с особой ответственностью подходить к обоснованию отказа использования метода сопоставимых рыночных цен.</w:t>
      </w:r>
    </w:p>
    <w:p w:rsidR="00F87FA3" w:rsidRPr="00A92946" w:rsidRDefault="00F87FA3" w:rsidP="00F87F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92946">
        <w:rPr>
          <w:rFonts w:ascii="Times New Roman" w:hAnsi="Times New Roman" w:cs="Times New Roman"/>
          <w:sz w:val="24"/>
          <w:szCs w:val="24"/>
        </w:rPr>
        <w:t xml:space="preserve">Таким образом, </w:t>
      </w:r>
      <w:r>
        <w:rPr>
          <w:rFonts w:ascii="Times New Roman" w:hAnsi="Times New Roman" w:cs="Times New Roman"/>
          <w:sz w:val="24"/>
          <w:szCs w:val="24"/>
        </w:rPr>
        <w:t xml:space="preserve">основываясь на результатах </w:t>
      </w:r>
      <w:r w:rsidRPr="00A92946">
        <w:rPr>
          <w:rFonts w:ascii="Times New Roman" w:hAnsi="Times New Roman" w:cs="Times New Roman"/>
          <w:sz w:val="24"/>
          <w:szCs w:val="24"/>
        </w:rPr>
        <w:t>анализа</w:t>
      </w:r>
      <w:r>
        <w:rPr>
          <w:rFonts w:ascii="Times New Roman" w:hAnsi="Times New Roman" w:cs="Times New Roman"/>
          <w:sz w:val="24"/>
          <w:szCs w:val="24"/>
        </w:rPr>
        <w:t xml:space="preserve"> рассматриваемых дел, которое стали первыми в своем роде, можно дать следующие рекомендации налогоплательщикам, планирующим совершать контролируемые сделки:</w:t>
      </w:r>
      <w:r w:rsidR="009C1411">
        <w:rPr>
          <w:rFonts w:ascii="Times New Roman" w:hAnsi="Times New Roman" w:cs="Times New Roman"/>
          <w:sz w:val="24"/>
          <w:szCs w:val="24"/>
        </w:rPr>
        <w:t xml:space="preserve"> </w:t>
      </w:r>
    </w:p>
    <w:p w:rsidR="00F87FA3" w:rsidRPr="006045D1" w:rsidRDefault="00F87FA3" w:rsidP="00F87FA3">
      <w:pPr>
        <w:pStyle w:val="a3"/>
        <w:numPr>
          <w:ilvl w:val="0"/>
          <w:numId w:val="10"/>
        </w:numPr>
        <w:spacing w:after="0" w:line="360" w:lineRule="auto"/>
        <w:jc w:val="both"/>
        <w:rPr>
          <w:rFonts w:ascii="Times New Roman" w:hAnsi="Times New Roman" w:cs="Times New Roman"/>
          <w:sz w:val="24"/>
          <w:szCs w:val="24"/>
        </w:rPr>
      </w:pPr>
      <w:r w:rsidRPr="006045D1">
        <w:rPr>
          <w:rFonts w:ascii="Times New Roman" w:hAnsi="Times New Roman" w:cs="Times New Roman"/>
          <w:sz w:val="24"/>
          <w:szCs w:val="24"/>
        </w:rPr>
        <w:t>своевременно подготавливать документацию по трансфертному ценообразованию, прежде всего обращая внимание на наиболее существенные контролируемые сделки, а также указывать метод, который был использован для определения трансфертной цены, в уведомлениях о контролируемых сделках;</w:t>
      </w:r>
    </w:p>
    <w:p w:rsidR="00F87FA3" w:rsidRPr="006045D1" w:rsidRDefault="00F87FA3" w:rsidP="00F87FA3">
      <w:pPr>
        <w:pStyle w:val="a3"/>
        <w:numPr>
          <w:ilvl w:val="0"/>
          <w:numId w:val="10"/>
        </w:numPr>
        <w:spacing w:after="0" w:line="360" w:lineRule="auto"/>
        <w:jc w:val="both"/>
        <w:rPr>
          <w:rFonts w:ascii="Times New Roman" w:hAnsi="Times New Roman" w:cs="Times New Roman"/>
          <w:sz w:val="24"/>
          <w:szCs w:val="24"/>
        </w:rPr>
      </w:pPr>
      <w:r w:rsidRPr="006045D1">
        <w:rPr>
          <w:rFonts w:ascii="Times New Roman" w:hAnsi="Times New Roman" w:cs="Times New Roman"/>
          <w:sz w:val="24"/>
          <w:szCs w:val="24"/>
        </w:rPr>
        <w:t>при осуществлении сделок с лицами, в отношении которых компания не является взаимозависимой, стоит детально разрабатывать обоснование, в соответствии с которым подтверждается отсутствие взаимозависимости при осуществлении подобных сделок;</w:t>
      </w:r>
    </w:p>
    <w:p w:rsidR="00F87FA3" w:rsidRPr="006045D1" w:rsidRDefault="00F87FA3" w:rsidP="00F87FA3">
      <w:pPr>
        <w:pStyle w:val="a3"/>
        <w:numPr>
          <w:ilvl w:val="0"/>
          <w:numId w:val="10"/>
        </w:numPr>
        <w:spacing w:after="0" w:line="360" w:lineRule="auto"/>
        <w:jc w:val="both"/>
        <w:rPr>
          <w:rFonts w:ascii="Times New Roman" w:hAnsi="Times New Roman" w:cs="Times New Roman"/>
          <w:sz w:val="24"/>
          <w:szCs w:val="24"/>
        </w:rPr>
      </w:pPr>
      <w:r w:rsidRPr="006045D1">
        <w:rPr>
          <w:rFonts w:ascii="Times New Roman" w:hAnsi="Times New Roman" w:cs="Times New Roman"/>
          <w:sz w:val="24"/>
          <w:szCs w:val="24"/>
        </w:rPr>
        <w:t>применять метод сопоставимых рыночных цен (если это представляется возможным) при подготовке документации по трансфертному ценообразованию</w:t>
      </w:r>
    </w:p>
    <w:p w:rsidR="00F87FA3" w:rsidRPr="006045D1" w:rsidRDefault="00F87FA3" w:rsidP="00F87FA3">
      <w:pPr>
        <w:pStyle w:val="a3"/>
        <w:numPr>
          <w:ilvl w:val="0"/>
          <w:numId w:val="10"/>
        </w:numPr>
        <w:spacing w:after="0" w:line="360" w:lineRule="auto"/>
        <w:jc w:val="both"/>
        <w:rPr>
          <w:rFonts w:ascii="Times New Roman" w:hAnsi="Times New Roman" w:cs="Times New Roman"/>
          <w:sz w:val="24"/>
          <w:szCs w:val="24"/>
        </w:rPr>
      </w:pPr>
      <w:r w:rsidRPr="006045D1">
        <w:rPr>
          <w:rFonts w:ascii="Times New Roman" w:hAnsi="Times New Roman" w:cs="Times New Roman"/>
          <w:sz w:val="24"/>
          <w:szCs w:val="24"/>
        </w:rPr>
        <w:t>разрабатывать аргументы, обосновывающие резонность используемого периода для расчета рыночного интервала цен (прежде всего данная рекомендация имеет значимость в контексте сделок с сырьевыми товарами);</w:t>
      </w:r>
    </w:p>
    <w:p w:rsidR="00F87FA3" w:rsidRPr="006045D1" w:rsidRDefault="00F87FA3" w:rsidP="00F87FA3">
      <w:pPr>
        <w:pStyle w:val="a3"/>
        <w:numPr>
          <w:ilvl w:val="0"/>
          <w:numId w:val="10"/>
        </w:numPr>
        <w:spacing w:after="0" w:line="360" w:lineRule="auto"/>
        <w:jc w:val="both"/>
        <w:rPr>
          <w:rFonts w:ascii="Times New Roman" w:hAnsi="Times New Roman" w:cs="Times New Roman"/>
          <w:sz w:val="24"/>
          <w:szCs w:val="24"/>
        </w:rPr>
      </w:pPr>
      <w:r w:rsidRPr="006045D1">
        <w:rPr>
          <w:rFonts w:ascii="Times New Roman" w:hAnsi="Times New Roman" w:cs="Times New Roman"/>
          <w:sz w:val="24"/>
          <w:szCs w:val="24"/>
        </w:rPr>
        <w:t>получать заключения от независимых лиц (таких как ценовые агентства и другие) на предмет корректности использования рыночных индикаторов по сделкам для правильности расчетов рыночного интервала цен;</w:t>
      </w:r>
    </w:p>
    <w:p w:rsidR="00F87FA3" w:rsidRPr="008A2D23" w:rsidRDefault="00F87FA3" w:rsidP="008818EA">
      <w:pPr>
        <w:pStyle w:val="a3"/>
        <w:numPr>
          <w:ilvl w:val="0"/>
          <w:numId w:val="10"/>
        </w:numPr>
        <w:spacing w:after="0" w:line="360" w:lineRule="auto"/>
        <w:jc w:val="both"/>
        <w:rPr>
          <w:rFonts w:ascii="Times New Roman" w:hAnsi="Times New Roman" w:cs="Times New Roman"/>
          <w:sz w:val="24"/>
          <w:szCs w:val="24"/>
        </w:rPr>
      </w:pPr>
      <w:r w:rsidRPr="006045D1">
        <w:rPr>
          <w:rFonts w:ascii="Times New Roman" w:hAnsi="Times New Roman" w:cs="Times New Roman"/>
          <w:sz w:val="24"/>
          <w:szCs w:val="24"/>
        </w:rPr>
        <w:t>анализировать возможность и необходимость в проведении корректировок по отношению к ценовым индикаторам и разрабатывать аргументы в пользу наличия или отсутствия такой необходимости.</w:t>
      </w:r>
    </w:p>
    <w:p w:rsidR="00371C2D" w:rsidRDefault="008818EA" w:rsidP="00A92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05F5" w:rsidRPr="009761E8">
        <w:rPr>
          <w:rFonts w:ascii="Times New Roman" w:hAnsi="Times New Roman" w:cs="Times New Roman"/>
          <w:sz w:val="24"/>
          <w:szCs w:val="24"/>
        </w:rPr>
        <w:t xml:space="preserve">Подводя итоги вышесказанному, стоит заметить, статистика судебной практики по делам ТЦО показывает, что </w:t>
      </w:r>
      <w:r w:rsidR="0039409C" w:rsidRPr="009761E8">
        <w:rPr>
          <w:rFonts w:ascii="Times New Roman" w:hAnsi="Times New Roman" w:cs="Times New Roman"/>
          <w:sz w:val="24"/>
          <w:szCs w:val="24"/>
        </w:rPr>
        <w:t xml:space="preserve">попытки </w:t>
      </w:r>
      <w:r w:rsidR="009605F5" w:rsidRPr="009761E8">
        <w:rPr>
          <w:rFonts w:ascii="Times New Roman" w:hAnsi="Times New Roman" w:cs="Times New Roman"/>
          <w:sz w:val="24"/>
          <w:szCs w:val="24"/>
        </w:rPr>
        <w:t xml:space="preserve">налогоплательщиков </w:t>
      </w:r>
      <w:r w:rsidR="0039409C" w:rsidRPr="009761E8">
        <w:rPr>
          <w:rFonts w:ascii="Times New Roman" w:hAnsi="Times New Roman" w:cs="Times New Roman"/>
          <w:sz w:val="24"/>
          <w:szCs w:val="24"/>
        </w:rPr>
        <w:t xml:space="preserve">оспорить </w:t>
      </w:r>
      <w:r w:rsidR="009605F5" w:rsidRPr="009761E8">
        <w:rPr>
          <w:rFonts w:ascii="Times New Roman" w:hAnsi="Times New Roman" w:cs="Times New Roman"/>
          <w:sz w:val="24"/>
          <w:szCs w:val="24"/>
        </w:rPr>
        <w:t>принятые нормы по вопросам ТЦО предпринимаются крайне редко</w:t>
      </w:r>
      <w:r w:rsidR="00180FDB" w:rsidRPr="009761E8">
        <w:rPr>
          <w:rFonts w:ascii="Times New Roman" w:hAnsi="Times New Roman" w:cs="Times New Roman"/>
          <w:sz w:val="24"/>
          <w:szCs w:val="24"/>
        </w:rPr>
        <w:t>, так как в большинстве случаях они приводят к проигрышу судебных дел. Тем не</w:t>
      </w:r>
      <w:r w:rsidR="00D30F68">
        <w:rPr>
          <w:rFonts w:ascii="Times New Roman" w:hAnsi="Times New Roman" w:cs="Times New Roman"/>
          <w:sz w:val="24"/>
          <w:szCs w:val="24"/>
        </w:rPr>
        <w:t xml:space="preserve"> менее, на основе рассмотренных</w:t>
      </w:r>
      <w:r w:rsidR="00D13730">
        <w:rPr>
          <w:rFonts w:ascii="Times New Roman" w:hAnsi="Times New Roman" w:cs="Times New Roman"/>
          <w:sz w:val="24"/>
          <w:szCs w:val="24"/>
        </w:rPr>
        <w:t xml:space="preserve"> судебных дел, можно говорить о</w:t>
      </w:r>
      <w:r w:rsidR="00180FDB" w:rsidRPr="009761E8">
        <w:rPr>
          <w:rFonts w:ascii="Times New Roman" w:hAnsi="Times New Roman" w:cs="Times New Roman"/>
          <w:sz w:val="24"/>
          <w:szCs w:val="24"/>
        </w:rPr>
        <w:t xml:space="preserve"> некомпетентности, недостаточной внимательности по отношению к исследуемым сделкам при выстраивании доказательной базы</w:t>
      </w:r>
      <w:r w:rsidR="00D13730" w:rsidRPr="00D13730">
        <w:rPr>
          <w:rFonts w:ascii="Times New Roman" w:hAnsi="Times New Roman" w:cs="Times New Roman"/>
          <w:sz w:val="24"/>
          <w:szCs w:val="24"/>
        </w:rPr>
        <w:t xml:space="preserve"> </w:t>
      </w:r>
      <w:r w:rsidR="00D13730" w:rsidRPr="009761E8">
        <w:rPr>
          <w:rFonts w:ascii="Times New Roman" w:hAnsi="Times New Roman" w:cs="Times New Roman"/>
          <w:sz w:val="24"/>
          <w:szCs w:val="24"/>
        </w:rPr>
        <w:t>АС</w:t>
      </w:r>
      <w:r w:rsidR="00180FDB" w:rsidRPr="009761E8">
        <w:rPr>
          <w:rFonts w:ascii="Times New Roman" w:hAnsi="Times New Roman" w:cs="Times New Roman"/>
          <w:sz w:val="24"/>
          <w:szCs w:val="24"/>
        </w:rPr>
        <w:t>, несмотря на полномочия субъектов РФ. Вероятнее всего, это можно связать с неопытностью налоговых органов в делах ТЦО, а также со сложностью и относительной новизной трансфертных цен как объекта пристального контроля</w:t>
      </w:r>
      <w:r w:rsidR="0039409C" w:rsidRPr="009761E8">
        <w:rPr>
          <w:rFonts w:ascii="Times New Roman" w:hAnsi="Times New Roman" w:cs="Times New Roman"/>
          <w:sz w:val="24"/>
          <w:szCs w:val="24"/>
        </w:rPr>
        <w:t xml:space="preserve">. </w:t>
      </w:r>
    </w:p>
    <w:p w:rsidR="0039409C" w:rsidRPr="009761E8" w:rsidRDefault="00371C2D" w:rsidP="00A92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119C3">
        <w:rPr>
          <w:rFonts w:ascii="Times New Roman" w:hAnsi="Times New Roman" w:cs="Times New Roman"/>
          <w:sz w:val="24"/>
          <w:szCs w:val="24"/>
        </w:rPr>
        <w:t xml:space="preserve">По мнению Пашкуса В.Ю. </w:t>
      </w:r>
      <w:r w:rsidR="0062263B">
        <w:rPr>
          <w:rFonts w:ascii="Times New Roman" w:hAnsi="Times New Roman" w:cs="Times New Roman"/>
          <w:sz w:val="24"/>
          <w:szCs w:val="24"/>
        </w:rPr>
        <w:t>«</w:t>
      </w:r>
      <w:r w:rsidR="0062263B" w:rsidRPr="0062263B">
        <w:rPr>
          <w:rFonts w:ascii="Times New Roman" w:hAnsi="Times New Roman" w:cs="Times New Roman"/>
          <w:sz w:val="24"/>
          <w:szCs w:val="24"/>
        </w:rPr>
        <w:t>Повсеместная практика трансфертного ценообразования в России – это пока еще фантастика. Современное состояние трансфертной системы и тот подчас беспредел, царящий в установлении цен, наносит инвестиционному климату России несравнимый ни с чем, кроме политической нестабильност</w:t>
      </w:r>
      <w:r w:rsidR="006F26F8">
        <w:rPr>
          <w:rFonts w:ascii="Times New Roman" w:hAnsi="Times New Roman" w:cs="Times New Roman"/>
          <w:sz w:val="24"/>
          <w:szCs w:val="24"/>
        </w:rPr>
        <w:t>и, урон. Решение же этой проблем</w:t>
      </w:r>
      <w:r w:rsidR="0062263B" w:rsidRPr="0062263B">
        <w:rPr>
          <w:rFonts w:ascii="Times New Roman" w:hAnsi="Times New Roman" w:cs="Times New Roman"/>
          <w:sz w:val="24"/>
          <w:szCs w:val="24"/>
        </w:rPr>
        <w:t>ы может существенно поднять российский приоритет на мировом рынке</w:t>
      </w:r>
      <w:r w:rsidR="006F26F8">
        <w:rPr>
          <w:rFonts w:ascii="Times New Roman" w:hAnsi="Times New Roman" w:cs="Times New Roman"/>
          <w:sz w:val="24"/>
          <w:szCs w:val="24"/>
        </w:rPr>
        <w:t>»</w:t>
      </w:r>
      <w:r w:rsidR="005119C3">
        <w:rPr>
          <w:rStyle w:val="ac"/>
          <w:rFonts w:ascii="Times New Roman" w:hAnsi="Times New Roman" w:cs="Times New Roman"/>
          <w:sz w:val="24"/>
          <w:szCs w:val="24"/>
        </w:rPr>
        <w:footnoteReference w:id="4"/>
      </w:r>
      <w:r w:rsidR="006F26F8">
        <w:rPr>
          <w:rFonts w:ascii="Times New Roman" w:hAnsi="Times New Roman" w:cs="Times New Roman"/>
          <w:sz w:val="24"/>
          <w:szCs w:val="24"/>
        </w:rPr>
        <w:t xml:space="preserve">. </w:t>
      </w:r>
      <w:r w:rsidR="00180FDB" w:rsidRPr="009761E8">
        <w:rPr>
          <w:rFonts w:ascii="Times New Roman" w:hAnsi="Times New Roman" w:cs="Times New Roman"/>
          <w:sz w:val="24"/>
          <w:szCs w:val="24"/>
        </w:rPr>
        <w:t>Тем не менее</w:t>
      </w:r>
      <w:r w:rsidR="0039409C" w:rsidRPr="009761E8">
        <w:rPr>
          <w:rFonts w:ascii="Times New Roman" w:hAnsi="Times New Roman" w:cs="Times New Roman"/>
          <w:sz w:val="24"/>
          <w:szCs w:val="24"/>
        </w:rPr>
        <w:t xml:space="preserve">, </w:t>
      </w:r>
      <w:r w:rsidR="006F26F8">
        <w:rPr>
          <w:rFonts w:ascii="Times New Roman" w:hAnsi="Times New Roman" w:cs="Times New Roman"/>
          <w:sz w:val="24"/>
          <w:szCs w:val="24"/>
        </w:rPr>
        <w:t>с</w:t>
      </w:r>
      <w:r w:rsidR="00180FDB" w:rsidRPr="009761E8">
        <w:rPr>
          <w:rFonts w:ascii="Times New Roman" w:hAnsi="Times New Roman" w:cs="Times New Roman"/>
          <w:sz w:val="24"/>
          <w:szCs w:val="24"/>
        </w:rPr>
        <w:t>тоит предположить, что в перспективе в процессе наработки судебной практики, применение новых</w:t>
      </w:r>
      <w:r w:rsidR="0039409C" w:rsidRPr="009761E8">
        <w:rPr>
          <w:rFonts w:ascii="Times New Roman" w:hAnsi="Times New Roman" w:cs="Times New Roman"/>
          <w:sz w:val="24"/>
          <w:szCs w:val="24"/>
        </w:rPr>
        <w:t xml:space="preserve"> правил </w:t>
      </w:r>
      <w:r w:rsidR="00180FDB" w:rsidRPr="009761E8">
        <w:rPr>
          <w:rFonts w:ascii="Times New Roman" w:hAnsi="Times New Roman" w:cs="Times New Roman"/>
          <w:sz w:val="24"/>
          <w:szCs w:val="24"/>
        </w:rPr>
        <w:t xml:space="preserve">ТЦО будет более доступным </w:t>
      </w:r>
      <w:r w:rsidR="0039409C" w:rsidRPr="009761E8">
        <w:rPr>
          <w:rFonts w:ascii="Times New Roman" w:hAnsi="Times New Roman" w:cs="Times New Roman"/>
          <w:sz w:val="24"/>
          <w:szCs w:val="24"/>
        </w:rPr>
        <w:t>и</w:t>
      </w:r>
      <w:r w:rsidR="00180FDB" w:rsidRPr="009761E8">
        <w:rPr>
          <w:rFonts w:ascii="Times New Roman" w:hAnsi="Times New Roman" w:cs="Times New Roman"/>
          <w:sz w:val="24"/>
          <w:szCs w:val="24"/>
        </w:rPr>
        <w:t xml:space="preserve"> понятным как для налогоплательщиков, так и </w:t>
      </w:r>
      <w:r w:rsidR="00144258" w:rsidRPr="009761E8">
        <w:rPr>
          <w:rFonts w:ascii="Times New Roman" w:hAnsi="Times New Roman" w:cs="Times New Roman"/>
          <w:sz w:val="24"/>
          <w:szCs w:val="24"/>
        </w:rPr>
        <w:t>для сотрудников</w:t>
      </w:r>
      <w:r w:rsidR="00180FDB" w:rsidRPr="009761E8">
        <w:rPr>
          <w:rFonts w:ascii="Times New Roman" w:hAnsi="Times New Roman" w:cs="Times New Roman"/>
          <w:sz w:val="24"/>
          <w:szCs w:val="24"/>
        </w:rPr>
        <w:t xml:space="preserve"> ИФНС</w:t>
      </w:r>
      <w:r w:rsidR="00144258" w:rsidRPr="009761E8">
        <w:rPr>
          <w:rFonts w:ascii="Times New Roman" w:hAnsi="Times New Roman" w:cs="Times New Roman"/>
          <w:sz w:val="24"/>
          <w:szCs w:val="24"/>
        </w:rPr>
        <w:t>.</w:t>
      </w:r>
      <w:r w:rsidR="00180FDB" w:rsidRPr="009761E8">
        <w:rPr>
          <w:rFonts w:ascii="Times New Roman" w:hAnsi="Times New Roman" w:cs="Times New Roman"/>
          <w:sz w:val="24"/>
          <w:szCs w:val="24"/>
        </w:rPr>
        <w:t xml:space="preserve"> </w:t>
      </w:r>
    </w:p>
    <w:p w:rsidR="008C054B" w:rsidRDefault="008F32E0" w:rsidP="008F32E0">
      <w:pPr>
        <w:pStyle w:val="1"/>
        <w:jc w:val="center"/>
        <w:rPr>
          <w:rFonts w:ascii="Times New Roman" w:hAnsi="Times New Roman" w:cs="Times New Roman"/>
          <w:b/>
          <w:color w:val="auto"/>
          <w:sz w:val="28"/>
          <w:szCs w:val="28"/>
        </w:rPr>
      </w:pPr>
      <w:r>
        <w:br w:type="page"/>
      </w:r>
      <w:bookmarkStart w:id="11" w:name="_Toc513844337"/>
      <w:r w:rsidRPr="008F32E0">
        <w:rPr>
          <w:rFonts w:ascii="Times New Roman" w:hAnsi="Times New Roman" w:cs="Times New Roman"/>
          <w:b/>
          <w:color w:val="auto"/>
          <w:sz w:val="28"/>
          <w:szCs w:val="28"/>
        </w:rPr>
        <w:t>Заключение</w:t>
      </w:r>
      <w:bookmarkEnd w:id="11"/>
    </w:p>
    <w:p w:rsidR="00964C17" w:rsidRDefault="00964C17" w:rsidP="00964C17">
      <w:pPr>
        <w:spacing w:after="0" w:line="360" w:lineRule="auto"/>
        <w:jc w:val="both"/>
      </w:pPr>
    </w:p>
    <w:p w:rsidR="00964C17" w:rsidRPr="00964C17" w:rsidRDefault="00964C17" w:rsidP="00964C17">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В условиях современной экономической ситуации т</w:t>
      </w:r>
      <w:r w:rsidRPr="00964C17">
        <w:rPr>
          <w:rFonts w:ascii="Times New Roman" w:hAnsi="Times New Roman" w:cs="Times New Roman"/>
          <w:sz w:val="24"/>
          <w:szCs w:val="24"/>
        </w:rPr>
        <w:t xml:space="preserve">рансфертное ценообразование </w:t>
      </w:r>
      <w:r>
        <w:rPr>
          <w:rFonts w:ascii="Times New Roman" w:hAnsi="Times New Roman" w:cs="Times New Roman"/>
          <w:sz w:val="24"/>
          <w:szCs w:val="24"/>
        </w:rPr>
        <w:t xml:space="preserve">выступает в качестве одного из возможных </w:t>
      </w:r>
      <w:r w:rsidRPr="00964C17">
        <w:rPr>
          <w:rFonts w:ascii="Times New Roman" w:hAnsi="Times New Roman" w:cs="Times New Roman"/>
          <w:sz w:val="24"/>
          <w:szCs w:val="24"/>
        </w:rPr>
        <w:t xml:space="preserve">механизмов внутрифирменного управления, </w:t>
      </w:r>
      <w:r>
        <w:rPr>
          <w:rFonts w:ascii="Times New Roman" w:hAnsi="Times New Roman" w:cs="Times New Roman"/>
          <w:sz w:val="24"/>
          <w:szCs w:val="24"/>
        </w:rPr>
        <w:t>что обосновывается ростом числа крупных организаций, которые по своей сущности предстают в виде отдельных независимых бизнес-единиц</w:t>
      </w:r>
      <w:r w:rsidR="00BB01F3">
        <w:rPr>
          <w:rFonts w:ascii="Times New Roman" w:hAnsi="Times New Roman" w:cs="Times New Roman"/>
          <w:sz w:val="24"/>
          <w:szCs w:val="24"/>
        </w:rPr>
        <w:t xml:space="preserve">, имеющих между собой определенные экономические отношения. В процессе обмена товарами и услугами возникает понятие трансфертной цены, которая назначается для подобных внутрифирменных сделок. </w:t>
      </w:r>
    </w:p>
    <w:p w:rsidR="00964C17" w:rsidRPr="00964C17" w:rsidRDefault="00BB01F3" w:rsidP="00964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Используя трансфертные цены,</w:t>
      </w:r>
      <w:r w:rsidR="00964C17" w:rsidRPr="00964C17">
        <w:rPr>
          <w:rFonts w:ascii="Times New Roman" w:hAnsi="Times New Roman" w:cs="Times New Roman"/>
          <w:sz w:val="24"/>
          <w:szCs w:val="24"/>
        </w:rPr>
        <w:t xml:space="preserve"> </w:t>
      </w:r>
      <w:r>
        <w:rPr>
          <w:rFonts w:ascii="Times New Roman" w:hAnsi="Times New Roman" w:cs="Times New Roman"/>
          <w:sz w:val="24"/>
          <w:szCs w:val="24"/>
        </w:rPr>
        <w:t>организации предоставляется возможность не только распределя</w:t>
      </w:r>
      <w:r w:rsidR="00964C17" w:rsidRPr="00964C17">
        <w:rPr>
          <w:rFonts w:ascii="Times New Roman" w:hAnsi="Times New Roman" w:cs="Times New Roman"/>
          <w:sz w:val="24"/>
          <w:szCs w:val="24"/>
        </w:rPr>
        <w:t xml:space="preserve">ть имеющиеся ресурсы, </w:t>
      </w:r>
      <w:r>
        <w:rPr>
          <w:rFonts w:ascii="Times New Roman" w:hAnsi="Times New Roman" w:cs="Times New Roman"/>
          <w:sz w:val="24"/>
          <w:szCs w:val="24"/>
        </w:rPr>
        <w:t xml:space="preserve">производить координацию действий и повышать автономность подразделений, но и перенаправлять </w:t>
      </w:r>
      <w:r w:rsidR="00964C17" w:rsidRPr="00964C17">
        <w:rPr>
          <w:rFonts w:ascii="Times New Roman" w:hAnsi="Times New Roman" w:cs="Times New Roman"/>
          <w:sz w:val="24"/>
          <w:szCs w:val="24"/>
        </w:rPr>
        <w:t>полученные финансовые результаты</w:t>
      </w:r>
      <w:r>
        <w:rPr>
          <w:rFonts w:ascii="Times New Roman" w:hAnsi="Times New Roman" w:cs="Times New Roman"/>
          <w:sz w:val="24"/>
          <w:szCs w:val="24"/>
        </w:rPr>
        <w:t xml:space="preserve"> в пользу привилегированных в области налогообложения юрисдикций, что позволяет уклониться от уплаты установленных налогов</w:t>
      </w:r>
      <w:r w:rsidR="00964C17" w:rsidRPr="00964C17">
        <w:rPr>
          <w:rFonts w:ascii="Times New Roman" w:hAnsi="Times New Roman" w:cs="Times New Roman"/>
          <w:sz w:val="24"/>
          <w:szCs w:val="24"/>
        </w:rPr>
        <w:t xml:space="preserve">. </w:t>
      </w:r>
      <w:r>
        <w:rPr>
          <w:rFonts w:ascii="Times New Roman" w:hAnsi="Times New Roman" w:cs="Times New Roman"/>
          <w:sz w:val="24"/>
          <w:szCs w:val="24"/>
        </w:rPr>
        <w:t>Одновременно с этим трансфертные цены могут</w:t>
      </w:r>
      <w:r w:rsidR="00964C17" w:rsidRPr="00964C17">
        <w:rPr>
          <w:rFonts w:ascii="Times New Roman" w:hAnsi="Times New Roman" w:cs="Times New Roman"/>
          <w:sz w:val="24"/>
          <w:szCs w:val="24"/>
        </w:rPr>
        <w:t xml:space="preserve"> выступать </w:t>
      </w:r>
      <w:r>
        <w:rPr>
          <w:rFonts w:ascii="Times New Roman" w:hAnsi="Times New Roman" w:cs="Times New Roman"/>
          <w:sz w:val="24"/>
          <w:szCs w:val="24"/>
        </w:rPr>
        <w:t>в качестве эффективного механизма стимулирования управленцев, а также показателем, на основе которого можно выявить слабые и сильные стороны экономических субъектов.</w:t>
      </w:r>
    </w:p>
    <w:p w:rsidR="002A6403" w:rsidRDefault="006D3D59" w:rsidP="006D3D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целях регулирования</w:t>
      </w:r>
      <w:r w:rsidRPr="00964C17">
        <w:rPr>
          <w:rFonts w:ascii="Times New Roman" w:hAnsi="Times New Roman" w:cs="Times New Roman"/>
          <w:sz w:val="24"/>
          <w:szCs w:val="24"/>
        </w:rPr>
        <w:t xml:space="preserve"> трансфертного ценообразования во </w:t>
      </w:r>
      <w:r>
        <w:rPr>
          <w:rFonts w:ascii="Times New Roman" w:hAnsi="Times New Roman" w:cs="Times New Roman"/>
          <w:sz w:val="24"/>
          <w:szCs w:val="24"/>
        </w:rPr>
        <w:t xml:space="preserve">в большинстве стран, в которых данный вопрос является актуальным, основывается на базе международных стандартов, закрепленных в документе ОЭСР (Рекомендации </w:t>
      </w:r>
      <w:r w:rsidRPr="00964C17">
        <w:rPr>
          <w:rFonts w:ascii="Times New Roman" w:hAnsi="Times New Roman" w:cs="Times New Roman"/>
          <w:sz w:val="24"/>
          <w:szCs w:val="24"/>
        </w:rPr>
        <w:t>ОЭСР по трансфертному ценообразованию</w:t>
      </w:r>
      <w:r>
        <w:rPr>
          <w:rFonts w:ascii="Times New Roman" w:hAnsi="Times New Roman" w:cs="Times New Roman"/>
          <w:sz w:val="24"/>
          <w:szCs w:val="24"/>
        </w:rPr>
        <w:t>)</w:t>
      </w:r>
      <w:r w:rsidRPr="00964C17">
        <w:rPr>
          <w:rFonts w:ascii="Times New Roman" w:hAnsi="Times New Roman" w:cs="Times New Roman"/>
          <w:sz w:val="24"/>
          <w:szCs w:val="24"/>
        </w:rPr>
        <w:t xml:space="preserve">. </w:t>
      </w:r>
      <w:r>
        <w:rPr>
          <w:rFonts w:ascii="Times New Roman" w:hAnsi="Times New Roman" w:cs="Times New Roman"/>
          <w:sz w:val="24"/>
          <w:szCs w:val="24"/>
        </w:rPr>
        <w:t>Невзирая на</w:t>
      </w:r>
      <w:r w:rsidRPr="00964C17">
        <w:rPr>
          <w:rFonts w:ascii="Times New Roman" w:hAnsi="Times New Roman" w:cs="Times New Roman"/>
          <w:sz w:val="24"/>
          <w:szCs w:val="24"/>
        </w:rPr>
        <w:t xml:space="preserve"> </w:t>
      </w:r>
      <w:r>
        <w:rPr>
          <w:rFonts w:ascii="Times New Roman" w:hAnsi="Times New Roman" w:cs="Times New Roman"/>
          <w:sz w:val="24"/>
          <w:szCs w:val="24"/>
        </w:rPr>
        <w:t>некоторые различия между предписанными руководящими принципами, в целом, можно сказать</w:t>
      </w:r>
      <w:r w:rsidRPr="00964C17">
        <w:rPr>
          <w:rFonts w:ascii="Times New Roman" w:hAnsi="Times New Roman" w:cs="Times New Roman"/>
          <w:sz w:val="24"/>
          <w:szCs w:val="24"/>
        </w:rPr>
        <w:t xml:space="preserve">, что именно Рекомендации ОЭСР </w:t>
      </w:r>
      <w:r>
        <w:rPr>
          <w:rFonts w:ascii="Times New Roman" w:hAnsi="Times New Roman" w:cs="Times New Roman"/>
          <w:sz w:val="24"/>
          <w:szCs w:val="24"/>
        </w:rPr>
        <w:t xml:space="preserve">были взяты в качестве основы </w:t>
      </w:r>
      <w:r w:rsidRPr="00964C17">
        <w:rPr>
          <w:rFonts w:ascii="Times New Roman" w:hAnsi="Times New Roman" w:cs="Times New Roman"/>
          <w:sz w:val="24"/>
          <w:szCs w:val="24"/>
        </w:rPr>
        <w:t xml:space="preserve">для построения </w:t>
      </w:r>
      <w:r>
        <w:rPr>
          <w:rFonts w:ascii="Times New Roman" w:hAnsi="Times New Roman" w:cs="Times New Roman"/>
          <w:sz w:val="24"/>
          <w:szCs w:val="24"/>
        </w:rPr>
        <w:t>мировой</w:t>
      </w:r>
      <w:r w:rsidRPr="00964C17">
        <w:rPr>
          <w:rFonts w:ascii="Times New Roman" w:hAnsi="Times New Roman" w:cs="Times New Roman"/>
          <w:sz w:val="24"/>
          <w:szCs w:val="24"/>
        </w:rPr>
        <w:t xml:space="preserve"> политики регули</w:t>
      </w:r>
      <w:r>
        <w:rPr>
          <w:rFonts w:ascii="Times New Roman" w:hAnsi="Times New Roman" w:cs="Times New Roman"/>
          <w:sz w:val="24"/>
          <w:szCs w:val="24"/>
        </w:rPr>
        <w:t>рования трансфертных цен. Различными странами</w:t>
      </w:r>
      <w:r w:rsidRPr="00964C17">
        <w:rPr>
          <w:rFonts w:ascii="Times New Roman" w:hAnsi="Times New Roman" w:cs="Times New Roman"/>
          <w:sz w:val="24"/>
          <w:szCs w:val="24"/>
        </w:rPr>
        <w:t xml:space="preserve"> принимают</w:t>
      </w:r>
      <w:r>
        <w:rPr>
          <w:rFonts w:ascii="Times New Roman" w:hAnsi="Times New Roman" w:cs="Times New Roman"/>
          <w:sz w:val="24"/>
          <w:szCs w:val="24"/>
        </w:rPr>
        <w:t>ся</w:t>
      </w:r>
      <w:r w:rsidRPr="00964C17">
        <w:rPr>
          <w:rFonts w:ascii="Times New Roman" w:hAnsi="Times New Roman" w:cs="Times New Roman"/>
          <w:sz w:val="24"/>
          <w:szCs w:val="24"/>
        </w:rPr>
        <w:t xml:space="preserve"> </w:t>
      </w:r>
      <w:r>
        <w:rPr>
          <w:rFonts w:ascii="Times New Roman" w:hAnsi="Times New Roman" w:cs="Times New Roman"/>
          <w:sz w:val="24"/>
          <w:szCs w:val="24"/>
        </w:rPr>
        <w:t>рекомендации с учетом специфики их экономического уклада</w:t>
      </w:r>
      <w:r w:rsidR="002A6403">
        <w:rPr>
          <w:rFonts w:ascii="Times New Roman" w:hAnsi="Times New Roman" w:cs="Times New Roman"/>
          <w:sz w:val="24"/>
          <w:szCs w:val="24"/>
        </w:rPr>
        <w:t>.</w:t>
      </w:r>
    </w:p>
    <w:p w:rsidR="00421F9C" w:rsidRDefault="002A6403" w:rsidP="006D3D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Введение принципов регулирования трансфертного ценообразования</w:t>
      </w:r>
      <w:r w:rsidR="006D3D59" w:rsidRPr="00964C17">
        <w:rPr>
          <w:rFonts w:ascii="Times New Roman" w:hAnsi="Times New Roman" w:cs="Times New Roman"/>
          <w:sz w:val="24"/>
          <w:szCs w:val="24"/>
        </w:rPr>
        <w:t xml:space="preserve"> </w:t>
      </w:r>
      <w:r w:rsidR="006D3D59">
        <w:rPr>
          <w:rFonts w:ascii="Times New Roman" w:hAnsi="Times New Roman" w:cs="Times New Roman"/>
          <w:sz w:val="24"/>
          <w:szCs w:val="24"/>
        </w:rPr>
        <w:t>представляется выгодным</w:t>
      </w:r>
      <w:r w:rsidR="006D3D59" w:rsidRPr="00964C17">
        <w:rPr>
          <w:rFonts w:ascii="Times New Roman" w:hAnsi="Times New Roman" w:cs="Times New Roman"/>
          <w:sz w:val="24"/>
          <w:szCs w:val="24"/>
        </w:rPr>
        <w:t xml:space="preserve"> как для </w:t>
      </w:r>
      <w:r w:rsidR="006D3D59">
        <w:rPr>
          <w:rFonts w:ascii="Times New Roman" w:hAnsi="Times New Roman" w:cs="Times New Roman"/>
          <w:sz w:val="24"/>
          <w:szCs w:val="24"/>
        </w:rPr>
        <w:t>организаций</w:t>
      </w:r>
      <w:r w:rsidR="006D3D59" w:rsidRPr="00964C17">
        <w:rPr>
          <w:rFonts w:ascii="Times New Roman" w:hAnsi="Times New Roman" w:cs="Times New Roman"/>
          <w:sz w:val="24"/>
          <w:szCs w:val="24"/>
        </w:rPr>
        <w:t>, т</w:t>
      </w:r>
      <w:r w:rsidR="00421F9C">
        <w:rPr>
          <w:rFonts w:ascii="Times New Roman" w:hAnsi="Times New Roman" w:cs="Times New Roman"/>
          <w:sz w:val="24"/>
          <w:szCs w:val="24"/>
        </w:rPr>
        <w:t>ак и для налоговых юрисдикций</w:t>
      </w:r>
      <w:r w:rsidR="00A04C73">
        <w:rPr>
          <w:rFonts w:ascii="Times New Roman" w:hAnsi="Times New Roman" w:cs="Times New Roman"/>
          <w:sz w:val="24"/>
          <w:szCs w:val="24"/>
        </w:rPr>
        <w:t>: к</w:t>
      </w:r>
      <w:r w:rsidR="00421F9C">
        <w:rPr>
          <w:rFonts w:ascii="Times New Roman" w:hAnsi="Times New Roman" w:cs="Times New Roman"/>
          <w:sz w:val="24"/>
          <w:szCs w:val="24"/>
        </w:rPr>
        <w:t>омпании избегают</w:t>
      </w:r>
      <w:r w:rsidR="006D3D59" w:rsidRPr="00964C17">
        <w:rPr>
          <w:rFonts w:ascii="Times New Roman" w:hAnsi="Times New Roman" w:cs="Times New Roman"/>
          <w:sz w:val="24"/>
          <w:szCs w:val="24"/>
        </w:rPr>
        <w:t xml:space="preserve"> </w:t>
      </w:r>
      <w:r w:rsidR="00421F9C">
        <w:rPr>
          <w:rFonts w:ascii="Times New Roman" w:hAnsi="Times New Roman" w:cs="Times New Roman"/>
          <w:sz w:val="24"/>
          <w:szCs w:val="24"/>
        </w:rPr>
        <w:t>риска двойного налогообложения, а также многочисленных</w:t>
      </w:r>
      <w:r w:rsidR="006D3D59" w:rsidRPr="00964C17">
        <w:rPr>
          <w:rFonts w:ascii="Times New Roman" w:hAnsi="Times New Roman" w:cs="Times New Roman"/>
          <w:sz w:val="24"/>
          <w:szCs w:val="24"/>
        </w:rPr>
        <w:t xml:space="preserve"> проверок со стороны налоговых органов, </w:t>
      </w:r>
      <w:r w:rsidR="00421F9C">
        <w:rPr>
          <w:rFonts w:ascii="Times New Roman" w:hAnsi="Times New Roman" w:cs="Times New Roman"/>
          <w:sz w:val="24"/>
          <w:szCs w:val="24"/>
        </w:rPr>
        <w:t xml:space="preserve">а налоговые органы минимизируют спорные ситуации относительно </w:t>
      </w:r>
      <w:r w:rsidR="006D3D59" w:rsidRPr="00964C17">
        <w:rPr>
          <w:rFonts w:ascii="Times New Roman" w:hAnsi="Times New Roman" w:cs="Times New Roman"/>
          <w:sz w:val="24"/>
          <w:szCs w:val="24"/>
        </w:rPr>
        <w:t>распределения прибыли и обложения ее н</w:t>
      </w:r>
      <w:r>
        <w:rPr>
          <w:rFonts w:ascii="Times New Roman" w:hAnsi="Times New Roman" w:cs="Times New Roman"/>
          <w:sz w:val="24"/>
          <w:szCs w:val="24"/>
        </w:rPr>
        <w:t>алогом, несут меньшие убытки от недоимок.</w:t>
      </w:r>
    </w:p>
    <w:p w:rsidR="006D3D59" w:rsidRPr="00964C17" w:rsidRDefault="00421F9C" w:rsidP="006D3D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 1 января 2012 года в РФ вступил в силу новые законодательные нормы по вопросам </w:t>
      </w:r>
      <w:r w:rsidRPr="00964C17">
        <w:rPr>
          <w:rFonts w:ascii="Times New Roman" w:hAnsi="Times New Roman" w:cs="Times New Roman"/>
          <w:sz w:val="24"/>
          <w:szCs w:val="24"/>
        </w:rPr>
        <w:t>регулирования</w:t>
      </w:r>
      <w:r>
        <w:rPr>
          <w:rFonts w:ascii="Times New Roman" w:hAnsi="Times New Roman" w:cs="Times New Roman"/>
          <w:sz w:val="24"/>
          <w:szCs w:val="24"/>
        </w:rPr>
        <w:t xml:space="preserve"> сделок, производимых с взаимозависимыми лицами. На сегодняшний день в РФ </w:t>
      </w:r>
      <w:r w:rsidR="006D3D59" w:rsidRPr="00964C17">
        <w:rPr>
          <w:rFonts w:ascii="Times New Roman" w:hAnsi="Times New Roman" w:cs="Times New Roman"/>
          <w:sz w:val="24"/>
          <w:szCs w:val="24"/>
        </w:rPr>
        <w:t xml:space="preserve">действует новое законодательство по </w:t>
      </w:r>
      <w:r>
        <w:rPr>
          <w:rFonts w:ascii="Times New Roman" w:hAnsi="Times New Roman" w:cs="Times New Roman"/>
          <w:sz w:val="24"/>
          <w:szCs w:val="24"/>
        </w:rPr>
        <w:t>вопросам трансфертного ценообразовани</w:t>
      </w:r>
      <w:r w:rsidRPr="00964C17">
        <w:rPr>
          <w:rFonts w:ascii="Times New Roman" w:hAnsi="Times New Roman" w:cs="Times New Roman"/>
          <w:sz w:val="24"/>
          <w:szCs w:val="24"/>
        </w:rPr>
        <w:t>е</w:t>
      </w:r>
      <w:r w:rsidR="006D3D59" w:rsidRPr="00964C17">
        <w:rPr>
          <w:rFonts w:ascii="Times New Roman" w:hAnsi="Times New Roman" w:cs="Times New Roman"/>
          <w:sz w:val="24"/>
          <w:szCs w:val="24"/>
        </w:rPr>
        <w:t xml:space="preserve">, </w:t>
      </w:r>
      <w:r>
        <w:rPr>
          <w:rFonts w:ascii="Times New Roman" w:hAnsi="Times New Roman" w:cs="Times New Roman"/>
          <w:sz w:val="24"/>
          <w:szCs w:val="24"/>
        </w:rPr>
        <w:t xml:space="preserve">которое максимально приближенно </w:t>
      </w:r>
      <w:r w:rsidR="006D3D59" w:rsidRPr="00964C17">
        <w:rPr>
          <w:rFonts w:ascii="Times New Roman" w:hAnsi="Times New Roman" w:cs="Times New Roman"/>
          <w:sz w:val="24"/>
          <w:szCs w:val="24"/>
        </w:rPr>
        <w:t xml:space="preserve">к международным стандартам. </w:t>
      </w:r>
      <w:r>
        <w:rPr>
          <w:rFonts w:ascii="Times New Roman" w:hAnsi="Times New Roman" w:cs="Times New Roman"/>
          <w:sz w:val="24"/>
          <w:szCs w:val="24"/>
        </w:rPr>
        <w:t xml:space="preserve">Тем не менее, несмотря на то, что введение нормы являются серьезным шагом на пути модернизации существующих правил контроля трансфертных цен, существуют многочисленные упущения, которые зачастую затрудняют практическое применение федеральных законов. До сих пор не существует специфических налоговых органов, в рамках компетенций которых было </w:t>
      </w:r>
      <w:r w:rsidR="00777FF7">
        <w:rPr>
          <w:rFonts w:ascii="Times New Roman" w:hAnsi="Times New Roman" w:cs="Times New Roman"/>
          <w:sz w:val="24"/>
          <w:szCs w:val="24"/>
        </w:rPr>
        <w:t>исключительно регулирование трансфертного ценообразования, а также порядок проведения проверок по контролируемым сделок и решение спорных вопросов.</w:t>
      </w:r>
    </w:p>
    <w:p w:rsidR="002A6403" w:rsidRDefault="00777FF7" w:rsidP="00964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Говоря о методах расчета трансфертной цены, то в рамках НК РФ допускается использование пяти </w:t>
      </w:r>
      <w:r w:rsidR="00964C17" w:rsidRPr="00964C17">
        <w:rPr>
          <w:rFonts w:ascii="Times New Roman" w:hAnsi="Times New Roman" w:cs="Times New Roman"/>
          <w:sz w:val="24"/>
          <w:szCs w:val="24"/>
        </w:rPr>
        <w:t>методов</w:t>
      </w:r>
      <w:r>
        <w:rPr>
          <w:rFonts w:ascii="Times New Roman" w:hAnsi="Times New Roman" w:cs="Times New Roman"/>
          <w:sz w:val="24"/>
          <w:szCs w:val="24"/>
        </w:rPr>
        <w:t xml:space="preserve"> ТЦО, выбор которого зависит от обстоятельств конкретной сделки</w:t>
      </w:r>
      <w:r w:rsidR="00964C17" w:rsidRPr="00964C17">
        <w:rPr>
          <w:rFonts w:ascii="Times New Roman" w:hAnsi="Times New Roman" w:cs="Times New Roman"/>
          <w:sz w:val="24"/>
          <w:szCs w:val="24"/>
        </w:rPr>
        <w:t xml:space="preserve">: метод </w:t>
      </w:r>
      <w:r>
        <w:rPr>
          <w:rFonts w:ascii="Times New Roman" w:hAnsi="Times New Roman" w:cs="Times New Roman"/>
          <w:sz w:val="24"/>
          <w:szCs w:val="24"/>
        </w:rPr>
        <w:t>сопоставимых рыночных цен</w:t>
      </w:r>
      <w:r w:rsidR="00964C17" w:rsidRPr="00964C17">
        <w:rPr>
          <w:rFonts w:ascii="Times New Roman" w:hAnsi="Times New Roman" w:cs="Times New Roman"/>
          <w:sz w:val="24"/>
          <w:szCs w:val="24"/>
        </w:rPr>
        <w:t xml:space="preserve">, метод </w:t>
      </w:r>
      <w:r>
        <w:rPr>
          <w:rFonts w:ascii="Times New Roman" w:hAnsi="Times New Roman" w:cs="Times New Roman"/>
          <w:sz w:val="24"/>
          <w:szCs w:val="24"/>
        </w:rPr>
        <w:t xml:space="preserve">цены </w:t>
      </w:r>
      <w:r w:rsidR="00964C17" w:rsidRPr="00964C17">
        <w:rPr>
          <w:rFonts w:ascii="Times New Roman" w:hAnsi="Times New Roman" w:cs="Times New Roman"/>
          <w:sz w:val="24"/>
          <w:szCs w:val="24"/>
        </w:rPr>
        <w:t>последую</w:t>
      </w:r>
      <w:r>
        <w:rPr>
          <w:rFonts w:ascii="Times New Roman" w:hAnsi="Times New Roman" w:cs="Times New Roman"/>
          <w:sz w:val="24"/>
          <w:szCs w:val="24"/>
        </w:rPr>
        <w:t xml:space="preserve">щей реализации, затратный метод, </w:t>
      </w:r>
      <w:r w:rsidR="00964C17" w:rsidRPr="00964C17">
        <w:rPr>
          <w:rFonts w:ascii="Times New Roman" w:hAnsi="Times New Roman" w:cs="Times New Roman"/>
          <w:sz w:val="24"/>
          <w:szCs w:val="24"/>
        </w:rPr>
        <w:t xml:space="preserve">метод </w:t>
      </w:r>
      <w:r>
        <w:rPr>
          <w:rFonts w:ascii="Times New Roman" w:hAnsi="Times New Roman" w:cs="Times New Roman"/>
          <w:sz w:val="24"/>
          <w:szCs w:val="24"/>
        </w:rPr>
        <w:t>сопоставимой рентабельности</w:t>
      </w:r>
      <w:r w:rsidR="00964C17" w:rsidRPr="00964C17">
        <w:rPr>
          <w:rFonts w:ascii="Times New Roman" w:hAnsi="Times New Roman" w:cs="Times New Roman"/>
          <w:sz w:val="24"/>
          <w:szCs w:val="24"/>
        </w:rPr>
        <w:t xml:space="preserve">, метод </w:t>
      </w:r>
      <w:r>
        <w:rPr>
          <w:rFonts w:ascii="Times New Roman" w:hAnsi="Times New Roman" w:cs="Times New Roman"/>
          <w:sz w:val="24"/>
          <w:szCs w:val="24"/>
        </w:rPr>
        <w:t>распределения прибыли</w:t>
      </w:r>
      <w:r w:rsidR="00964C17" w:rsidRPr="00964C17">
        <w:rPr>
          <w:rFonts w:ascii="Times New Roman" w:hAnsi="Times New Roman" w:cs="Times New Roman"/>
          <w:sz w:val="24"/>
          <w:szCs w:val="24"/>
        </w:rPr>
        <w:t xml:space="preserve">, каждый из которых </w:t>
      </w:r>
      <w:r>
        <w:rPr>
          <w:rFonts w:ascii="Times New Roman" w:hAnsi="Times New Roman" w:cs="Times New Roman"/>
          <w:sz w:val="24"/>
          <w:szCs w:val="24"/>
        </w:rPr>
        <w:t>обладает как</w:t>
      </w:r>
      <w:r w:rsidR="00964C17" w:rsidRPr="00964C17">
        <w:rPr>
          <w:rFonts w:ascii="Times New Roman" w:hAnsi="Times New Roman" w:cs="Times New Roman"/>
          <w:sz w:val="24"/>
          <w:szCs w:val="24"/>
        </w:rPr>
        <w:t xml:space="preserve"> достоинства</w:t>
      </w:r>
      <w:r>
        <w:rPr>
          <w:rFonts w:ascii="Times New Roman" w:hAnsi="Times New Roman" w:cs="Times New Roman"/>
          <w:sz w:val="24"/>
          <w:szCs w:val="24"/>
        </w:rPr>
        <w:t>ми, так и недостатками</w:t>
      </w:r>
      <w:r w:rsidR="00964C17" w:rsidRPr="00964C17">
        <w:rPr>
          <w:rFonts w:ascii="Times New Roman" w:hAnsi="Times New Roman" w:cs="Times New Roman"/>
          <w:sz w:val="24"/>
          <w:szCs w:val="24"/>
        </w:rPr>
        <w:t xml:space="preserve">. </w:t>
      </w:r>
    </w:p>
    <w:p w:rsidR="00964C17" w:rsidRPr="00964C17" w:rsidRDefault="002A6403" w:rsidP="00964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4C17" w:rsidRPr="00964C17">
        <w:rPr>
          <w:rFonts w:ascii="Times New Roman" w:hAnsi="Times New Roman" w:cs="Times New Roman"/>
          <w:sz w:val="24"/>
          <w:szCs w:val="24"/>
        </w:rPr>
        <w:t xml:space="preserve">Применение каждого из </w:t>
      </w:r>
      <w:r w:rsidR="00A36091">
        <w:rPr>
          <w:rFonts w:ascii="Times New Roman" w:hAnsi="Times New Roman" w:cs="Times New Roman"/>
          <w:sz w:val="24"/>
          <w:szCs w:val="24"/>
        </w:rPr>
        <w:t>перечисленных методов</w:t>
      </w:r>
      <w:r w:rsidR="00964C17" w:rsidRPr="00964C17">
        <w:rPr>
          <w:rFonts w:ascii="Times New Roman" w:hAnsi="Times New Roman" w:cs="Times New Roman"/>
          <w:sz w:val="24"/>
          <w:szCs w:val="24"/>
        </w:rPr>
        <w:t xml:space="preserve"> </w:t>
      </w:r>
      <w:r w:rsidR="00A36091">
        <w:rPr>
          <w:rFonts w:ascii="Times New Roman" w:hAnsi="Times New Roman" w:cs="Times New Roman"/>
          <w:sz w:val="24"/>
          <w:szCs w:val="24"/>
        </w:rPr>
        <w:t xml:space="preserve">преимущественно зависит </w:t>
      </w:r>
      <w:r w:rsidR="00964C17" w:rsidRPr="00964C17">
        <w:rPr>
          <w:rFonts w:ascii="Times New Roman" w:hAnsi="Times New Roman" w:cs="Times New Roman"/>
          <w:sz w:val="24"/>
          <w:szCs w:val="24"/>
        </w:rPr>
        <w:t xml:space="preserve">от внутренней политики </w:t>
      </w:r>
      <w:r w:rsidR="00A36091">
        <w:rPr>
          <w:rFonts w:ascii="Times New Roman" w:hAnsi="Times New Roman" w:cs="Times New Roman"/>
          <w:sz w:val="24"/>
          <w:szCs w:val="24"/>
        </w:rPr>
        <w:t xml:space="preserve">организации, ее стратегии, характеристики </w:t>
      </w:r>
      <w:r w:rsidR="00964C17" w:rsidRPr="00964C17">
        <w:rPr>
          <w:rFonts w:ascii="Times New Roman" w:hAnsi="Times New Roman" w:cs="Times New Roman"/>
          <w:sz w:val="24"/>
          <w:szCs w:val="24"/>
        </w:rPr>
        <w:t>производимого продукта</w:t>
      </w:r>
      <w:r w:rsidR="00A36091">
        <w:rPr>
          <w:rFonts w:ascii="Times New Roman" w:hAnsi="Times New Roman" w:cs="Times New Roman"/>
          <w:sz w:val="24"/>
          <w:szCs w:val="24"/>
        </w:rPr>
        <w:t xml:space="preserve"> или оказываемой услуги. Также существенное влияния оказывают</w:t>
      </w:r>
      <w:r w:rsidR="00964C17" w:rsidRPr="00964C17">
        <w:rPr>
          <w:rFonts w:ascii="Times New Roman" w:hAnsi="Times New Roman" w:cs="Times New Roman"/>
          <w:sz w:val="24"/>
          <w:szCs w:val="24"/>
        </w:rPr>
        <w:t xml:space="preserve"> </w:t>
      </w:r>
      <w:r w:rsidR="00A36091">
        <w:rPr>
          <w:rFonts w:ascii="Times New Roman" w:hAnsi="Times New Roman" w:cs="Times New Roman"/>
          <w:sz w:val="24"/>
          <w:szCs w:val="24"/>
        </w:rPr>
        <w:t>внешние факторы, наиболее значимым из которых</w:t>
      </w:r>
      <w:r w:rsidR="00AE4825">
        <w:rPr>
          <w:rFonts w:ascii="Times New Roman" w:hAnsi="Times New Roman" w:cs="Times New Roman"/>
          <w:sz w:val="24"/>
          <w:szCs w:val="24"/>
        </w:rPr>
        <w:t xml:space="preserve"> является</w:t>
      </w:r>
      <w:r w:rsidR="00A36091">
        <w:rPr>
          <w:rFonts w:ascii="Times New Roman" w:hAnsi="Times New Roman" w:cs="Times New Roman"/>
          <w:sz w:val="24"/>
          <w:szCs w:val="24"/>
        </w:rPr>
        <w:t xml:space="preserve"> действующее законодательство</w:t>
      </w:r>
      <w:r w:rsidR="00964C17" w:rsidRPr="00964C17">
        <w:rPr>
          <w:rFonts w:ascii="Times New Roman" w:hAnsi="Times New Roman" w:cs="Times New Roman"/>
          <w:sz w:val="24"/>
          <w:szCs w:val="24"/>
        </w:rPr>
        <w:t xml:space="preserve"> п</w:t>
      </w:r>
      <w:r w:rsidR="00A36091">
        <w:rPr>
          <w:rFonts w:ascii="Times New Roman" w:hAnsi="Times New Roman" w:cs="Times New Roman"/>
          <w:sz w:val="24"/>
          <w:szCs w:val="24"/>
        </w:rPr>
        <w:t>о трансфертному ценообразованию.</w:t>
      </w:r>
    </w:p>
    <w:p w:rsidR="00964C17" w:rsidRPr="00964C17" w:rsidRDefault="00A36091" w:rsidP="00964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E4825">
        <w:rPr>
          <w:rFonts w:ascii="Times New Roman" w:hAnsi="Times New Roman" w:cs="Times New Roman"/>
          <w:sz w:val="24"/>
          <w:szCs w:val="24"/>
        </w:rPr>
        <w:t>Международная практика</w:t>
      </w:r>
      <w:r w:rsidR="00964C17" w:rsidRPr="00964C17">
        <w:rPr>
          <w:rFonts w:ascii="Times New Roman" w:hAnsi="Times New Roman" w:cs="Times New Roman"/>
          <w:sz w:val="24"/>
          <w:szCs w:val="24"/>
        </w:rPr>
        <w:t xml:space="preserve"> </w:t>
      </w:r>
      <w:r w:rsidR="00AE4825">
        <w:rPr>
          <w:rFonts w:ascii="Times New Roman" w:hAnsi="Times New Roman" w:cs="Times New Roman"/>
          <w:sz w:val="24"/>
          <w:szCs w:val="24"/>
        </w:rPr>
        <w:t>показывает</w:t>
      </w:r>
      <w:r w:rsidR="00964C17" w:rsidRPr="00964C17">
        <w:rPr>
          <w:rFonts w:ascii="Times New Roman" w:hAnsi="Times New Roman" w:cs="Times New Roman"/>
          <w:sz w:val="24"/>
          <w:szCs w:val="24"/>
        </w:rPr>
        <w:t xml:space="preserve">, что </w:t>
      </w:r>
      <w:r w:rsidR="00AE4825">
        <w:rPr>
          <w:rFonts w:ascii="Times New Roman" w:hAnsi="Times New Roman" w:cs="Times New Roman"/>
          <w:sz w:val="24"/>
          <w:szCs w:val="24"/>
        </w:rPr>
        <w:t xml:space="preserve">наиболее </w:t>
      </w:r>
      <w:r w:rsidR="00964C17" w:rsidRPr="00964C17">
        <w:rPr>
          <w:rFonts w:ascii="Times New Roman" w:hAnsi="Times New Roman" w:cs="Times New Roman"/>
          <w:sz w:val="24"/>
          <w:szCs w:val="24"/>
        </w:rPr>
        <w:t xml:space="preserve">приоритетным </w:t>
      </w:r>
      <w:r w:rsidR="00AE4825">
        <w:rPr>
          <w:rFonts w:ascii="Times New Roman" w:hAnsi="Times New Roman" w:cs="Times New Roman"/>
          <w:sz w:val="24"/>
          <w:szCs w:val="24"/>
        </w:rPr>
        <w:t xml:space="preserve">является метод, при котором </w:t>
      </w:r>
      <w:r w:rsidR="00964C17" w:rsidRPr="00964C17">
        <w:rPr>
          <w:rFonts w:ascii="Times New Roman" w:hAnsi="Times New Roman" w:cs="Times New Roman"/>
          <w:sz w:val="24"/>
          <w:szCs w:val="24"/>
        </w:rPr>
        <w:t xml:space="preserve">трансфертная цена устанавливается на уровне рыночной. </w:t>
      </w:r>
      <w:r w:rsidR="00AE4825">
        <w:rPr>
          <w:rFonts w:ascii="Times New Roman" w:hAnsi="Times New Roman" w:cs="Times New Roman"/>
          <w:sz w:val="24"/>
          <w:szCs w:val="24"/>
        </w:rPr>
        <w:t xml:space="preserve">При этом две взаимозависимые стороны рассматриваются как независимые, а процесс обмена между ними должен происходить на основе рыночных принципов, то есть «на расстоянии вытянутой руки», что детально описывается в Рекомендациях ОЭСР. </w:t>
      </w:r>
      <w:r w:rsidR="00C84EAD">
        <w:rPr>
          <w:rFonts w:ascii="Times New Roman" w:hAnsi="Times New Roman" w:cs="Times New Roman"/>
          <w:sz w:val="24"/>
          <w:szCs w:val="24"/>
        </w:rPr>
        <w:t xml:space="preserve"> </w:t>
      </w:r>
      <w:r w:rsidR="00AE4825">
        <w:rPr>
          <w:rFonts w:ascii="Times New Roman" w:hAnsi="Times New Roman" w:cs="Times New Roman"/>
          <w:sz w:val="24"/>
          <w:szCs w:val="24"/>
        </w:rPr>
        <w:t>Тем не менее применение принципа «вытянутой руки» зачастую является крайне сложным в силу возникающих трудностей относительно поиска</w:t>
      </w:r>
      <w:r w:rsidR="00964C17" w:rsidRPr="00964C17">
        <w:rPr>
          <w:rFonts w:ascii="Times New Roman" w:hAnsi="Times New Roman" w:cs="Times New Roman"/>
          <w:sz w:val="24"/>
          <w:szCs w:val="24"/>
        </w:rPr>
        <w:t xml:space="preserve"> аналог</w:t>
      </w:r>
      <w:r w:rsidR="00AE4825">
        <w:rPr>
          <w:rFonts w:ascii="Times New Roman" w:hAnsi="Times New Roman" w:cs="Times New Roman"/>
          <w:sz w:val="24"/>
          <w:szCs w:val="24"/>
        </w:rPr>
        <w:t>а</w:t>
      </w:r>
      <w:r w:rsidR="00964C17" w:rsidRPr="00964C17">
        <w:rPr>
          <w:rFonts w:ascii="Times New Roman" w:hAnsi="Times New Roman" w:cs="Times New Roman"/>
          <w:sz w:val="24"/>
          <w:szCs w:val="24"/>
        </w:rPr>
        <w:t xml:space="preserve"> произ</w:t>
      </w:r>
      <w:r w:rsidR="00AE4825">
        <w:rPr>
          <w:rFonts w:ascii="Times New Roman" w:hAnsi="Times New Roman" w:cs="Times New Roman"/>
          <w:sz w:val="24"/>
          <w:szCs w:val="24"/>
        </w:rPr>
        <w:t xml:space="preserve">веденного продукта на рынке с одновременным выполнением </w:t>
      </w:r>
      <w:r w:rsidR="00C84EAD">
        <w:rPr>
          <w:rFonts w:ascii="Times New Roman" w:hAnsi="Times New Roman" w:cs="Times New Roman"/>
          <w:sz w:val="24"/>
          <w:szCs w:val="24"/>
        </w:rPr>
        <w:t>условий «сопоставимости» сделки</w:t>
      </w:r>
      <w:r>
        <w:rPr>
          <w:rFonts w:ascii="Times New Roman" w:hAnsi="Times New Roman" w:cs="Times New Roman"/>
          <w:sz w:val="24"/>
          <w:szCs w:val="24"/>
        </w:rPr>
        <w:t>.</w:t>
      </w:r>
    </w:p>
    <w:p w:rsidR="00964C17" w:rsidRPr="00964C17" w:rsidRDefault="00C84EAD" w:rsidP="00964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условиях НК РФ,</w:t>
      </w:r>
      <w:r w:rsidR="00AE4825">
        <w:rPr>
          <w:rFonts w:ascii="Times New Roman" w:hAnsi="Times New Roman" w:cs="Times New Roman"/>
          <w:sz w:val="24"/>
          <w:szCs w:val="24"/>
        </w:rPr>
        <w:t xml:space="preserve"> н</w:t>
      </w:r>
      <w:r w:rsidR="00964C17" w:rsidRPr="00964C17">
        <w:rPr>
          <w:rFonts w:ascii="Times New Roman" w:hAnsi="Times New Roman" w:cs="Times New Roman"/>
          <w:sz w:val="24"/>
          <w:szCs w:val="24"/>
        </w:rPr>
        <w:t xml:space="preserve">аиболее </w:t>
      </w:r>
      <w:r w:rsidR="00AE4825">
        <w:rPr>
          <w:rFonts w:ascii="Times New Roman" w:hAnsi="Times New Roman" w:cs="Times New Roman"/>
          <w:sz w:val="24"/>
          <w:szCs w:val="24"/>
        </w:rPr>
        <w:t>востребованным</w:t>
      </w:r>
      <w:r w:rsidR="00964C17" w:rsidRPr="00964C17">
        <w:rPr>
          <w:rFonts w:ascii="Times New Roman" w:hAnsi="Times New Roman" w:cs="Times New Roman"/>
          <w:sz w:val="24"/>
          <w:szCs w:val="24"/>
        </w:rPr>
        <w:t xml:space="preserve"> становятся метод</w:t>
      </w:r>
      <w:r w:rsidR="00AE4825">
        <w:rPr>
          <w:rFonts w:ascii="Times New Roman" w:hAnsi="Times New Roman" w:cs="Times New Roman"/>
          <w:sz w:val="24"/>
          <w:szCs w:val="24"/>
        </w:rPr>
        <w:t xml:space="preserve"> сопоставимых рыночных цен, а также затратный метод, так как именно они обладают такими качествами как </w:t>
      </w:r>
      <w:r w:rsidR="00964C17" w:rsidRPr="00964C17">
        <w:rPr>
          <w:rFonts w:ascii="Times New Roman" w:hAnsi="Times New Roman" w:cs="Times New Roman"/>
          <w:sz w:val="24"/>
          <w:szCs w:val="24"/>
        </w:rPr>
        <w:t>простота и ясность расчетов</w:t>
      </w:r>
      <w:r>
        <w:rPr>
          <w:rFonts w:ascii="Times New Roman" w:hAnsi="Times New Roman" w:cs="Times New Roman"/>
          <w:sz w:val="24"/>
          <w:szCs w:val="24"/>
        </w:rPr>
        <w:t xml:space="preserve">. </w:t>
      </w:r>
    </w:p>
    <w:p w:rsidR="00C84EAD" w:rsidRDefault="00EE7D14" w:rsidP="00964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84EAD">
        <w:rPr>
          <w:rFonts w:ascii="Times New Roman" w:hAnsi="Times New Roman" w:cs="Times New Roman"/>
          <w:sz w:val="24"/>
          <w:szCs w:val="24"/>
        </w:rPr>
        <w:t>Обращая внимания на недостатки перечисленных ТЦО, стоит отметить, что основными проблемами является отсутствие исчерпывающих определений, а также неоднозначность их трактовок, фигурирующих в методах расчета трансфертных цен.</w:t>
      </w:r>
    </w:p>
    <w:p w:rsidR="00964C17" w:rsidRDefault="00C84EAD" w:rsidP="00EE7D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рамках НК РФ имеет смысл корректировка существующих норм, более </w:t>
      </w:r>
      <w:r w:rsidR="00EE7D14">
        <w:rPr>
          <w:rFonts w:ascii="Times New Roman" w:hAnsi="Times New Roman" w:cs="Times New Roman"/>
          <w:sz w:val="24"/>
          <w:szCs w:val="24"/>
        </w:rPr>
        <w:t>детальное разъяснение</w:t>
      </w:r>
      <w:r>
        <w:rPr>
          <w:rFonts w:ascii="Times New Roman" w:hAnsi="Times New Roman" w:cs="Times New Roman"/>
          <w:sz w:val="24"/>
          <w:szCs w:val="24"/>
        </w:rPr>
        <w:t xml:space="preserve"> терминологии, что поможет избежать </w:t>
      </w:r>
      <w:r w:rsidR="00EE7D14">
        <w:rPr>
          <w:rFonts w:ascii="Times New Roman" w:hAnsi="Times New Roman" w:cs="Times New Roman"/>
          <w:sz w:val="24"/>
          <w:szCs w:val="24"/>
        </w:rPr>
        <w:t>недопониманий со стороны налогоплательщиков.</w:t>
      </w:r>
      <w:r>
        <w:rPr>
          <w:rFonts w:ascii="Times New Roman" w:hAnsi="Times New Roman" w:cs="Times New Roman"/>
          <w:sz w:val="24"/>
          <w:szCs w:val="24"/>
        </w:rPr>
        <w:t xml:space="preserve">  </w:t>
      </w:r>
    </w:p>
    <w:p w:rsidR="002A6403" w:rsidRDefault="00EE7D14" w:rsidP="00EE7D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целом, стоит заметить, что нововведения, вступившие в силу 1 января 2012 года, носят положительный характер как для государства, так и для налогоплательщиков. Об этом свидетельствуют статистические дан</w:t>
      </w:r>
      <w:r w:rsidR="002A6403">
        <w:rPr>
          <w:rFonts w:ascii="Times New Roman" w:hAnsi="Times New Roman" w:cs="Times New Roman"/>
          <w:sz w:val="24"/>
          <w:szCs w:val="24"/>
        </w:rPr>
        <w:t>ные за 2011-2016 отчетные годы.</w:t>
      </w:r>
    </w:p>
    <w:p w:rsidR="00EE7D14" w:rsidRPr="00964C17" w:rsidRDefault="002A6403" w:rsidP="00EE7D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E7D14">
        <w:rPr>
          <w:rFonts w:ascii="Times New Roman" w:hAnsi="Times New Roman" w:cs="Times New Roman"/>
          <w:sz w:val="24"/>
          <w:szCs w:val="24"/>
        </w:rPr>
        <w:t>Существенно повысилось количество поданных уведомлений, размер налогооблагаемой базы, а также размер налоговых отчислений, которые пополнили государственный бюджет. Все это свидетельствует об успешности внедрения норм, а также дает право предполагать, что с каждым годом, совершенствуя нормы ТЦО, система контроля трансфертных цен станет не только угнетающим фактором для российских компаний, но и основанием для создания информационных баз, ведения более простой и прозрачно</w:t>
      </w:r>
      <w:r w:rsidR="00DC3CA7">
        <w:rPr>
          <w:rFonts w:ascii="Times New Roman" w:hAnsi="Times New Roman" w:cs="Times New Roman"/>
          <w:sz w:val="24"/>
          <w:szCs w:val="24"/>
        </w:rPr>
        <w:t>й</w:t>
      </w:r>
      <w:r w:rsidR="00EE7D14">
        <w:rPr>
          <w:rFonts w:ascii="Times New Roman" w:hAnsi="Times New Roman" w:cs="Times New Roman"/>
          <w:sz w:val="24"/>
          <w:szCs w:val="24"/>
        </w:rPr>
        <w:t xml:space="preserve"> докумен</w:t>
      </w:r>
      <w:r w:rsidR="00DC3CA7">
        <w:rPr>
          <w:rFonts w:ascii="Times New Roman" w:hAnsi="Times New Roman" w:cs="Times New Roman"/>
          <w:sz w:val="24"/>
          <w:szCs w:val="24"/>
        </w:rPr>
        <w:t>тации в отечественных компаниях, что поможет существе</w:t>
      </w:r>
      <w:r>
        <w:rPr>
          <w:rFonts w:ascii="Times New Roman" w:hAnsi="Times New Roman" w:cs="Times New Roman"/>
          <w:sz w:val="24"/>
          <w:szCs w:val="24"/>
        </w:rPr>
        <w:t>нно повысить уровень внутрифирменного управления, наиболее эффективно распределять ресурсы</w:t>
      </w:r>
    </w:p>
    <w:p w:rsidR="00DC3CA7" w:rsidRDefault="00EE7D14" w:rsidP="00964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Анализируя положение судебной практики по вопросам ТЦО, можно констатировать факт, что дела компаний «Дульсима» и «Уралкалий» являются наиболее значимыми на сегодняшний день, так как </w:t>
      </w:r>
      <w:r w:rsidR="00DC3CA7">
        <w:rPr>
          <w:rFonts w:ascii="Times New Roman" w:hAnsi="Times New Roman" w:cs="Times New Roman"/>
          <w:sz w:val="24"/>
          <w:szCs w:val="24"/>
        </w:rPr>
        <w:t xml:space="preserve">именно </w:t>
      </w:r>
      <w:r>
        <w:rPr>
          <w:rFonts w:ascii="Times New Roman" w:hAnsi="Times New Roman" w:cs="Times New Roman"/>
          <w:sz w:val="24"/>
          <w:szCs w:val="24"/>
        </w:rPr>
        <w:t xml:space="preserve">они показывают на </w:t>
      </w:r>
      <w:r w:rsidR="00B9408E">
        <w:rPr>
          <w:rFonts w:ascii="Times New Roman" w:hAnsi="Times New Roman" w:cs="Times New Roman"/>
          <w:sz w:val="24"/>
          <w:szCs w:val="24"/>
        </w:rPr>
        <w:t>собственном</w:t>
      </w:r>
      <w:r>
        <w:rPr>
          <w:rFonts w:ascii="Times New Roman" w:hAnsi="Times New Roman" w:cs="Times New Roman"/>
          <w:sz w:val="24"/>
          <w:szCs w:val="24"/>
        </w:rPr>
        <w:t xml:space="preserve"> примере, каким образом необходимо организовывать </w:t>
      </w:r>
      <w:r w:rsidR="00B9408E">
        <w:rPr>
          <w:rFonts w:ascii="Times New Roman" w:hAnsi="Times New Roman" w:cs="Times New Roman"/>
          <w:sz w:val="24"/>
          <w:szCs w:val="24"/>
        </w:rPr>
        <w:t xml:space="preserve">трансфертные сделки, чтобы в последствии избежать </w:t>
      </w:r>
      <w:r w:rsidR="00DC3CA7">
        <w:rPr>
          <w:rFonts w:ascii="Times New Roman" w:hAnsi="Times New Roman" w:cs="Times New Roman"/>
          <w:sz w:val="24"/>
          <w:szCs w:val="24"/>
        </w:rPr>
        <w:t>расхождений с существующими нормами</w:t>
      </w:r>
      <w:r w:rsidR="00B9408E">
        <w:rPr>
          <w:rFonts w:ascii="Times New Roman" w:hAnsi="Times New Roman" w:cs="Times New Roman"/>
          <w:sz w:val="24"/>
          <w:szCs w:val="24"/>
        </w:rPr>
        <w:t>. Несмотря на то, что на данный момент органы судебной власти не способны должным образом выстраивать доказательную базу в делах по ТЦО, компании могут принимать превентивные меры при совершении контролируемых сделок:</w:t>
      </w:r>
    </w:p>
    <w:p w:rsidR="00DC3CA7" w:rsidRPr="009B5C45" w:rsidRDefault="00B9408E" w:rsidP="009B5C45">
      <w:pPr>
        <w:pStyle w:val="a3"/>
        <w:numPr>
          <w:ilvl w:val="0"/>
          <w:numId w:val="29"/>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стараться применять метод сопоставимых рыночных цен, так как именно он</w:t>
      </w:r>
      <w:r w:rsidR="00DC3CA7" w:rsidRPr="009B5C45">
        <w:rPr>
          <w:rFonts w:ascii="Times New Roman" w:hAnsi="Times New Roman" w:cs="Times New Roman"/>
          <w:sz w:val="24"/>
          <w:szCs w:val="24"/>
        </w:rPr>
        <w:t xml:space="preserve"> является наименее рискованным</w:t>
      </w:r>
    </w:p>
    <w:p w:rsidR="00DC3CA7" w:rsidRPr="009B5C45" w:rsidRDefault="00B9408E" w:rsidP="009B5C45">
      <w:pPr>
        <w:pStyle w:val="a3"/>
        <w:numPr>
          <w:ilvl w:val="0"/>
          <w:numId w:val="29"/>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 xml:space="preserve">выстраивать научно обоснованную доказательную базу относительно невозможности </w:t>
      </w:r>
      <w:r w:rsidR="00DC3CA7" w:rsidRPr="009B5C45">
        <w:rPr>
          <w:rFonts w:ascii="Times New Roman" w:hAnsi="Times New Roman" w:cs="Times New Roman"/>
          <w:sz w:val="24"/>
          <w:szCs w:val="24"/>
        </w:rPr>
        <w:t>применения приоритетного метода</w:t>
      </w:r>
    </w:p>
    <w:p w:rsidR="00DC3CA7" w:rsidRPr="009B5C45" w:rsidRDefault="00B9408E" w:rsidP="009B5C45">
      <w:pPr>
        <w:pStyle w:val="a3"/>
        <w:numPr>
          <w:ilvl w:val="0"/>
          <w:numId w:val="29"/>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выбирать для анализа и расчетов только те организации, которые гарантированно не являются взаимозависимыми с налогоплательщико</w:t>
      </w:r>
      <w:r w:rsidR="00DC3CA7" w:rsidRPr="009B5C45">
        <w:rPr>
          <w:rFonts w:ascii="Times New Roman" w:hAnsi="Times New Roman" w:cs="Times New Roman"/>
          <w:sz w:val="24"/>
          <w:szCs w:val="24"/>
        </w:rPr>
        <w:t>м</w:t>
      </w:r>
    </w:p>
    <w:p w:rsidR="002A6403" w:rsidRPr="002A6403" w:rsidRDefault="00B9408E" w:rsidP="002A6403">
      <w:pPr>
        <w:pStyle w:val="a3"/>
        <w:numPr>
          <w:ilvl w:val="0"/>
          <w:numId w:val="29"/>
        </w:numPr>
        <w:spacing w:after="0" w:line="360" w:lineRule="auto"/>
        <w:jc w:val="both"/>
        <w:rPr>
          <w:rFonts w:ascii="Times New Roman" w:hAnsi="Times New Roman" w:cs="Times New Roman"/>
          <w:sz w:val="24"/>
          <w:szCs w:val="24"/>
        </w:rPr>
      </w:pPr>
      <w:r w:rsidRPr="009B5C45">
        <w:rPr>
          <w:rFonts w:ascii="Times New Roman" w:hAnsi="Times New Roman" w:cs="Times New Roman"/>
          <w:sz w:val="24"/>
          <w:szCs w:val="24"/>
        </w:rPr>
        <w:t>своевреме</w:t>
      </w:r>
      <w:r w:rsidR="002A6403">
        <w:rPr>
          <w:rFonts w:ascii="Times New Roman" w:hAnsi="Times New Roman" w:cs="Times New Roman"/>
          <w:sz w:val="24"/>
          <w:szCs w:val="24"/>
        </w:rPr>
        <w:t>нно подготавливать документацию</w:t>
      </w:r>
    </w:p>
    <w:p w:rsidR="008F32E0" w:rsidRDefault="00B9408E" w:rsidP="00964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F32E0" w:rsidRPr="008F32E0">
        <w:rPr>
          <w:rFonts w:ascii="Times New Roman" w:hAnsi="Times New Roman" w:cs="Times New Roman"/>
          <w:sz w:val="24"/>
          <w:szCs w:val="24"/>
        </w:rPr>
        <w:t>Подводя итог, необходимо отметить, что подход к регулированию трансфертных цен необходимо форм</w:t>
      </w:r>
      <w:r>
        <w:rPr>
          <w:rFonts w:ascii="Times New Roman" w:hAnsi="Times New Roman" w:cs="Times New Roman"/>
          <w:sz w:val="24"/>
          <w:szCs w:val="24"/>
        </w:rPr>
        <w:t>ировать с учетом мирового опыта</w:t>
      </w:r>
      <w:r w:rsidR="008F32E0" w:rsidRPr="008F32E0">
        <w:rPr>
          <w:rFonts w:ascii="Times New Roman" w:hAnsi="Times New Roman" w:cs="Times New Roman"/>
          <w:sz w:val="24"/>
          <w:szCs w:val="24"/>
        </w:rPr>
        <w:t xml:space="preserve">. </w:t>
      </w:r>
      <w:r>
        <w:rPr>
          <w:rFonts w:ascii="Times New Roman" w:hAnsi="Times New Roman" w:cs="Times New Roman"/>
          <w:sz w:val="24"/>
          <w:szCs w:val="24"/>
        </w:rPr>
        <w:t>Практическое применение</w:t>
      </w:r>
      <w:r w:rsidR="008F32E0" w:rsidRPr="008F32E0">
        <w:rPr>
          <w:rFonts w:ascii="Times New Roman" w:hAnsi="Times New Roman" w:cs="Times New Roman"/>
          <w:sz w:val="24"/>
          <w:szCs w:val="24"/>
        </w:rPr>
        <w:t xml:space="preserve"> комплекса существующих законодательных мер не позволяет в полном объеме контролировать уклонение от налогообложения с помощью манипулирования трансфертными ценами. Тем самым подход налоговых органов носит противоречивый характер. В настоящее время Правительство Р</w:t>
      </w:r>
      <w:r w:rsidR="00DC3CA7">
        <w:rPr>
          <w:rFonts w:ascii="Times New Roman" w:hAnsi="Times New Roman" w:cs="Times New Roman"/>
          <w:sz w:val="24"/>
          <w:szCs w:val="24"/>
        </w:rPr>
        <w:t>оссийской Федерации</w:t>
      </w:r>
      <w:r w:rsidR="008F32E0" w:rsidRPr="008F32E0">
        <w:rPr>
          <w:rFonts w:ascii="Times New Roman" w:hAnsi="Times New Roman" w:cs="Times New Roman"/>
          <w:sz w:val="24"/>
          <w:szCs w:val="24"/>
        </w:rPr>
        <w:t xml:space="preserve"> и других стран, а также ОЭСР разрабатываю</w:t>
      </w:r>
      <w:r w:rsidR="00DC3CA7">
        <w:rPr>
          <w:rFonts w:ascii="Times New Roman" w:hAnsi="Times New Roman" w:cs="Times New Roman"/>
          <w:sz w:val="24"/>
          <w:szCs w:val="24"/>
        </w:rPr>
        <w:t xml:space="preserve">т новые законодательные нормы, а также </w:t>
      </w:r>
      <w:r w:rsidR="008F32E0" w:rsidRPr="008F32E0">
        <w:rPr>
          <w:rFonts w:ascii="Times New Roman" w:hAnsi="Times New Roman" w:cs="Times New Roman"/>
          <w:sz w:val="24"/>
          <w:szCs w:val="24"/>
        </w:rPr>
        <w:t xml:space="preserve">уточняют существующие, которые помогут более эффективно осуществлять </w:t>
      </w:r>
      <w:r w:rsidR="00DC3CA7">
        <w:rPr>
          <w:rFonts w:ascii="Times New Roman" w:hAnsi="Times New Roman" w:cs="Times New Roman"/>
          <w:sz w:val="24"/>
          <w:szCs w:val="24"/>
        </w:rPr>
        <w:t xml:space="preserve">налоговый </w:t>
      </w:r>
      <w:r w:rsidR="008F32E0" w:rsidRPr="008F32E0">
        <w:rPr>
          <w:rFonts w:ascii="Times New Roman" w:hAnsi="Times New Roman" w:cs="Times New Roman"/>
          <w:sz w:val="24"/>
          <w:szCs w:val="24"/>
        </w:rPr>
        <w:t xml:space="preserve">контроль, не нарушая при этом экономическую функцию трансфертного ценообразования. Возможным решением отмеченных выше </w:t>
      </w:r>
      <w:r w:rsidR="00DC3CA7">
        <w:rPr>
          <w:rFonts w:ascii="Times New Roman" w:hAnsi="Times New Roman" w:cs="Times New Roman"/>
          <w:sz w:val="24"/>
          <w:szCs w:val="24"/>
        </w:rPr>
        <w:t xml:space="preserve">проблем может быть единый метода </w:t>
      </w:r>
      <w:r w:rsidR="008F32E0" w:rsidRPr="008F32E0">
        <w:rPr>
          <w:rFonts w:ascii="Times New Roman" w:hAnsi="Times New Roman" w:cs="Times New Roman"/>
          <w:sz w:val="24"/>
          <w:szCs w:val="24"/>
        </w:rPr>
        <w:t>налогообложения, к разработке которого в ближайшее время</w:t>
      </w:r>
      <w:r w:rsidR="00DC3CA7">
        <w:rPr>
          <w:rFonts w:ascii="Times New Roman" w:hAnsi="Times New Roman" w:cs="Times New Roman"/>
          <w:sz w:val="24"/>
          <w:szCs w:val="24"/>
        </w:rPr>
        <w:t xml:space="preserve">, скорее всего, </w:t>
      </w:r>
      <w:r w:rsidR="00DC3CA7" w:rsidRPr="008F32E0">
        <w:rPr>
          <w:rFonts w:ascii="Times New Roman" w:hAnsi="Times New Roman" w:cs="Times New Roman"/>
          <w:sz w:val="24"/>
          <w:szCs w:val="24"/>
        </w:rPr>
        <w:t>будут</w:t>
      </w:r>
      <w:r w:rsidR="008F32E0" w:rsidRPr="008F32E0">
        <w:rPr>
          <w:rFonts w:ascii="Times New Roman" w:hAnsi="Times New Roman" w:cs="Times New Roman"/>
          <w:sz w:val="24"/>
          <w:szCs w:val="24"/>
        </w:rPr>
        <w:t xml:space="preserve"> вынуждены подойти налогов</w:t>
      </w:r>
      <w:r w:rsidR="00DC3CA7">
        <w:rPr>
          <w:rFonts w:ascii="Times New Roman" w:hAnsi="Times New Roman" w:cs="Times New Roman"/>
          <w:sz w:val="24"/>
          <w:szCs w:val="24"/>
        </w:rPr>
        <w:t>ые органы ведущих экономик мира.</w:t>
      </w:r>
    </w:p>
    <w:p w:rsidR="008F32E0" w:rsidRDefault="008F32E0" w:rsidP="006045D1">
      <w:pPr>
        <w:jc w:val="both"/>
        <w:rPr>
          <w:rFonts w:ascii="Times New Roman" w:hAnsi="Times New Roman" w:cs="Times New Roman"/>
          <w:sz w:val="24"/>
          <w:szCs w:val="24"/>
        </w:rPr>
      </w:pPr>
      <w:r>
        <w:rPr>
          <w:rFonts w:ascii="Times New Roman" w:hAnsi="Times New Roman" w:cs="Times New Roman"/>
          <w:sz w:val="24"/>
          <w:szCs w:val="24"/>
        </w:rPr>
        <w:br w:type="page"/>
      </w:r>
    </w:p>
    <w:p w:rsidR="008F32E0" w:rsidRDefault="008F32E0" w:rsidP="008F32E0">
      <w:pPr>
        <w:pStyle w:val="1"/>
        <w:jc w:val="center"/>
        <w:rPr>
          <w:rFonts w:ascii="Times New Roman" w:hAnsi="Times New Roman" w:cs="Times New Roman"/>
          <w:b/>
          <w:color w:val="auto"/>
          <w:sz w:val="28"/>
          <w:szCs w:val="28"/>
        </w:rPr>
      </w:pPr>
      <w:bookmarkStart w:id="12" w:name="_Toc513844338"/>
      <w:r w:rsidRPr="008F32E0">
        <w:rPr>
          <w:rFonts w:ascii="Times New Roman" w:hAnsi="Times New Roman" w:cs="Times New Roman"/>
          <w:b/>
          <w:color w:val="auto"/>
          <w:sz w:val="28"/>
          <w:szCs w:val="28"/>
        </w:rPr>
        <w:t>Список использованн</w:t>
      </w:r>
      <w:r w:rsidR="00517159">
        <w:rPr>
          <w:rFonts w:ascii="Times New Roman" w:hAnsi="Times New Roman" w:cs="Times New Roman"/>
          <w:b/>
          <w:color w:val="auto"/>
          <w:sz w:val="28"/>
          <w:szCs w:val="28"/>
        </w:rPr>
        <w:t>ых источников</w:t>
      </w:r>
      <w:bookmarkEnd w:id="12"/>
    </w:p>
    <w:p w:rsidR="008F32E0" w:rsidRPr="008F32E0" w:rsidRDefault="008F32E0" w:rsidP="008F32E0"/>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Налоговый кодекс Российской Федерации. Части первая и вторая. — М.: Проспект, КноРус, 2017. — 832 с.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Федеральный закон от 18.07.2011 г.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 [Электронный ресурс]. — Режим доступа: http://www.rg.ru/2011/07/22/pivo-dok.html (дата обращения: 08.12.2017).</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Федеральный закон Российской Федерации от 26 декабря 1995 г. № 208-ФЗ «Об акционерных обществах».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Федеральный закон Российской Федерации от 26 июля 2006 г. №135-ФЗ «О защите конкуренции».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Федеральный закон Российской Федерации №311-ФЗ от 27 ноября 2010 г. «О таможенном регулировании».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Федеральный закон Российской Федерации №7-ФЗ от 12 июля 1996 г. «О некоммерческих организациях».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Федеральный закон Российской Федерации №14-ФЗ от 8 февраля 1998 г. «Об обществах с ограниченной ответственностью».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Федеральный закон Российской Федерации №165-ФЗ от 8 декабря 2003 г. «О специальных защитных, антидемпинговых и компенсационных мерах при импорте товаров».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Федеральный закон Российской Федерации от 8 декабря 2003 г. № 164-ФЗ «Об основах государственного регулирования внешнеторговой деятельности».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Федеральный закон Российской Федерации от 20 декабря 1992 г. № 2383-1 «О товарных биржах и биржевой торговли».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Федеральный закон Российской Федерации от 21 мая 1993 г. №5003-1 «О таможенном тарифе». </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Указ Президента Российской Федерации от 18 августа 1996 года №1209 «О государственном регулировании внешнеторговых бартерных сделок». </w:t>
      </w:r>
    </w:p>
    <w:p w:rsidR="002436A2" w:rsidRPr="002436A2" w:rsidRDefault="002436A2"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Постановление от 12 октября 2017 г. по делу № А40-78401/2017</w:t>
      </w:r>
    </w:p>
    <w:p w:rsidR="00843F81" w:rsidRPr="002436A2" w:rsidRDefault="00843F81"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Письмо ФНС РФ от 14.07. 2013№ОА-4-13/85@.</w:t>
      </w:r>
    </w:p>
    <w:p w:rsidR="00843F81" w:rsidRPr="002436A2" w:rsidRDefault="00843F81"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 Письмо ФНС РФ от 27.07.2012 № ММВ-7-13/524@.</w:t>
      </w:r>
    </w:p>
    <w:p w:rsidR="0012135F" w:rsidRPr="0012135F" w:rsidRDefault="00843F81" w:rsidP="0012135F">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Письмо ФНС РФ от 10.04.2013 № ОА-4-12/6612@.</w:t>
      </w:r>
    </w:p>
    <w:p w:rsidR="0012135F" w:rsidRPr="00116A41" w:rsidRDefault="0012135F" w:rsidP="00116A41">
      <w:pPr>
        <w:pStyle w:val="a3"/>
        <w:numPr>
          <w:ilvl w:val="0"/>
          <w:numId w:val="7"/>
        </w:numPr>
        <w:spacing w:after="0" w:line="360" w:lineRule="auto"/>
        <w:jc w:val="both"/>
        <w:rPr>
          <w:rFonts w:ascii="Times New Roman" w:hAnsi="Times New Roman" w:cs="Times New Roman"/>
          <w:sz w:val="24"/>
          <w:szCs w:val="24"/>
        </w:rPr>
      </w:pPr>
      <w:r w:rsidRPr="0012135F">
        <w:rPr>
          <w:rFonts w:ascii="Times New Roman" w:hAnsi="Times New Roman" w:cs="Times New Roman"/>
          <w:sz w:val="24"/>
          <w:szCs w:val="24"/>
        </w:rPr>
        <w:t>Баев С.А. Правовое регулирование трансфертного ценообразования:</w:t>
      </w:r>
      <w:r w:rsidR="00116A41">
        <w:rPr>
          <w:rFonts w:ascii="Times New Roman" w:hAnsi="Times New Roman" w:cs="Times New Roman"/>
          <w:sz w:val="24"/>
          <w:szCs w:val="24"/>
        </w:rPr>
        <w:t xml:space="preserve"> </w:t>
      </w:r>
      <w:r w:rsidRPr="00116A41">
        <w:rPr>
          <w:rFonts w:ascii="Times New Roman" w:hAnsi="Times New Roman" w:cs="Times New Roman"/>
          <w:sz w:val="24"/>
          <w:szCs w:val="24"/>
        </w:rPr>
        <w:t>мировой опыт и российская практика // Законодател</w:t>
      </w:r>
      <w:r w:rsidR="00116A41" w:rsidRPr="00116A41">
        <w:rPr>
          <w:rFonts w:ascii="Times New Roman" w:hAnsi="Times New Roman" w:cs="Times New Roman"/>
          <w:sz w:val="24"/>
          <w:szCs w:val="24"/>
        </w:rPr>
        <w:t xml:space="preserve">ьство. – 2005. – № 9. – С. </w:t>
      </w:r>
      <w:r w:rsidR="00116A41">
        <w:rPr>
          <w:rFonts w:ascii="Times New Roman" w:hAnsi="Times New Roman" w:cs="Times New Roman"/>
          <w:sz w:val="24"/>
          <w:szCs w:val="24"/>
        </w:rPr>
        <w:t>39</w:t>
      </w:r>
      <w:r w:rsidR="00116A41" w:rsidRPr="00116A41">
        <w:rPr>
          <w:rFonts w:ascii="Times New Roman" w:hAnsi="Times New Roman" w:cs="Times New Roman"/>
          <w:sz w:val="24"/>
          <w:szCs w:val="24"/>
        </w:rPr>
        <w:t xml:space="preserve"> –</w:t>
      </w:r>
      <w:r w:rsidR="00116A41">
        <w:rPr>
          <w:rFonts w:ascii="Times New Roman" w:hAnsi="Times New Roman" w:cs="Times New Roman"/>
          <w:sz w:val="24"/>
          <w:szCs w:val="24"/>
        </w:rPr>
        <w:t>50.</w:t>
      </w:r>
    </w:p>
    <w:p w:rsidR="0012135F" w:rsidRDefault="0012135F" w:rsidP="0012135F">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Борисов А.Б. Большой экономический словарь. // Словарь - М.: Книжный мир, 2017. - 895 с. </w:t>
      </w:r>
    </w:p>
    <w:p w:rsidR="0012135F" w:rsidRDefault="0012135F" w:rsidP="0012135F">
      <w:pPr>
        <w:pStyle w:val="a3"/>
        <w:numPr>
          <w:ilvl w:val="0"/>
          <w:numId w:val="7"/>
        </w:numPr>
        <w:spacing w:after="0" w:line="360" w:lineRule="auto"/>
        <w:jc w:val="both"/>
        <w:rPr>
          <w:rFonts w:ascii="Times New Roman" w:hAnsi="Times New Roman" w:cs="Times New Roman"/>
          <w:sz w:val="24"/>
          <w:szCs w:val="24"/>
        </w:rPr>
      </w:pPr>
      <w:r w:rsidRPr="0012135F">
        <w:rPr>
          <w:rFonts w:ascii="Times New Roman" w:hAnsi="Times New Roman" w:cs="Times New Roman"/>
          <w:sz w:val="24"/>
          <w:szCs w:val="24"/>
        </w:rPr>
        <w:t>Брызгалин А.В., Зарипов В.М. Комментарий основных положений</w:t>
      </w:r>
      <w:r>
        <w:rPr>
          <w:rFonts w:ascii="Times New Roman" w:hAnsi="Times New Roman" w:cs="Times New Roman"/>
          <w:sz w:val="24"/>
          <w:szCs w:val="24"/>
        </w:rPr>
        <w:t xml:space="preserve"> Налогового </w:t>
      </w:r>
      <w:r w:rsidRPr="0012135F">
        <w:rPr>
          <w:rFonts w:ascii="Times New Roman" w:hAnsi="Times New Roman" w:cs="Times New Roman"/>
          <w:sz w:val="24"/>
          <w:szCs w:val="24"/>
        </w:rPr>
        <w:t>кодекса Российской Федерации. Комментарий основных положений</w:t>
      </w:r>
      <w:r>
        <w:rPr>
          <w:rFonts w:ascii="Times New Roman" w:hAnsi="Times New Roman" w:cs="Times New Roman"/>
          <w:sz w:val="24"/>
          <w:szCs w:val="24"/>
        </w:rPr>
        <w:t xml:space="preserve"> </w:t>
      </w:r>
      <w:r w:rsidRPr="0012135F">
        <w:rPr>
          <w:rFonts w:ascii="Times New Roman" w:hAnsi="Times New Roman" w:cs="Times New Roman"/>
          <w:sz w:val="24"/>
          <w:szCs w:val="24"/>
        </w:rPr>
        <w:t>Налогового кодекса Российской Федерации: Часть первая. Раздел V. Налоговая</w:t>
      </w:r>
      <w:r>
        <w:rPr>
          <w:rFonts w:ascii="Times New Roman" w:hAnsi="Times New Roman" w:cs="Times New Roman"/>
          <w:sz w:val="24"/>
          <w:szCs w:val="24"/>
        </w:rPr>
        <w:t xml:space="preserve"> </w:t>
      </w:r>
      <w:r w:rsidRPr="0012135F">
        <w:rPr>
          <w:rFonts w:ascii="Times New Roman" w:hAnsi="Times New Roman" w:cs="Times New Roman"/>
          <w:sz w:val="24"/>
          <w:szCs w:val="24"/>
        </w:rPr>
        <w:t>отчетность и налоговый контроль: Глава 14. Налоговый контроль (ст. 82 - 98) //</w:t>
      </w:r>
      <w:r>
        <w:rPr>
          <w:rFonts w:ascii="Times New Roman" w:hAnsi="Times New Roman" w:cs="Times New Roman"/>
          <w:sz w:val="24"/>
          <w:szCs w:val="24"/>
        </w:rPr>
        <w:t xml:space="preserve"> </w:t>
      </w:r>
      <w:r w:rsidRPr="0012135F">
        <w:rPr>
          <w:rFonts w:ascii="Times New Roman" w:hAnsi="Times New Roman" w:cs="Times New Roman"/>
          <w:sz w:val="24"/>
          <w:szCs w:val="24"/>
        </w:rPr>
        <w:t>Хозяйство и право. – 1999. - № 7. – С. 3 – 21.</w:t>
      </w:r>
    </w:p>
    <w:p w:rsidR="00116A41" w:rsidRPr="002436A2" w:rsidRDefault="0012135F" w:rsidP="00116A41">
      <w:pPr>
        <w:pStyle w:val="a3"/>
        <w:numPr>
          <w:ilvl w:val="0"/>
          <w:numId w:val="7"/>
        </w:numPr>
        <w:spacing w:after="0" w:line="360" w:lineRule="auto"/>
        <w:jc w:val="both"/>
        <w:rPr>
          <w:rFonts w:ascii="Times New Roman" w:hAnsi="Times New Roman" w:cs="Times New Roman"/>
          <w:sz w:val="24"/>
          <w:szCs w:val="24"/>
        </w:rPr>
      </w:pPr>
      <w:r w:rsidRPr="0012135F">
        <w:rPr>
          <w:rFonts w:ascii="Times New Roman" w:hAnsi="Times New Roman" w:cs="Times New Roman"/>
          <w:sz w:val="24"/>
          <w:szCs w:val="24"/>
        </w:rPr>
        <w:t>Брызгалин А.В. Тематический выпуск: Контроль за трансфертными ценами (под ред. Брызгалина А.В.) / Налоги и финансовое право. – 2012. – № 5 [Электрон</w:t>
      </w:r>
      <w:r>
        <w:rPr>
          <w:rFonts w:ascii="Times New Roman" w:hAnsi="Times New Roman" w:cs="Times New Roman"/>
          <w:sz w:val="24"/>
          <w:szCs w:val="24"/>
        </w:rPr>
        <w:t>ный ресурс] // Доступ из справ.-</w:t>
      </w:r>
      <w:r w:rsidRPr="0012135F">
        <w:rPr>
          <w:rFonts w:ascii="Times New Roman" w:hAnsi="Times New Roman" w:cs="Times New Roman"/>
          <w:sz w:val="24"/>
          <w:szCs w:val="24"/>
        </w:rPr>
        <w:t>правовой системы «КонсультантПлюс» (дата обращения: 28.03.2018)</w:t>
      </w:r>
      <w:r w:rsidR="00116A41" w:rsidRPr="00116A41">
        <w:rPr>
          <w:rFonts w:ascii="Times New Roman" w:hAnsi="Times New Roman" w:cs="Times New Roman"/>
          <w:sz w:val="24"/>
          <w:szCs w:val="24"/>
        </w:rPr>
        <w:t xml:space="preserve"> </w:t>
      </w:r>
    </w:p>
    <w:p w:rsidR="0012135F" w:rsidRPr="0012135F" w:rsidRDefault="00116A41" w:rsidP="0012135F">
      <w:pPr>
        <w:pStyle w:val="a3"/>
        <w:numPr>
          <w:ilvl w:val="0"/>
          <w:numId w:val="7"/>
        </w:numPr>
        <w:spacing w:after="0" w:line="360" w:lineRule="auto"/>
        <w:ind w:left="714" w:hanging="357"/>
        <w:jc w:val="both"/>
        <w:rPr>
          <w:rFonts w:ascii="Times New Roman" w:hAnsi="Times New Roman" w:cs="Times New Roman"/>
          <w:sz w:val="24"/>
          <w:szCs w:val="24"/>
        </w:rPr>
      </w:pPr>
      <w:r w:rsidRPr="002436A2">
        <w:rPr>
          <w:rFonts w:ascii="Times New Roman" w:hAnsi="Times New Roman" w:cs="Times New Roman"/>
          <w:sz w:val="24"/>
          <w:szCs w:val="24"/>
        </w:rPr>
        <w:t>Е. Ветер, А.Джонсон Закон о трансфертном ценообразовании: краткий обзор//Налоговый вестник. 2017. № 9, с. 34-37.</w:t>
      </w:r>
    </w:p>
    <w:p w:rsidR="008F32E0" w:rsidRPr="002436A2"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Голишевский В.И., Кизимов А.С. Международные принципы налогового регулирования трансфертного ценообразования // Финансы. 2017. № 7. С. 45-49. </w:t>
      </w:r>
    </w:p>
    <w:p w:rsidR="002436A2" w:rsidRPr="00116A41" w:rsidRDefault="00E003AD" w:rsidP="00116A41">
      <w:pPr>
        <w:pStyle w:val="a3"/>
        <w:numPr>
          <w:ilvl w:val="0"/>
          <w:numId w:val="7"/>
        </w:numPr>
        <w:spacing w:after="0" w:line="360" w:lineRule="auto"/>
        <w:jc w:val="both"/>
        <w:rPr>
          <w:rFonts w:ascii="Times New Roman" w:hAnsi="Times New Roman" w:cs="Times New Roman"/>
          <w:sz w:val="24"/>
          <w:szCs w:val="24"/>
        </w:rPr>
      </w:pPr>
      <w:r w:rsidRPr="00116A41">
        <w:rPr>
          <w:rFonts w:ascii="Times New Roman" w:hAnsi="Times New Roman" w:cs="Times New Roman"/>
          <w:sz w:val="24"/>
          <w:szCs w:val="24"/>
        </w:rPr>
        <w:t xml:space="preserve">В.И. </w:t>
      </w:r>
      <w:r w:rsidR="002436A2" w:rsidRPr="00116A41">
        <w:rPr>
          <w:rFonts w:ascii="Times New Roman" w:hAnsi="Times New Roman" w:cs="Times New Roman"/>
          <w:sz w:val="24"/>
          <w:szCs w:val="24"/>
        </w:rPr>
        <w:t>Голишевский Международные принципы налогового регулирования трансфертного ценообразования//Финансы. 2014. № 7. С. 23-28.</w:t>
      </w:r>
    </w:p>
    <w:p w:rsidR="00E376CD" w:rsidRDefault="00E376CD" w:rsidP="00E376CD">
      <w:pPr>
        <w:pStyle w:val="a3"/>
        <w:numPr>
          <w:ilvl w:val="0"/>
          <w:numId w:val="7"/>
        </w:numPr>
        <w:spacing w:after="0" w:line="360" w:lineRule="auto"/>
        <w:jc w:val="both"/>
        <w:rPr>
          <w:rFonts w:ascii="Times New Roman" w:hAnsi="Times New Roman" w:cs="Times New Roman"/>
          <w:sz w:val="24"/>
          <w:szCs w:val="24"/>
        </w:rPr>
      </w:pPr>
      <w:r w:rsidRPr="00E003AD">
        <w:rPr>
          <w:rFonts w:ascii="Times New Roman" w:hAnsi="Times New Roman" w:cs="Times New Roman"/>
          <w:sz w:val="24"/>
          <w:szCs w:val="24"/>
        </w:rPr>
        <w:t>Грундел Л.П. Эффективное противодействие использованию трансфертных цен в целях уклонения от</w:t>
      </w:r>
      <w:r>
        <w:rPr>
          <w:rFonts w:ascii="Times New Roman" w:hAnsi="Times New Roman" w:cs="Times New Roman"/>
          <w:sz w:val="24"/>
          <w:szCs w:val="24"/>
        </w:rPr>
        <w:t xml:space="preserve"> </w:t>
      </w:r>
      <w:r w:rsidRPr="00E003AD">
        <w:rPr>
          <w:rFonts w:ascii="Times New Roman" w:hAnsi="Times New Roman" w:cs="Times New Roman"/>
          <w:sz w:val="24"/>
          <w:szCs w:val="24"/>
        </w:rPr>
        <w:t>налогообложения / Сб. науч. статей: Теневая экономика России: причины, инструменты борьбы с ее проявлениями. 2014</w:t>
      </w:r>
    </w:p>
    <w:p w:rsidR="00116A41" w:rsidRPr="00116A41" w:rsidRDefault="00116A41" w:rsidP="00116A41">
      <w:pPr>
        <w:pStyle w:val="a3"/>
        <w:numPr>
          <w:ilvl w:val="0"/>
          <w:numId w:val="7"/>
        </w:numPr>
        <w:spacing w:after="0" w:line="360" w:lineRule="auto"/>
        <w:jc w:val="both"/>
        <w:rPr>
          <w:rFonts w:ascii="Times New Roman" w:hAnsi="Times New Roman" w:cs="Times New Roman"/>
          <w:sz w:val="24"/>
          <w:szCs w:val="24"/>
        </w:rPr>
      </w:pPr>
      <w:r w:rsidRPr="00116A41">
        <w:rPr>
          <w:rFonts w:ascii="Times New Roman" w:hAnsi="Times New Roman" w:cs="Times New Roman"/>
          <w:sz w:val="24"/>
          <w:szCs w:val="24"/>
        </w:rPr>
        <w:t>Грундел Л.П. Анализ практики осуществления налогового контроля</w:t>
      </w:r>
      <w:r>
        <w:rPr>
          <w:rFonts w:ascii="Times New Roman" w:hAnsi="Times New Roman" w:cs="Times New Roman"/>
          <w:sz w:val="24"/>
          <w:szCs w:val="24"/>
        </w:rPr>
        <w:t xml:space="preserve"> </w:t>
      </w:r>
      <w:r w:rsidRPr="00116A41">
        <w:rPr>
          <w:rFonts w:ascii="Times New Roman" w:hAnsi="Times New Roman" w:cs="Times New Roman"/>
          <w:sz w:val="24"/>
          <w:szCs w:val="24"/>
        </w:rPr>
        <w:t>применения трансфертного ценообразования в России // Налоги и финансовое</w:t>
      </w:r>
      <w:r>
        <w:rPr>
          <w:rFonts w:ascii="Times New Roman" w:hAnsi="Times New Roman" w:cs="Times New Roman"/>
          <w:sz w:val="24"/>
          <w:szCs w:val="24"/>
        </w:rPr>
        <w:t xml:space="preserve"> </w:t>
      </w:r>
      <w:r w:rsidRPr="00116A41">
        <w:rPr>
          <w:rFonts w:ascii="Times New Roman" w:hAnsi="Times New Roman" w:cs="Times New Roman"/>
          <w:sz w:val="24"/>
          <w:szCs w:val="24"/>
        </w:rPr>
        <w:t>право. – 2014. – № 11. – С. 106 – 111.</w:t>
      </w:r>
    </w:p>
    <w:p w:rsidR="00E360BD" w:rsidRDefault="00E360BD" w:rsidP="005119C3">
      <w:pPr>
        <w:pStyle w:val="a3"/>
        <w:numPr>
          <w:ilvl w:val="0"/>
          <w:numId w:val="7"/>
        </w:numPr>
        <w:spacing w:after="0" w:line="360" w:lineRule="auto"/>
        <w:jc w:val="both"/>
        <w:rPr>
          <w:rFonts w:ascii="Times New Roman" w:hAnsi="Times New Roman" w:cs="Times New Roman"/>
          <w:sz w:val="24"/>
          <w:szCs w:val="24"/>
        </w:rPr>
      </w:pPr>
      <w:r w:rsidRPr="00E360BD">
        <w:rPr>
          <w:rFonts w:ascii="Times New Roman" w:hAnsi="Times New Roman" w:cs="Times New Roman"/>
          <w:sz w:val="24"/>
          <w:szCs w:val="24"/>
        </w:rPr>
        <w:t>Донская В.Ю. Трансфертные цены: достоинства и недостатки способов расчета // Ма</w:t>
      </w:r>
      <w:r>
        <w:rPr>
          <w:rFonts w:ascii="Times New Roman" w:hAnsi="Times New Roman" w:cs="Times New Roman"/>
          <w:sz w:val="24"/>
          <w:szCs w:val="24"/>
        </w:rPr>
        <w:t>тематические модели и информаци</w:t>
      </w:r>
      <w:r w:rsidRPr="00E360BD">
        <w:rPr>
          <w:rFonts w:ascii="Times New Roman" w:hAnsi="Times New Roman" w:cs="Times New Roman"/>
          <w:sz w:val="24"/>
          <w:szCs w:val="24"/>
        </w:rPr>
        <w:t>онные технологии в менеджменте. Вып. 1. — СПб.: СПбГУ, 2001. — С. 148–157.</w:t>
      </w:r>
    </w:p>
    <w:p w:rsidR="007D5216" w:rsidRDefault="007D5216" w:rsidP="005119C3">
      <w:pPr>
        <w:pStyle w:val="a3"/>
        <w:numPr>
          <w:ilvl w:val="0"/>
          <w:numId w:val="7"/>
        </w:numPr>
        <w:spacing w:after="0" w:line="360" w:lineRule="auto"/>
        <w:jc w:val="both"/>
        <w:rPr>
          <w:rFonts w:ascii="Times New Roman" w:hAnsi="Times New Roman" w:cs="Times New Roman"/>
          <w:sz w:val="24"/>
          <w:szCs w:val="24"/>
        </w:rPr>
      </w:pPr>
      <w:r w:rsidRPr="007D5216">
        <w:rPr>
          <w:rFonts w:ascii="Times New Roman" w:hAnsi="Times New Roman" w:cs="Times New Roman"/>
          <w:sz w:val="24"/>
          <w:szCs w:val="24"/>
        </w:rPr>
        <w:t>Зарипов В.М. «Блеск и нищета» симметричной корректировки // Налоговед. – 2012. – № 3(99). – С. 45 – 49.</w:t>
      </w:r>
    </w:p>
    <w:p w:rsidR="007D5216" w:rsidRPr="007D5216" w:rsidRDefault="007D5216" w:rsidP="005119C3">
      <w:pPr>
        <w:pStyle w:val="a3"/>
        <w:numPr>
          <w:ilvl w:val="0"/>
          <w:numId w:val="7"/>
        </w:numPr>
        <w:spacing w:after="0" w:line="360" w:lineRule="auto"/>
        <w:jc w:val="both"/>
        <w:rPr>
          <w:rFonts w:ascii="Times New Roman" w:hAnsi="Times New Roman" w:cs="Times New Roman"/>
          <w:sz w:val="24"/>
          <w:szCs w:val="24"/>
        </w:rPr>
      </w:pPr>
      <w:r w:rsidRPr="007D5216">
        <w:rPr>
          <w:rFonts w:ascii="Times New Roman" w:hAnsi="Times New Roman" w:cs="Times New Roman"/>
          <w:sz w:val="24"/>
          <w:szCs w:val="24"/>
        </w:rPr>
        <w:t>Зарипов В.М. Понятие «экономическое основание налога». Налоговые споры: опыт России и других стран: по материалам VII Международной научно- практической конференции. – М.: Статут, 2014. – С. 105 – 120.</w:t>
      </w:r>
    </w:p>
    <w:p w:rsidR="002436A2" w:rsidRPr="0012135F" w:rsidRDefault="002436A2" w:rsidP="005119C3">
      <w:pPr>
        <w:pStyle w:val="a3"/>
        <w:numPr>
          <w:ilvl w:val="0"/>
          <w:numId w:val="7"/>
        </w:numPr>
        <w:spacing w:after="0" w:line="360" w:lineRule="auto"/>
        <w:jc w:val="both"/>
        <w:rPr>
          <w:rStyle w:val="a8"/>
          <w:rFonts w:ascii="Times New Roman" w:hAnsi="Times New Roman" w:cs="Times New Roman"/>
          <w:color w:val="auto"/>
          <w:sz w:val="24"/>
          <w:szCs w:val="24"/>
          <w:u w:val="none"/>
        </w:rPr>
      </w:pPr>
      <w:r w:rsidRPr="002436A2">
        <w:rPr>
          <w:rFonts w:ascii="Times New Roman" w:hAnsi="Times New Roman" w:cs="Times New Roman"/>
          <w:sz w:val="24"/>
          <w:szCs w:val="24"/>
        </w:rPr>
        <w:t>Касьянов А. В. «Постатейные комментарий к Налоговому кодексу</w:t>
      </w:r>
      <w:r w:rsidR="00E360BD">
        <w:rPr>
          <w:rFonts w:ascii="Times New Roman" w:hAnsi="Times New Roman" w:cs="Times New Roman"/>
          <w:sz w:val="24"/>
          <w:szCs w:val="24"/>
        </w:rPr>
        <w:t xml:space="preserve"> </w:t>
      </w:r>
      <w:r w:rsidRPr="00E360BD">
        <w:rPr>
          <w:rFonts w:ascii="Times New Roman" w:hAnsi="Times New Roman" w:cs="Times New Roman"/>
          <w:sz w:val="24"/>
          <w:szCs w:val="24"/>
        </w:rPr>
        <w:t xml:space="preserve">Российской Федерацией» [Электронный ресурс] // URL: </w:t>
      </w:r>
      <w:hyperlink r:id="rId18" w:history="1">
        <w:r w:rsidR="00E360BD" w:rsidRPr="00F06D03">
          <w:rPr>
            <w:rStyle w:val="a8"/>
            <w:rFonts w:ascii="Times New Roman" w:hAnsi="Times New Roman" w:cs="Times New Roman"/>
            <w:sz w:val="24"/>
            <w:szCs w:val="24"/>
          </w:rPr>
          <w:t>http://eastfront.narod.ru/memo/latchford.htm</w:t>
        </w:r>
      </w:hyperlink>
    </w:p>
    <w:p w:rsidR="0012135F" w:rsidRPr="0012135F" w:rsidRDefault="0012135F" w:rsidP="0012135F">
      <w:pPr>
        <w:pStyle w:val="a3"/>
        <w:numPr>
          <w:ilvl w:val="0"/>
          <w:numId w:val="7"/>
        </w:numPr>
        <w:spacing w:after="0" w:line="360" w:lineRule="auto"/>
        <w:jc w:val="both"/>
        <w:rPr>
          <w:rStyle w:val="a8"/>
          <w:rFonts w:ascii="Times New Roman" w:hAnsi="Times New Roman" w:cs="Times New Roman"/>
          <w:color w:val="auto"/>
          <w:sz w:val="24"/>
          <w:szCs w:val="24"/>
          <w:u w:val="none"/>
        </w:rPr>
      </w:pPr>
      <w:r w:rsidRPr="002436A2">
        <w:rPr>
          <w:rFonts w:ascii="Times New Roman" w:hAnsi="Times New Roman" w:cs="Times New Roman"/>
          <w:sz w:val="24"/>
          <w:szCs w:val="24"/>
        </w:rPr>
        <w:t>Контроль за трансфертным ценообразованием фактор</w:t>
      </w:r>
      <w:r w:rsidRPr="00E360BD">
        <w:rPr>
          <w:rFonts w:ascii="Times New Roman" w:hAnsi="Times New Roman" w:cs="Times New Roman"/>
          <w:sz w:val="24"/>
          <w:szCs w:val="24"/>
        </w:rPr>
        <w:t xml:space="preserve"> конкурентоспособности налоговой системы государства/Кизимов A.C., [</w:t>
      </w:r>
      <w:r>
        <w:rPr>
          <w:rFonts w:ascii="Times New Roman" w:hAnsi="Times New Roman" w:cs="Times New Roman"/>
          <w:sz w:val="24"/>
          <w:szCs w:val="24"/>
        </w:rPr>
        <w:t xml:space="preserve">и </w:t>
      </w:r>
      <w:r w:rsidRPr="00E360BD">
        <w:rPr>
          <w:rFonts w:ascii="Times New Roman" w:hAnsi="Times New Roman" w:cs="Times New Roman"/>
          <w:sz w:val="24"/>
          <w:szCs w:val="24"/>
        </w:rPr>
        <w:t>др.]. М.: Вершина 2012, 272 с</w:t>
      </w:r>
    </w:p>
    <w:p w:rsidR="00050962" w:rsidRDefault="00050962" w:rsidP="00050962">
      <w:pPr>
        <w:pStyle w:val="a3"/>
        <w:numPr>
          <w:ilvl w:val="0"/>
          <w:numId w:val="7"/>
        </w:numPr>
        <w:spacing w:after="0" w:line="360" w:lineRule="auto"/>
        <w:jc w:val="both"/>
        <w:rPr>
          <w:rFonts w:ascii="Times New Roman" w:hAnsi="Times New Roman" w:cs="Times New Roman"/>
          <w:sz w:val="24"/>
          <w:szCs w:val="24"/>
        </w:rPr>
      </w:pPr>
      <w:r w:rsidRPr="00050962">
        <w:rPr>
          <w:rFonts w:ascii="Times New Roman" w:hAnsi="Times New Roman" w:cs="Times New Roman"/>
          <w:sz w:val="24"/>
          <w:szCs w:val="24"/>
        </w:rPr>
        <w:t>Князев В.В. Законодательные аспекты трансфертного ценообразования как экономического рычага внутрифирменного налогового планирования ТНК</w:t>
      </w:r>
    </w:p>
    <w:p w:rsidR="00F53E3B" w:rsidRDefault="00F53E3B" w:rsidP="00050962">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Ковалев, В.В. Финансы организаций (предприятий): Учебник</w:t>
      </w:r>
      <w:r w:rsidRPr="00F53E3B">
        <w:rPr>
          <w:rFonts w:ascii="Times New Roman" w:hAnsi="Times New Roman" w:cs="Times New Roman"/>
          <w:sz w:val="24"/>
          <w:szCs w:val="24"/>
        </w:rPr>
        <w:t xml:space="preserve"> / </w:t>
      </w:r>
      <w:r>
        <w:rPr>
          <w:rFonts w:ascii="Times New Roman" w:hAnsi="Times New Roman" w:cs="Times New Roman"/>
          <w:sz w:val="24"/>
          <w:szCs w:val="24"/>
        </w:rPr>
        <w:t>В.В. Ковалев, В.В. Ковалев.- М.: Проспект 2013. – 352 с.</w:t>
      </w:r>
    </w:p>
    <w:p w:rsidR="00F53E3B" w:rsidRDefault="00F53E3B" w:rsidP="00050962">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Ковалев, В.В. Финансы организаций (предприятий): Учебник для студентов вузов, обучающихся по экономическим специальностям, специальности «Финансы и кредит» </w:t>
      </w:r>
      <w:r w:rsidRPr="00F53E3B">
        <w:rPr>
          <w:rFonts w:ascii="Times New Roman" w:hAnsi="Times New Roman" w:cs="Times New Roman"/>
          <w:sz w:val="24"/>
          <w:szCs w:val="24"/>
        </w:rPr>
        <w:t xml:space="preserve">/ </w:t>
      </w:r>
      <w:r>
        <w:rPr>
          <w:rFonts w:ascii="Times New Roman" w:hAnsi="Times New Roman" w:cs="Times New Roman"/>
          <w:sz w:val="24"/>
          <w:szCs w:val="24"/>
        </w:rPr>
        <w:t>Н.В. Клочина, Г.Б. Поляк, Л.М. Бурмистрова. - М.: ЮНТИ-ДАНА,</w:t>
      </w:r>
      <w:r w:rsidR="00EB674B">
        <w:rPr>
          <w:rFonts w:ascii="Times New Roman" w:hAnsi="Times New Roman" w:cs="Times New Roman"/>
          <w:sz w:val="24"/>
          <w:szCs w:val="24"/>
        </w:rPr>
        <w:t>лнот</w:t>
      </w:r>
    </w:p>
    <w:p w:rsidR="00B85862" w:rsidRDefault="00B85862" w:rsidP="00B85862">
      <w:pPr>
        <w:pStyle w:val="a3"/>
        <w:numPr>
          <w:ilvl w:val="0"/>
          <w:numId w:val="7"/>
        </w:numPr>
        <w:spacing w:after="0" w:line="360" w:lineRule="auto"/>
        <w:jc w:val="both"/>
        <w:rPr>
          <w:rFonts w:ascii="Times New Roman" w:hAnsi="Times New Roman" w:cs="Times New Roman"/>
          <w:sz w:val="24"/>
          <w:szCs w:val="24"/>
        </w:rPr>
      </w:pPr>
      <w:r w:rsidRPr="00B85862">
        <w:rPr>
          <w:rFonts w:ascii="Times New Roman" w:hAnsi="Times New Roman" w:cs="Times New Roman"/>
          <w:sz w:val="24"/>
          <w:szCs w:val="24"/>
        </w:rPr>
        <w:t>Лермонтов Ю.М., Контроль за трансфертным ценообразованием в целях налогообложения: перспективы совершенствования. //Бухгалтерский вестник ,2008, № 6(156),С.39-44</w:t>
      </w:r>
    </w:p>
    <w:p w:rsidR="0012135F" w:rsidRPr="0012135F" w:rsidRDefault="0012135F" w:rsidP="0012135F">
      <w:pPr>
        <w:pStyle w:val="a3"/>
        <w:numPr>
          <w:ilvl w:val="0"/>
          <w:numId w:val="7"/>
        </w:numPr>
        <w:spacing w:after="0" w:line="360" w:lineRule="auto"/>
        <w:jc w:val="both"/>
        <w:rPr>
          <w:rFonts w:ascii="Times New Roman" w:hAnsi="Times New Roman" w:cs="Times New Roman"/>
          <w:sz w:val="24"/>
          <w:szCs w:val="24"/>
          <w:lang w:val="en-US"/>
        </w:rPr>
      </w:pPr>
      <w:r w:rsidRPr="002436A2">
        <w:rPr>
          <w:rFonts w:ascii="Times New Roman" w:hAnsi="Times New Roman" w:cs="Times New Roman"/>
          <w:sz w:val="24"/>
          <w:szCs w:val="24"/>
        </w:rPr>
        <w:t xml:space="preserve">Лермонтов Ю.М. Постатейный комментарий к части первой Налогового кодекса Российской Федерации //Налоговое планирование. </w:t>
      </w:r>
      <w:r w:rsidRPr="002436A2">
        <w:rPr>
          <w:rFonts w:ascii="Times New Roman" w:hAnsi="Times New Roman" w:cs="Times New Roman"/>
          <w:sz w:val="24"/>
          <w:szCs w:val="24"/>
          <w:lang w:val="en-US"/>
        </w:rPr>
        <w:t>2017. №4: URL: http://base.consultant.r</w:t>
      </w:r>
      <w:r>
        <w:rPr>
          <w:rFonts w:ascii="Times New Roman" w:hAnsi="Times New Roman" w:cs="Times New Roman"/>
          <w:sz w:val="24"/>
          <w:szCs w:val="24"/>
          <w:lang w:val="en-US"/>
        </w:rPr>
        <w:t>u/cons/cgi/online.cgi?req=home.</w:t>
      </w:r>
    </w:p>
    <w:p w:rsidR="00E003AD" w:rsidRDefault="00E003AD" w:rsidP="00E003AD">
      <w:pPr>
        <w:pStyle w:val="a3"/>
        <w:numPr>
          <w:ilvl w:val="0"/>
          <w:numId w:val="7"/>
        </w:numPr>
        <w:spacing w:after="0" w:line="360" w:lineRule="auto"/>
        <w:jc w:val="both"/>
        <w:rPr>
          <w:rFonts w:ascii="Times New Roman" w:hAnsi="Times New Roman" w:cs="Times New Roman"/>
          <w:sz w:val="24"/>
          <w:szCs w:val="24"/>
        </w:rPr>
      </w:pPr>
      <w:r w:rsidRPr="00E003AD">
        <w:rPr>
          <w:rFonts w:ascii="Times New Roman" w:hAnsi="Times New Roman" w:cs="Times New Roman"/>
          <w:sz w:val="24"/>
          <w:szCs w:val="24"/>
        </w:rPr>
        <w:t>Л.П.Грундел, Н.И.Малис Налоговое регулирование трансфертного ценообразования в России: Уч./Л.П.Грундел-М.:Магистр, НИЦ ИНФР / Н.И.Малис Л.П.Грундел. - Москва: ИЛ, 2016. - 377 c.</w:t>
      </w:r>
    </w:p>
    <w:p w:rsidR="00E360BD" w:rsidRDefault="00E360BD" w:rsidP="005119C3">
      <w:pPr>
        <w:pStyle w:val="a3"/>
        <w:numPr>
          <w:ilvl w:val="0"/>
          <w:numId w:val="7"/>
        </w:numPr>
        <w:spacing w:after="0" w:line="360" w:lineRule="auto"/>
        <w:jc w:val="both"/>
        <w:rPr>
          <w:rFonts w:ascii="Times New Roman" w:hAnsi="Times New Roman" w:cs="Times New Roman"/>
          <w:sz w:val="24"/>
          <w:szCs w:val="24"/>
        </w:rPr>
      </w:pPr>
      <w:r w:rsidRPr="00E360BD">
        <w:rPr>
          <w:rFonts w:ascii="Times New Roman" w:hAnsi="Times New Roman" w:cs="Times New Roman"/>
          <w:sz w:val="24"/>
          <w:szCs w:val="24"/>
        </w:rPr>
        <w:t>Мамбеталиева А.Н. Трансфертные цены в странах ЕврАзЭС // Налоговый вестник. — 2010. — ¹ 6. — С. 18–25</w:t>
      </w:r>
    </w:p>
    <w:p w:rsidR="00B85862" w:rsidRPr="00E360BD" w:rsidRDefault="00B85862" w:rsidP="00B85862">
      <w:pPr>
        <w:pStyle w:val="a3"/>
        <w:numPr>
          <w:ilvl w:val="0"/>
          <w:numId w:val="7"/>
        </w:numPr>
        <w:spacing w:after="0" w:line="360" w:lineRule="auto"/>
        <w:jc w:val="both"/>
        <w:rPr>
          <w:rFonts w:ascii="Times New Roman" w:hAnsi="Times New Roman" w:cs="Times New Roman"/>
          <w:sz w:val="24"/>
          <w:szCs w:val="24"/>
        </w:rPr>
      </w:pPr>
      <w:r w:rsidRPr="00B85862">
        <w:rPr>
          <w:rFonts w:ascii="Times New Roman" w:hAnsi="Times New Roman" w:cs="Times New Roman"/>
          <w:sz w:val="24"/>
          <w:szCs w:val="24"/>
        </w:rPr>
        <w:t>Мягких М.А., Условия применения трансфертных цен. //Управленческий учет ,2008, №11,С.27-36</w:t>
      </w:r>
    </w:p>
    <w:p w:rsidR="008F32E0"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 xml:space="preserve">Непесов К.А. Налоговые аспекты трансфертного ценообразования: сравнительный анализ опыта России и зарубежных стран СПб. : Азбука- классика, 2007 – 233 с. </w:t>
      </w:r>
    </w:p>
    <w:p w:rsidR="00050962" w:rsidRDefault="00050962" w:rsidP="00050962">
      <w:pPr>
        <w:pStyle w:val="a3"/>
        <w:numPr>
          <w:ilvl w:val="0"/>
          <w:numId w:val="7"/>
        </w:numPr>
        <w:spacing w:after="0" w:line="360" w:lineRule="auto"/>
        <w:jc w:val="both"/>
        <w:rPr>
          <w:rFonts w:ascii="Times New Roman" w:hAnsi="Times New Roman" w:cs="Times New Roman"/>
          <w:sz w:val="24"/>
          <w:szCs w:val="24"/>
        </w:rPr>
      </w:pPr>
      <w:r w:rsidRPr="00050962">
        <w:rPr>
          <w:rFonts w:ascii="Times New Roman" w:hAnsi="Times New Roman" w:cs="Times New Roman"/>
          <w:sz w:val="24"/>
          <w:szCs w:val="24"/>
        </w:rPr>
        <w:t>Никонов А.А. Риски использования правил ОЭСР при определении цены внутригрупповых услуг // Налоговед.</w:t>
      </w:r>
      <w:r>
        <w:rPr>
          <w:rFonts w:ascii="Times New Roman" w:hAnsi="Times New Roman" w:cs="Times New Roman"/>
          <w:sz w:val="24"/>
          <w:szCs w:val="24"/>
        </w:rPr>
        <w:t xml:space="preserve"> </w:t>
      </w:r>
      <w:r w:rsidRPr="00050962">
        <w:rPr>
          <w:rFonts w:ascii="Times New Roman" w:hAnsi="Times New Roman" w:cs="Times New Roman"/>
          <w:sz w:val="24"/>
          <w:szCs w:val="24"/>
        </w:rPr>
        <w:t>2014. N 4.</w:t>
      </w:r>
    </w:p>
    <w:p w:rsidR="002945CF" w:rsidRDefault="002945CF" w:rsidP="00050962">
      <w:pPr>
        <w:pStyle w:val="a3"/>
        <w:numPr>
          <w:ilvl w:val="0"/>
          <w:numId w:val="7"/>
        </w:numPr>
        <w:spacing w:after="0" w:line="360" w:lineRule="auto"/>
        <w:jc w:val="both"/>
        <w:rPr>
          <w:rFonts w:ascii="Times New Roman" w:hAnsi="Times New Roman" w:cs="Times New Roman"/>
          <w:sz w:val="24"/>
          <w:szCs w:val="24"/>
        </w:rPr>
      </w:pPr>
      <w:r w:rsidRPr="002945CF">
        <w:rPr>
          <w:rFonts w:ascii="Times New Roman" w:hAnsi="Times New Roman" w:cs="Times New Roman"/>
          <w:sz w:val="24"/>
          <w:szCs w:val="24"/>
        </w:rPr>
        <w:t>Ногина О.А. Проблемы применения расчетного метода налоговыми органами при доначислении налога в случае установления необоснованности налоговой выгоды. Вестник Высшего Арбитражного суда Российской Федерации. – 2009. – № 8. С. 27 – 35.</w:t>
      </w:r>
    </w:p>
    <w:p w:rsidR="002B7CE4" w:rsidRPr="002945CF" w:rsidRDefault="002B7CE4" w:rsidP="002B7CE4">
      <w:pPr>
        <w:pStyle w:val="a3"/>
        <w:numPr>
          <w:ilvl w:val="0"/>
          <w:numId w:val="7"/>
        </w:numPr>
        <w:spacing w:after="0" w:line="360" w:lineRule="auto"/>
        <w:jc w:val="both"/>
        <w:rPr>
          <w:rFonts w:ascii="Times New Roman" w:hAnsi="Times New Roman" w:cs="Times New Roman"/>
          <w:sz w:val="24"/>
          <w:szCs w:val="24"/>
        </w:rPr>
      </w:pPr>
      <w:r w:rsidRPr="002B7CE4">
        <w:rPr>
          <w:rFonts w:ascii="Times New Roman" w:hAnsi="Times New Roman" w:cs="Times New Roman"/>
          <w:sz w:val="24"/>
          <w:szCs w:val="24"/>
        </w:rPr>
        <w:t xml:space="preserve">Пашкус В.Ю. Теория трансфертного ценообразования в современной организации: понятия, модели, проблемы / В.Ю. Пашкус. - [Электронный ресурс]: https://www.ippnou.ru/print/000761/ </w:t>
      </w:r>
    </w:p>
    <w:p w:rsidR="00116A41" w:rsidRPr="00116A41" w:rsidRDefault="00116A41" w:rsidP="00116A41">
      <w:pPr>
        <w:pStyle w:val="a3"/>
        <w:numPr>
          <w:ilvl w:val="0"/>
          <w:numId w:val="7"/>
        </w:numPr>
        <w:spacing w:after="0" w:line="360" w:lineRule="auto"/>
        <w:jc w:val="both"/>
        <w:rPr>
          <w:rFonts w:ascii="Times New Roman" w:hAnsi="Times New Roman" w:cs="Times New Roman"/>
          <w:sz w:val="24"/>
          <w:szCs w:val="24"/>
        </w:rPr>
      </w:pPr>
      <w:r w:rsidRPr="00116A41">
        <w:rPr>
          <w:rFonts w:ascii="Times New Roman" w:hAnsi="Times New Roman" w:cs="Times New Roman"/>
          <w:sz w:val="24"/>
          <w:szCs w:val="24"/>
        </w:rPr>
        <w:t>Плетнева Г. Налоговый контроль трансфертного ценообразования</w:t>
      </w:r>
      <w:r>
        <w:rPr>
          <w:rFonts w:ascii="Times New Roman" w:hAnsi="Times New Roman" w:cs="Times New Roman"/>
          <w:sz w:val="24"/>
          <w:szCs w:val="24"/>
        </w:rPr>
        <w:t xml:space="preserve"> требует ясности</w:t>
      </w:r>
      <w:r w:rsidRPr="00116A41">
        <w:rPr>
          <w:rFonts w:ascii="Times New Roman" w:hAnsi="Times New Roman" w:cs="Times New Roman"/>
          <w:sz w:val="24"/>
          <w:szCs w:val="24"/>
        </w:rPr>
        <w:t>// ЭЖ-Юрист. – 2014. – № 15 [Электронный ресурс] // Доступ из</w:t>
      </w:r>
      <w:r>
        <w:rPr>
          <w:rFonts w:ascii="Times New Roman" w:hAnsi="Times New Roman" w:cs="Times New Roman"/>
          <w:sz w:val="24"/>
          <w:szCs w:val="24"/>
        </w:rPr>
        <w:t xml:space="preserve"> </w:t>
      </w:r>
      <w:r w:rsidRPr="00116A41">
        <w:rPr>
          <w:rFonts w:ascii="Times New Roman" w:hAnsi="Times New Roman" w:cs="Times New Roman"/>
          <w:sz w:val="24"/>
          <w:szCs w:val="24"/>
        </w:rPr>
        <w:t>справ.-правовой системы «КонсультантП</w:t>
      </w:r>
      <w:r>
        <w:rPr>
          <w:rFonts w:ascii="Times New Roman" w:hAnsi="Times New Roman" w:cs="Times New Roman"/>
          <w:sz w:val="24"/>
          <w:szCs w:val="24"/>
        </w:rPr>
        <w:t>люс» (дата обращения: 28.01.2018)</w:t>
      </w:r>
    </w:p>
    <w:p w:rsidR="00050962" w:rsidRDefault="00050962" w:rsidP="00050962">
      <w:pPr>
        <w:pStyle w:val="a3"/>
        <w:numPr>
          <w:ilvl w:val="0"/>
          <w:numId w:val="7"/>
        </w:numPr>
        <w:spacing w:after="0" w:line="360" w:lineRule="auto"/>
        <w:jc w:val="both"/>
        <w:rPr>
          <w:rFonts w:ascii="Times New Roman" w:hAnsi="Times New Roman" w:cs="Times New Roman"/>
          <w:sz w:val="24"/>
          <w:szCs w:val="24"/>
        </w:rPr>
      </w:pPr>
      <w:r w:rsidRPr="00050962">
        <w:rPr>
          <w:rFonts w:ascii="Times New Roman" w:hAnsi="Times New Roman" w:cs="Times New Roman"/>
          <w:sz w:val="24"/>
          <w:szCs w:val="24"/>
        </w:rPr>
        <w:t>Плещинский A.C. Динамическая эффективность механизма трансфертных цен // Экономика и математические методы. — 2001. №4. — С. 12-32.</w:t>
      </w:r>
    </w:p>
    <w:p w:rsidR="00E003AD" w:rsidRPr="00E003AD" w:rsidRDefault="00E003AD" w:rsidP="00E003AD">
      <w:pPr>
        <w:pStyle w:val="a3"/>
        <w:numPr>
          <w:ilvl w:val="0"/>
          <w:numId w:val="7"/>
        </w:numPr>
        <w:spacing w:after="0" w:line="360" w:lineRule="auto"/>
        <w:jc w:val="both"/>
        <w:rPr>
          <w:rFonts w:ascii="Times New Roman" w:hAnsi="Times New Roman" w:cs="Times New Roman"/>
          <w:sz w:val="24"/>
          <w:szCs w:val="24"/>
        </w:rPr>
      </w:pPr>
      <w:r w:rsidRPr="00E003AD">
        <w:rPr>
          <w:rFonts w:ascii="Times New Roman" w:hAnsi="Times New Roman" w:cs="Times New Roman"/>
          <w:sz w:val="24"/>
          <w:szCs w:val="24"/>
        </w:rPr>
        <w:t>Саркисьян Г.И. Применение НК РФ и документов ОЭСР к налогообложению внутригрупповых услуг и</w:t>
      </w:r>
      <w:r>
        <w:rPr>
          <w:rFonts w:ascii="Times New Roman" w:hAnsi="Times New Roman" w:cs="Times New Roman"/>
          <w:sz w:val="24"/>
          <w:szCs w:val="24"/>
        </w:rPr>
        <w:t xml:space="preserve"> </w:t>
      </w:r>
      <w:r w:rsidRPr="00E003AD">
        <w:rPr>
          <w:rFonts w:ascii="Times New Roman" w:hAnsi="Times New Roman" w:cs="Times New Roman"/>
          <w:sz w:val="24"/>
          <w:szCs w:val="24"/>
        </w:rPr>
        <w:t>соглашениям о распределении расходов // Налоговед. 2014. N 4.</w:t>
      </w:r>
    </w:p>
    <w:p w:rsidR="002436A2" w:rsidRDefault="002436A2"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Ситникова Е. Контролируемые сделки: что нужно учесть</w:t>
      </w:r>
      <w:r>
        <w:rPr>
          <w:rFonts w:ascii="Times New Roman" w:hAnsi="Times New Roman" w:cs="Times New Roman"/>
          <w:sz w:val="24"/>
          <w:szCs w:val="24"/>
        </w:rPr>
        <w:t xml:space="preserve"> </w:t>
      </w:r>
      <w:r w:rsidRPr="002436A2">
        <w:rPr>
          <w:rFonts w:ascii="Times New Roman" w:hAnsi="Times New Roman" w:cs="Times New Roman"/>
          <w:sz w:val="24"/>
          <w:szCs w:val="24"/>
        </w:rPr>
        <w:t>налогоплательщику // Бухгалтерия и банки, 2014, №12, с. 12-23.</w:t>
      </w:r>
    </w:p>
    <w:p w:rsidR="00E003AD" w:rsidRDefault="00E003AD" w:rsidP="00E003AD">
      <w:pPr>
        <w:pStyle w:val="a3"/>
        <w:numPr>
          <w:ilvl w:val="0"/>
          <w:numId w:val="7"/>
        </w:numPr>
        <w:spacing w:after="0" w:line="360" w:lineRule="auto"/>
        <w:jc w:val="both"/>
        <w:rPr>
          <w:rFonts w:ascii="Times New Roman" w:hAnsi="Times New Roman" w:cs="Times New Roman"/>
          <w:sz w:val="24"/>
          <w:szCs w:val="24"/>
        </w:rPr>
      </w:pPr>
      <w:r w:rsidRPr="00E003AD">
        <w:rPr>
          <w:rFonts w:ascii="Times New Roman" w:hAnsi="Times New Roman" w:cs="Times New Roman"/>
          <w:sz w:val="24"/>
          <w:szCs w:val="24"/>
        </w:rPr>
        <w:t>Тимоничев Г.Н. Что такое сопоставимая организация и как ее найти? // Налоговед. 2014. N 3</w:t>
      </w:r>
    </w:p>
    <w:p w:rsidR="00E003AD" w:rsidRDefault="00E003AD" w:rsidP="00E003AD">
      <w:pPr>
        <w:pStyle w:val="a3"/>
        <w:numPr>
          <w:ilvl w:val="0"/>
          <w:numId w:val="7"/>
        </w:numPr>
        <w:spacing w:after="0" w:line="360" w:lineRule="auto"/>
        <w:jc w:val="both"/>
        <w:rPr>
          <w:rFonts w:ascii="Times New Roman" w:hAnsi="Times New Roman" w:cs="Times New Roman"/>
          <w:sz w:val="24"/>
          <w:szCs w:val="24"/>
        </w:rPr>
      </w:pPr>
      <w:r w:rsidRPr="00E003AD">
        <w:rPr>
          <w:rFonts w:ascii="Times New Roman" w:hAnsi="Times New Roman" w:cs="Times New Roman"/>
          <w:sz w:val="24"/>
          <w:szCs w:val="24"/>
        </w:rPr>
        <w:t>Тютюрюков Н.Н., Тютюрюков В.Н. Казахстан - налоговая лаборатория ЕврАзЭС // Налоги и налогообложение.</w:t>
      </w:r>
      <w:r>
        <w:rPr>
          <w:rFonts w:ascii="Times New Roman" w:hAnsi="Times New Roman" w:cs="Times New Roman"/>
          <w:sz w:val="24"/>
          <w:szCs w:val="24"/>
        </w:rPr>
        <w:t xml:space="preserve"> </w:t>
      </w:r>
      <w:r w:rsidRPr="00E003AD">
        <w:rPr>
          <w:rFonts w:ascii="Times New Roman" w:hAnsi="Times New Roman" w:cs="Times New Roman"/>
          <w:sz w:val="24"/>
          <w:szCs w:val="24"/>
        </w:rPr>
        <w:t>2010. N 1.</w:t>
      </w:r>
    </w:p>
    <w:p w:rsidR="00E003AD" w:rsidRDefault="00E003AD" w:rsidP="00E003AD">
      <w:pPr>
        <w:pStyle w:val="a3"/>
        <w:numPr>
          <w:ilvl w:val="0"/>
          <w:numId w:val="7"/>
        </w:numPr>
        <w:spacing w:after="0" w:line="360" w:lineRule="auto"/>
        <w:jc w:val="both"/>
        <w:rPr>
          <w:rFonts w:ascii="Times New Roman" w:hAnsi="Times New Roman" w:cs="Times New Roman"/>
          <w:sz w:val="24"/>
          <w:szCs w:val="24"/>
        </w:rPr>
      </w:pPr>
      <w:r w:rsidRPr="00E003AD">
        <w:rPr>
          <w:rFonts w:ascii="Times New Roman" w:hAnsi="Times New Roman" w:cs="Times New Roman"/>
          <w:sz w:val="24"/>
          <w:szCs w:val="24"/>
        </w:rPr>
        <w:t>Тютюрюков Н.Н., Тютюрюков В.Н., Тернопольская Г.Б. Налоговая политика в странах ЕЭП. Программы и проекты</w:t>
      </w:r>
      <w:r>
        <w:rPr>
          <w:rFonts w:ascii="Times New Roman" w:hAnsi="Times New Roman" w:cs="Times New Roman"/>
          <w:sz w:val="24"/>
          <w:szCs w:val="24"/>
        </w:rPr>
        <w:t xml:space="preserve"> </w:t>
      </w:r>
      <w:r w:rsidRPr="00E003AD">
        <w:rPr>
          <w:rFonts w:ascii="Times New Roman" w:hAnsi="Times New Roman" w:cs="Times New Roman"/>
          <w:sz w:val="24"/>
          <w:szCs w:val="24"/>
        </w:rPr>
        <w:t>// Финансы. 2013. N 8</w:t>
      </w:r>
      <w:r w:rsidR="007D5216">
        <w:rPr>
          <w:rFonts w:ascii="Times New Roman" w:hAnsi="Times New Roman" w:cs="Times New Roman"/>
          <w:sz w:val="24"/>
          <w:szCs w:val="24"/>
        </w:rPr>
        <w:t>.</w:t>
      </w:r>
    </w:p>
    <w:p w:rsidR="007D5216" w:rsidRPr="007D5216" w:rsidRDefault="007D5216" w:rsidP="00E003AD">
      <w:pPr>
        <w:pStyle w:val="a3"/>
        <w:numPr>
          <w:ilvl w:val="0"/>
          <w:numId w:val="7"/>
        </w:numPr>
        <w:spacing w:after="0" w:line="360" w:lineRule="auto"/>
        <w:jc w:val="both"/>
        <w:rPr>
          <w:rFonts w:ascii="Times New Roman" w:hAnsi="Times New Roman" w:cs="Times New Roman"/>
          <w:sz w:val="24"/>
          <w:szCs w:val="24"/>
        </w:rPr>
      </w:pPr>
      <w:r w:rsidRPr="007D5216">
        <w:rPr>
          <w:rFonts w:ascii="Times New Roman" w:hAnsi="Times New Roman" w:cs="Times New Roman"/>
          <w:sz w:val="24"/>
          <w:szCs w:val="24"/>
        </w:rPr>
        <w:t>Хаванова И.А. К дискуссии о правовой природе Официального комментария к Модельной налоговой конвенции ОЭСР // Финансовое право. 2016. – № 5. – С. 43 – 46 [Электронный ресурс] // Доступ из справ.-правовой системы «КонсультантПлюс» (дата обращения: 30.12.2017).</w:t>
      </w:r>
    </w:p>
    <w:p w:rsidR="00116A41" w:rsidRPr="00116A41" w:rsidRDefault="00116A41" w:rsidP="00116A41">
      <w:pPr>
        <w:pStyle w:val="a3"/>
        <w:numPr>
          <w:ilvl w:val="0"/>
          <w:numId w:val="7"/>
        </w:numPr>
        <w:spacing w:after="0" w:line="360" w:lineRule="auto"/>
        <w:jc w:val="both"/>
        <w:rPr>
          <w:rFonts w:ascii="Times New Roman" w:hAnsi="Times New Roman" w:cs="Times New Roman"/>
          <w:sz w:val="24"/>
          <w:szCs w:val="24"/>
        </w:rPr>
      </w:pPr>
      <w:r w:rsidRPr="00116A41">
        <w:rPr>
          <w:rFonts w:ascii="Times New Roman" w:hAnsi="Times New Roman" w:cs="Times New Roman"/>
          <w:sz w:val="24"/>
          <w:szCs w:val="24"/>
        </w:rPr>
        <w:t>Цветков И. В. Правовые позиции Конституционного суда РФ о</w:t>
      </w:r>
      <w:r>
        <w:rPr>
          <w:rFonts w:ascii="Times New Roman" w:hAnsi="Times New Roman" w:cs="Times New Roman"/>
          <w:sz w:val="24"/>
          <w:szCs w:val="24"/>
        </w:rPr>
        <w:t xml:space="preserve"> </w:t>
      </w:r>
      <w:r w:rsidRPr="00116A41">
        <w:rPr>
          <w:rFonts w:ascii="Times New Roman" w:hAnsi="Times New Roman" w:cs="Times New Roman"/>
          <w:sz w:val="24"/>
          <w:szCs w:val="24"/>
        </w:rPr>
        <w:t>налоговом контроле цен // Налоговое право в решениях Конституционного Суда</w:t>
      </w:r>
      <w:r>
        <w:rPr>
          <w:rFonts w:ascii="Times New Roman" w:hAnsi="Times New Roman" w:cs="Times New Roman"/>
          <w:sz w:val="24"/>
          <w:szCs w:val="24"/>
        </w:rPr>
        <w:t xml:space="preserve"> </w:t>
      </w:r>
      <w:r w:rsidRPr="00116A41">
        <w:rPr>
          <w:rFonts w:ascii="Times New Roman" w:hAnsi="Times New Roman" w:cs="Times New Roman"/>
          <w:sz w:val="24"/>
          <w:szCs w:val="24"/>
        </w:rPr>
        <w:t>Российской Федерации 2014 года: По материалам XII Международной научно-практической конференции 17 - 18 апреля 2015 г., Москва. – М., 2016. – С. 144 –</w:t>
      </w:r>
      <w:r>
        <w:rPr>
          <w:rFonts w:ascii="Times New Roman" w:hAnsi="Times New Roman" w:cs="Times New Roman"/>
          <w:sz w:val="24"/>
          <w:szCs w:val="24"/>
        </w:rPr>
        <w:t>148.</w:t>
      </w:r>
    </w:p>
    <w:p w:rsidR="008F32E0" w:rsidRDefault="008F32E0"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rPr>
        <w:t>Щелкин С, Вальковская Н. Законодательство о трансфертном ценообразовании: исследование ситуации с развитием практики соблюдения компаниями нефтегазового сектора новых требований Налогового кодекса 78 РФ в части контроля уровня цен [Электронный ресурс] // URL: http://www.kpmg.com/RU/ru/IssuesAndInsights/ArticlesPubl</w:t>
      </w:r>
      <w:r w:rsidR="007D5216">
        <w:rPr>
          <w:rFonts w:ascii="Times New Roman" w:hAnsi="Times New Roman" w:cs="Times New Roman"/>
          <w:sz w:val="24"/>
          <w:szCs w:val="24"/>
        </w:rPr>
        <w:t>ications/Documents/ S_TP_r.pdf.</w:t>
      </w:r>
    </w:p>
    <w:p w:rsidR="007D5216" w:rsidRPr="007D5216" w:rsidRDefault="007D5216" w:rsidP="005119C3">
      <w:pPr>
        <w:pStyle w:val="a3"/>
        <w:numPr>
          <w:ilvl w:val="0"/>
          <w:numId w:val="7"/>
        </w:numPr>
        <w:spacing w:after="0" w:line="360" w:lineRule="auto"/>
        <w:jc w:val="both"/>
        <w:rPr>
          <w:rFonts w:ascii="Times New Roman" w:hAnsi="Times New Roman" w:cs="Times New Roman"/>
          <w:sz w:val="24"/>
          <w:szCs w:val="24"/>
        </w:rPr>
      </w:pPr>
      <w:r w:rsidRPr="007D5216">
        <w:rPr>
          <w:rFonts w:ascii="Times New Roman" w:hAnsi="Times New Roman" w:cs="Times New Roman"/>
          <w:sz w:val="24"/>
          <w:szCs w:val="24"/>
        </w:rPr>
        <w:t>Юзвак М.В. Контроль за ценами в неконтролируемых сделках, В.Г. Акимова. Контроль за ценами в неконтролируемых сделках [Электронный ресурс] // Сайт Журнала «Налоговед». Режим обращения: http://nalogoved.ru/art/1643 (дата обращения: 18.01.2018)</w:t>
      </w:r>
    </w:p>
    <w:p w:rsidR="00050962" w:rsidRDefault="00050962" w:rsidP="00050962">
      <w:pPr>
        <w:pStyle w:val="a3"/>
        <w:numPr>
          <w:ilvl w:val="0"/>
          <w:numId w:val="7"/>
        </w:numPr>
        <w:spacing w:after="0" w:line="360" w:lineRule="auto"/>
        <w:jc w:val="both"/>
        <w:rPr>
          <w:rFonts w:ascii="Times New Roman" w:hAnsi="Times New Roman" w:cs="Times New Roman"/>
          <w:sz w:val="24"/>
          <w:szCs w:val="24"/>
          <w:lang w:val="en-US"/>
        </w:rPr>
      </w:pPr>
      <w:r w:rsidRPr="00050962">
        <w:rPr>
          <w:rFonts w:ascii="Times New Roman" w:hAnsi="Times New Roman" w:cs="Times New Roman"/>
          <w:sz w:val="24"/>
          <w:szCs w:val="24"/>
          <w:lang w:val="en-US"/>
        </w:rPr>
        <w:t>Analysis and Comparison of National Systems and OECD Guidelines. Transfer Pricing Database. International</w:t>
      </w:r>
      <w:r w:rsidRPr="00116A41">
        <w:rPr>
          <w:rFonts w:ascii="Times New Roman" w:hAnsi="Times New Roman" w:cs="Times New Roman"/>
          <w:sz w:val="24"/>
          <w:szCs w:val="24"/>
          <w:lang w:val="en-US"/>
        </w:rPr>
        <w:t xml:space="preserve"> </w:t>
      </w:r>
      <w:r w:rsidRPr="00050962">
        <w:rPr>
          <w:rFonts w:ascii="Times New Roman" w:hAnsi="Times New Roman" w:cs="Times New Roman"/>
          <w:sz w:val="24"/>
          <w:szCs w:val="24"/>
          <w:lang w:val="en-US"/>
        </w:rPr>
        <w:t xml:space="preserve">Organizations. OECD // </w:t>
      </w:r>
      <w:hyperlink r:id="rId19" w:history="1">
        <w:r w:rsidR="00116A41" w:rsidRPr="00DF2CF9">
          <w:rPr>
            <w:rStyle w:val="a8"/>
            <w:rFonts w:ascii="Times New Roman" w:hAnsi="Times New Roman" w:cs="Times New Roman"/>
            <w:sz w:val="24"/>
            <w:szCs w:val="24"/>
            <w:lang w:val="en-US"/>
          </w:rPr>
          <w:t>http://www.oecd.org/home/0,2987,en264920118511111,00.html</w:t>
        </w:r>
      </w:hyperlink>
      <w:r w:rsidRPr="00050962">
        <w:rPr>
          <w:rFonts w:ascii="Times New Roman" w:hAnsi="Times New Roman" w:cs="Times New Roman"/>
          <w:sz w:val="24"/>
          <w:szCs w:val="24"/>
          <w:lang w:val="en-US"/>
        </w:rPr>
        <w:t>.</w:t>
      </w:r>
    </w:p>
    <w:p w:rsidR="00116A41" w:rsidRPr="00116A41" w:rsidRDefault="00116A41" w:rsidP="00050962">
      <w:pPr>
        <w:pStyle w:val="a3"/>
        <w:numPr>
          <w:ilvl w:val="0"/>
          <w:numId w:val="7"/>
        </w:numPr>
        <w:spacing w:after="0" w:line="360" w:lineRule="auto"/>
        <w:jc w:val="both"/>
        <w:rPr>
          <w:rFonts w:ascii="Times New Roman" w:hAnsi="Times New Roman" w:cs="Times New Roman"/>
          <w:sz w:val="24"/>
          <w:szCs w:val="24"/>
        </w:rPr>
      </w:pPr>
      <w:r w:rsidRPr="00116A41">
        <w:rPr>
          <w:rFonts w:ascii="Times New Roman" w:hAnsi="Times New Roman" w:cs="Times New Roman"/>
          <w:sz w:val="24"/>
          <w:szCs w:val="24"/>
          <w:lang w:val="en-US"/>
        </w:rPr>
        <w:t>Avi-Yonah R.S., Clausing K.A., Durst M.C. Allocating business profits for tax purposes: A proposal to adopt a formulary profit split. – 2009. – 58 p. [</w:t>
      </w:r>
      <w:r w:rsidRPr="00116A41">
        <w:rPr>
          <w:rFonts w:ascii="Times New Roman" w:hAnsi="Times New Roman" w:cs="Times New Roman"/>
          <w:sz w:val="24"/>
          <w:szCs w:val="24"/>
        </w:rPr>
        <w:t>Электронный</w:t>
      </w:r>
      <w:r w:rsidRPr="00116A41">
        <w:rPr>
          <w:rFonts w:ascii="Times New Roman" w:hAnsi="Times New Roman" w:cs="Times New Roman"/>
          <w:sz w:val="24"/>
          <w:szCs w:val="24"/>
          <w:lang w:val="en-US"/>
        </w:rPr>
        <w:t xml:space="preserve"> </w:t>
      </w:r>
      <w:r w:rsidRPr="00116A41">
        <w:rPr>
          <w:rFonts w:ascii="Times New Roman" w:hAnsi="Times New Roman" w:cs="Times New Roman"/>
          <w:sz w:val="24"/>
          <w:szCs w:val="24"/>
        </w:rPr>
        <w:t>ресурс</w:t>
      </w:r>
      <w:r w:rsidRPr="00116A41">
        <w:rPr>
          <w:rFonts w:ascii="Times New Roman" w:hAnsi="Times New Roman" w:cs="Times New Roman"/>
          <w:sz w:val="24"/>
          <w:szCs w:val="24"/>
          <w:lang w:val="en-US"/>
        </w:rPr>
        <w:t xml:space="preserve">] // </w:t>
      </w:r>
      <w:r w:rsidRPr="00116A41">
        <w:rPr>
          <w:rFonts w:ascii="Times New Roman" w:hAnsi="Times New Roman" w:cs="Times New Roman"/>
          <w:sz w:val="24"/>
          <w:szCs w:val="24"/>
        </w:rPr>
        <w:t>Сайт</w:t>
      </w:r>
      <w:r w:rsidRPr="00116A41">
        <w:rPr>
          <w:rFonts w:ascii="Times New Roman" w:hAnsi="Times New Roman" w:cs="Times New Roman"/>
          <w:sz w:val="24"/>
          <w:szCs w:val="24"/>
          <w:lang w:val="en-US"/>
        </w:rPr>
        <w:t xml:space="preserve"> The University of Michigan Law School Scholarship Repository. </w:t>
      </w:r>
      <w:r w:rsidRPr="00116A41">
        <w:rPr>
          <w:rFonts w:ascii="Times New Roman" w:hAnsi="Times New Roman" w:cs="Times New Roman"/>
          <w:sz w:val="24"/>
          <w:szCs w:val="24"/>
        </w:rPr>
        <w:t>Режим обращения: http://repository.law.umich.edu/cgi/viewcontent.cgi?article=1773&amp;con</w:t>
      </w:r>
      <w:r>
        <w:rPr>
          <w:rFonts w:ascii="Times New Roman" w:hAnsi="Times New Roman" w:cs="Times New Roman"/>
          <w:sz w:val="24"/>
          <w:szCs w:val="24"/>
        </w:rPr>
        <w:t>text=articles (дата обращения 15.02.2018</w:t>
      </w:r>
      <w:r w:rsidRPr="00116A41">
        <w:rPr>
          <w:rFonts w:ascii="Times New Roman" w:hAnsi="Times New Roman" w:cs="Times New Roman"/>
          <w:sz w:val="24"/>
          <w:szCs w:val="24"/>
        </w:rPr>
        <w:t>)</w:t>
      </w:r>
    </w:p>
    <w:p w:rsidR="001E54EA" w:rsidRPr="002436A2" w:rsidRDefault="001E54EA"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lang w:val="en-US"/>
        </w:rPr>
        <w:t xml:space="preserve">Bailey A. W. Boe, Goal and Resource Transfers in the Multigoal Organization //The accounting Review. </w:t>
      </w:r>
      <w:r w:rsidRPr="002436A2">
        <w:rPr>
          <w:rFonts w:ascii="Times New Roman" w:hAnsi="Times New Roman" w:cs="Times New Roman"/>
          <w:sz w:val="24"/>
          <w:szCs w:val="24"/>
        </w:rPr>
        <w:t>July, 1976. - P. 540-563</w:t>
      </w:r>
      <w:r w:rsidR="00AF6C32" w:rsidRPr="002436A2">
        <w:rPr>
          <w:rFonts w:ascii="Times New Roman" w:hAnsi="Times New Roman" w:cs="Times New Roman"/>
          <w:sz w:val="24"/>
          <w:szCs w:val="24"/>
        </w:rPr>
        <w:t>.</w:t>
      </w:r>
    </w:p>
    <w:p w:rsidR="00AF6C32" w:rsidRDefault="00AF6C32" w:rsidP="005119C3">
      <w:pPr>
        <w:pStyle w:val="a3"/>
        <w:numPr>
          <w:ilvl w:val="0"/>
          <w:numId w:val="7"/>
        </w:numPr>
        <w:spacing w:after="0" w:line="360" w:lineRule="auto"/>
        <w:jc w:val="both"/>
        <w:rPr>
          <w:rFonts w:ascii="Times New Roman" w:hAnsi="Times New Roman" w:cs="Times New Roman"/>
          <w:sz w:val="24"/>
          <w:szCs w:val="24"/>
          <w:lang w:val="en-US"/>
        </w:rPr>
      </w:pPr>
      <w:r w:rsidRPr="002436A2">
        <w:rPr>
          <w:rFonts w:ascii="Times New Roman" w:hAnsi="Times New Roman" w:cs="Times New Roman"/>
          <w:sz w:val="24"/>
          <w:szCs w:val="24"/>
          <w:lang w:val="en-US"/>
        </w:rPr>
        <w:t>Borkowski S.C. Environmental and organizational factors affecting transfer pricing: A Survey // JMAR. 1990. - Vol. 2. - P. 60-97.</w:t>
      </w:r>
    </w:p>
    <w:p w:rsidR="00116A41" w:rsidRPr="002945CF" w:rsidRDefault="00116A41" w:rsidP="005119C3">
      <w:pPr>
        <w:pStyle w:val="a3"/>
        <w:numPr>
          <w:ilvl w:val="0"/>
          <w:numId w:val="7"/>
        </w:numPr>
        <w:spacing w:after="0" w:line="360" w:lineRule="auto"/>
        <w:jc w:val="both"/>
        <w:rPr>
          <w:rFonts w:ascii="Times New Roman" w:hAnsi="Times New Roman" w:cs="Times New Roman"/>
          <w:sz w:val="24"/>
          <w:szCs w:val="24"/>
          <w:lang w:val="en-US"/>
        </w:rPr>
      </w:pPr>
      <w:r w:rsidRPr="00116A41">
        <w:rPr>
          <w:rFonts w:ascii="Times New Roman" w:hAnsi="Times New Roman" w:cs="Times New Roman"/>
          <w:sz w:val="24"/>
          <w:szCs w:val="24"/>
          <w:lang w:val="en-US"/>
        </w:rPr>
        <w:t xml:space="preserve">Broeker T. International transfer pricing in business, economics and teaching. Inaugural lecture held at the position of professor in quantative economics at the University of Maastricht on Friday 21 November, 1997 // Introduction to Transfer Pricing. </w:t>
      </w:r>
      <w:r w:rsidRPr="00116A41">
        <w:rPr>
          <w:rFonts w:ascii="Times New Roman" w:hAnsi="Times New Roman" w:cs="Times New Roman"/>
          <w:sz w:val="24"/>
          <w:szCs w:val="24"/>
        </w:rPr>
        <w:t>Leiden, International Tax Center Leiden. – 2010. – P. 44 – 62.</w:t>
      </w:r>
    </w:p>
    <w:p w:rsidR="002945CF" w:rsidRPr="002945CF" w:rsidRDefault="002945CF" w:rsidP="005119C3">
      <w:pPr>
        <w:pStyle w:val="a3"/>
        <w:numPr>
          <w:ilvl w:val="0"/>
          <w:numId w:val="7"/>
        </w:numPr>
        <w:spacing w:after="0" w:line="360" w:lineRule="auto"/>
        <w:jc w:val="both"/>
        <w:rPr>
          <w:rFonts w:ascii="Times New Roman" w:hAnsi="Times New Roman" w:cs="Times New Roman"/>
          <w:sz w:val="24"/>
          <w:szCs w:val="24"/>
        </w:rPr>
      </w:pPr>
      <w:r w:rsidRPr="002945CF">
        <w:rPr>
          <w:rFonts w:ascii="Times New Roman" w:hAnsi="Times New Roman" w:cs="Times New Roman"/>
          <w:sz w:val="24"/>
          <w:szCs w:val="24"/>
          <w:lang w:val="en-US"/>
        </w:rPr>
        <w:t>Clausing K.A., Avi-Yonah R.S. Reforming Corporate Taxation in a Global Economy: A Proposal to Adopt Formulary Appo</w:t>
      </w:r>
      <w:r>
        <w:rPr>
          <w:rFonts w:ascii="Times New Roman" w:hAnsi="Times New Roman" w:cs="Times New Roman"/>
          <w:sz w:val="24"/>
          <w:szCs w:val="24"/>
          <w:lang w:val="en-US"/>
        </w:rPr>
        <w:t>rtionment. – 2007. – 29</w:t>
      </w:r>
      <w:r w:rsidRPr="002945CF">
        <w:rPr>
          <w:rFonts w:ascii="Times New Roman" w:hAnsi="Times New Roman" w:cs="Times New Roman"/>
          <w:sz w:val="24"/>
          <w:szCs w:val="24"/>
          <w:lang w:val="en-US"/>
        </w:rPr>
        <w:t xml:space="preserve"> p. [</w:t>
      </w:r>
      <w:r w:rsidRPr="002945CF">
        <w:rPr>
          <w:rFonts w:ascii="Times New Roman" w:hAnsi="Times New Roman" w:cs="Times New Roman"/>
          <w:sz w:val="24"/>
          <w:szCs w:val="24"/>
        </w:rPr>
        <w:t>Электронный</w:t>
      </w:r>
      <w:r w:rsidRPr="002945CF">
        <w:rPr>
          <w:rFonts w:ascii="Times New Roman" w:hAnsi="Times New Roman" w:cs="Times New Roman"/>
          <w:sz w:val="24"/>
          <w:szCs w:val="24"/>
          <w:lang w:val="en-US"/>
        </w:rPr>
        <w:t xml:space="preserve"> </w:t>
      </w:r>
      <w:r w:rsidRPr="002945CF">
        <w:rPr>
          <w:rFonts w:ascii="Times New Roman" w:hAnsi="Times New Roman" w:cs="Times New Roman"/>
          <w:sz w:val="24"/>
          <w:szCs w:val="24"/>
        </w:rPr>
        <w:t>ресурс</w:t>
      </w:r>
      <w:r w:rsidRPr="002945CF">
        <w:rPr>
          <w:rFonts w:ascii="Times New Roman" w:hAnsi="Times New Roman" w:cs="Times New Roman"/>
          <w:sz w:val="24"/>
          <w:szCs w:val="24"/>
          <w:lang w:val="en-US"/>
        </w:rPr>
        <w:t xml:space="preserve">] // </w:t>
      </w:r>
      <w:r w:rsidRPr="002945CF">
        <w:rPr>
          <w:rFonts w:ascii="Times New Roman" w:hAnsi="Times New Roman" w:cs="Times New Roman"/>
          <w:sz w:val="24"/>
          <w:szCs w:val="24"/>
        </w:rPr>
        <w:t>Сайт</w:t>
      </w:r>
      <w:r w:rsidRPr="002945CF">
        <w:rPr>
          <w:rFonts w:ascii="Times New Roman" w:hAnsi="Times New Roman" w:cs="Times New Roman"/>
          <w:sz w:val="24"/>
          <w:szCs w:val="24"/>
          <w:lang w:val="en-US"/>
        </w:rPr>
        <w:t xml:space="preserve"> The Bookings Institution. </w:t>
      </w:r>
      <w:r w:rsidRPr="002945CF">
        <w:rPr>
          <w:rFonts w:ascii="Times New Roman" w:hAnsi="Times New Roman" w:cs="Times New Roman"/>
          <w:sz w:val="24"/>
          <w:szCs w:val="24"/>
        </w:rPr>
        <w:t>Режим обращения: https://www.brookings.edu/wp-content/uploads/2016/06/200706clausing_avi</w:t>
      </w:r>
      <w:r>
        <w:rPr>
          <w:rFonts w:ascii="Times New Roman" w:hAnsi="Times New Roman" w:cs="Times New Roman"/>
          <w:sz w:val="24"/>
          <w:szCs w:val="24"/>
        </w:rPr>
        <w:t>yonah.pdf (дата обращения: 29.02.2018).</w:t>
      </w:r>
    </w:p>
    <w:p w:rsidR="00116A41" w:rsidRDefault="00116A41" w:rsidP="00116A41">
      <w:pPr>
        <w:pStyle w:val="a3"/>
        <w:numPr>
          <w:ilvl w:val="0"/>
          <w:numId w:val="7"/>
        </w:numPr>
        <w:spacing w:after="0" w:line="360" w:lineRule="auto"/>
        <w:jc w:val="both"/>
        <w:rPr>
          <w:rFonts w:ascii="Times New Roman" w:hAnsi="Times New Roman" w:cs="Times New Roman"/>
          <w:sz w:val="24"/>
          <w:szCs w:val="24"/>
        </w:rPr>
      </w:pPr>
      <w:r w:rsidRPr="00116A41">
        <w:rPr>
          <w:rFonts w:ascii="Times New Roman" w:hAnsi="Times New Roman" w:cs="Times New Roman"/>
          <w:sz w:val="24"/>
          <w:szCs w:val="24"/>
          <w:lang w:val="en-US"/>
        </w:rPr>
        <w:t xml:space="preserve">Eden L. The arm's length standard: making it work in a 21st century world of multinationals and nation states. – P. 153–172. </w:t>
      </w:r>
      <w:r w:rsidRPr="00116A41">
        <w:rPr>
          <w:rFonts w:ascii="Times New Roman" w:hAnsi="Times New Roman" w:cs="Times New Roman"/>
          <w:sz w:val="24"/>
          <w:szCs w:val="24"/>
        </w:rPr>
        <w:t xml:space="preserve">[Электронный ресурс] // Сайт </w:t>
      </w:r>
      <w:r w:rsidRPr="00116A41">
        <w:rPr>
          <w:rFonts w:ascii="Times New Roman" w:hAnsi="Times New Roman" w:cs="Times New Roman"/>
          <w:sz w:val="24"/>
          <w:szCs w:val="24"/>
          <w:lang w:val="en-US"/>
        </w:rPr>
        <w:t>Wong</w:t>
      </w:r>
      <w:r>
        <w:rPr>
          <w:rFonts w:ascii="Times New Roman" w:hAnsi="Times New Roman" w:cs="Times New Roman"/>
          <w:sz w:val="24"/>
          <w:szCs w:val="24"/>
        </w:rPr>
        <w:t xml:space="preserve"> </w:t>
      </w:r>
      <w:r w:rsidRPr="00116A41">
        <w:rPr>
          <w:rFonts w:ascii="Times New Roman" w:hAnsi="Times New Roman" w:cs="Times New Roman"/>
          <w:sz w:val="24"/>
          <w:szCs w:val="24"/>
          <w:lang w:val="en-US"/>
        </w:rPr>
        <w:t>MNC</w:t>
      </w:r>
      <w:r w:rsidRPr="00116A41">
        <w:rPr>
          <w:rFonts w:ascii="Times New Roman" w:hAnsi="Times New Roman" w:cs="Times New Roman"/>
          <w:sz w:val="24"/>
          <w:szCs w:val="24"/>
        </w:rPr>
        <w:t xml:space="preserve"> </w:t>
      </w:r>
      <w:r w:rsidRPr="00116A41">
        <w:rPr>
          <w:rFonts w:ascii="Times New Roman" w:hAnsi="Times New Roman" w:cs="Times New Roman"/>
          <w:sz w:val="24"/>
          <w:szCs w:val="24"/>
          <w:lang w:val="en-US"/>
        </w:rPr>
        <w:t>Center</w:t>
      </w:r>
      <w:r>
        <w:rPr>
          <w:rFonts w:ascii="Times New Roman" w:hAnsi="Times New Roman" w:cs="Times New Roman"/>
          <w:sz w:val="24"/>
          <w:szCs w:val="24"/>
        </w:rPr>
        <w:t xml:space="preserve">. Режим </w:t>
      </w:r>
      <w:r w:rsidRPr="00116A41">
        <w:rPr>
          <w:rFonts w:ascii="Times New Roman" w:hAnsi="Times New Roman" w:cs="Times New Roman"/>
          <w:sz w:val="24"/>
          <w:szCs w:val="24"/>
        </w:rPr>
        <w:t>доступа:</w:t>
      </w:r>
      <w:r>
        <w:rPr>
          <w:rFonts w:ascii="Times New Roman" w:hAnsi="Times New Roman" w:cs="Times New Roman"/>
          <w:sz w:val="24"/>
          <w:szCs w:val="24"/>
        </w:rPr>
        <w:t xml:space="preserve"> </w:t>
      </w:r>
      <w:r w:rsidRPr="00116A41">
        <w:rPr>
          <w:rFonts w:ascii="Times New Roman" w:hAnsi="Times New Roman" w:cs="Times New Roman"/>
          <w:sz w:val="24"/>
          <w:szCs w:val="24"/>
          <w:lang w:val="en-US"/>
        </w:rPr>
        <w:t>http</w:t>
      </w:r>
      <w:r w:rsidRPr="00116A41">
        <w:rPr>
          <w:rFonts w:ascii="Times New Roman" w:hAnsi="Times New Roman" w:cs="Times New Roman"/>
          <w:sz w:val="24"/>
          <w:szCs w:val="24"/>
        </w:rPr>
        <w:t>://</w:t>
      </w:r>
      <w:r w:rsidRPr="00116A41">
        <w:rPr>
          <w:rFonts w:ascii="Times New Roman" w:hAnsi="Times New Roman" w:cs="Times New Roman"/>
          <w:sz w:val="24"/>
          <w:szCs w:val="24"/>
          <w:lang w:val="en-US"/>
        </w:rPr>
        <w:t>mnccenter</w:t>
      </w:r>
      <w:r w:rsidRPr="00116A41">
        <w:rPr>
          <w:rFonts w:ascii="Times New Roman" w:hAnsi="Times New Roman" w:cs="Times New Roman"/>
          <w:sz w:val="24"/>
          <w:szCs w:val="24"/>
        </w:rPr>
        <w:t>.</w:t>
      </w:r>
      <w:r w:rsidRPr="00116A41">
        <w:rPr>
          <w:rFonts w:ascii="Times New Roman" w:hAnsi="Times New Roman" w:cs="Times New Roman"/>
          <w:sz w:val="24"/>
          <w:szCs w:val="24"/>
          <w:lang w:val="en-US"/>
        </w:rPr>
        <w:t>org</w:t>
      </w:r>
      <w:r w:rsidRPr="00116A41">
        <w:rPr>
          <w:rFonts w:ascii="Times New Roman" w:hAnsi="Times New Roman" w:cs="Times New Roman"/>
          <w:sz w:val="24"/>
          <w:szCs w:val="24"/>
        </w:rPr>
        <w:t>/</w:t>
      </w:r>
      <w:r w:rsidRPr="00116A41">
        <w:rPr>
          <w:rFonts w:ascii="Times New Roman" w:hAnsi="Times New Roman" w:cs="Times New Roman"/>
          <w:sz w:val="24"/>
          <w:szCs w:val="24"/>
          <w:lang w:val="en-US"/>
        </w:rPr>
        <w:t>sites</w:t>
      </w:r>
      <w:r w:rsidRPr="00116A41">
        <w:rPr>
          <w:rFonts w:ascii="Times New Roman" w:hAnsi="Times New Roman" w:cs="Times New Roman"/>
          <w:sz w:val="24"/>
          <w:szCs w:val="24"/>
        </w:rPr>
        <w:t>/</w:t>
      </w:r>
      <w:r w:rsidRPr="00116A41">
        <w:rPr>
          <w:rFonts w:ascii="Times New Roman" w:hAnsi="Times New Roman" w:cs="Times New Roman"/>
          <w:sz w:val="24"/>
          <w:szCs w:val="24"/>
          <w:lang w:val="en-US"/>
        </w:rPr>
        <w:t>default</w:t>
      </w:r>
      <w:r w:rsidRPr="00116A41">
        <w:rPr>
          <w:rFonts w:ascii="Times New Roman" w:hAnsi="Times New Roman" w:cs="Times New Roman"/>
          <w:sz w:val="24"/>
          <w:szCs w:val="24"/>
        </w:rPr>
        <w:t>/</w:t>
      </w:r>
      <w:r w:rsidRPr="00116A41">
        <w:rPr>
          <w:rFonts w:ascii="Times New Roman" w:hAnsi="Times New Roman" w:cs="Times New Roman"/>
          <w:sz w:val="24"/>
          <w:szCs w:val="24"/>
          <w:lang w:val="en-US"/>
        </w:rPr>
        <w:t>files</w:t>
      </w:r>
      <w:r w:rsidRPr="00116A41">
        <w:rPr>
          <w:rFonts w:ascii="Times New Roman" w:hAnsi="Times New Roman" w:cs="Times New Roman"/>
          <w:sz w:val="24"/>
          <w:szCs w:val="24"/>
        </w:rPr>
        <w:t>/</w:t>
      </w:r>
      <w:r w:rsidRPr="00116A41">
        <w:rPr>
          <w:rFonts w:ascii="Times New Roman" w:hAnsi="Times New Roman" w:cs="Times New Roman"/>
          <w:sz w:val="24"/>
          <w:szCs w:val="24"/>
          <w:lang w:val="en-US"/>
        </w:rPr>
        <w:t>publication</w:t>
      </w:r>
      <w:r w:rsidRPr="00116A41">
        <w:rPr>
          <w:rFonts w:ascii="Times New Roman" w:hAnsi="Times New Roman" w:cs="Times New Roman"/>
          <w:sz w:val="24"/>
          <w:szCs w:val="24"/>
        </w:rPr>
        <w:t>_</w:t>
      </w:r>
      <w:r w:rsidRPr="00116A41">
        <w:rPr>
          <w:rFonts w:ascii="Times New Roman" w:hAnsi="Times New Roman" w:cs="Times New Roman"/>
          <w:sz w:val="24"/>
          <w:szCs w:val="24"/>
          <w:lang w:val="en-US"/>
        </w:rPr>
        <w:t>files</w:t>
      </w:r>
      <w:r w:rsidRPr="00116A41">
        <w:rPr>
          <w:rFonts w:ascii="Times New Roman" w:hAnsi="Times New Roman" w:cs="Times New Roman"/>
          <w:sz w:val="24"/>
          <w:szCs w:val="24"/>
        </w:rPr>
        <w:t>/</w:t>
      </w:r>
      <w:r w:rsidRPr="00116A41">
        <w:rPr>
          <w:rFonts w:ascii="Times New Roman" w:hAnsi="Times New Roman" w:cs="Times New Roman"/>
          <w:sz w:val="24"/>
          <w:szCs w:val="24"/>
          <w:lang w:val="en-US"/>
        </w:rPr>
        <w:t>The</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Arm</w:t>
      </w:r>
      <w:r w:rsidRPr="00116A41">
        <w:rPr>
          <w:rFonts w:ascii="Times New Roman" w:hAnsi="Times New Roman" w:cs="Times New Roman"/>
          <w:sz w:val="24"/>
          <w:szCs w:val="24"/>
        </w:rPr>
        <w:t>'</w:t>
      </w:r>
      <w:r w:rsidRPr="00116A41">
        <w:rPr>
          <w:rFonts w:ascii="Times New Roman" w:hAnsi="Times New Roman" w:cs="Times New Roman"/>
          <w:sz w:val="24"/>
          <w:szCs w:val="24"/>
          <w:lang w:val="en-US"/>
        </w:rPr>
        <w:t>s</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Length</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Standard</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Lorraine</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Eden</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in</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Pogge</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and</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Mehta</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Global</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Tax</w:t>
      </w:r>
      <w:r w:rsidRPr="00116A41">
        <w:rPr>
          <w:rFonts w:ascii="Times New Roman" w:hAnsi="Times New Roman" w:cs="Times New Roman"/>
          <w:sz w:val="24"/>
          <w:szCs w:val="24"/>
        </w:rPr>
        <w:t>%20</w:t>
      </w:r>
      <w:r w:rsidRPr="00116A41">
        <w:rPr>
          <w:rFonts w:ascii="Times New Roman" w:hAnsi="Times New Roman" w:cs="Times New Roman"/>
          <w:sz w:val="24"/>
          <w:szCs w:val="24"/>
          <w:lang w:val="en-US"/>
        </w:rPr>
        <w:t>Fairness</w:t>
      </w:r>
      <w:r w:rsidRPr="00116A41">
        <w:rPr>
          <w:rFonts w:ascii="Times New Roman" w:hAnsi="Times New Roman" w:cs="Times New Roman"/>
          <w:sz w:val="24"/>
          <w:szCs w:val="24"/>
        </w:rPr>
        <w:t>)-2015.</w:t>
      </w:r>
      <w:r w:rsidRPr="00116A41">
        <w:rPr>
          <w:rFonts w:ascii="Times New Roman" w:hAnsi="Times New Roman" w:cs="Times New Roman"/>
          <w:sz w:val="24"/>
          <w:szCs w:val="24"/>
          <w:lang w:val="en-US"/>
        </w:rPr>
        <w:t>pdf</w:t>
      </w:r>
      <w:r>
        <w:rPr>
          <w:rFonts w:ascii="Times New Roman" w:hAnsi="Times New Roman" w:cs="Times New Roman"/>
          <w:sz w:val="24"/>
          <w:szCs w:val="24"/>
        </w:rPr>
        <w:t xml:space="preserve"> (дата обращения: 10.02.2018</w:t>
      </w:r>
      <w:r w:rsidR="002945CF">
        <w:rPr>
          <w:rFonts w:ascii="Times New Roman" w:hAnsi="Times New Roman" w:cs="Times New Roman"/>
          <w:sz w:val="24"/>
          <w:szCs w:val="24"/>
        </w:rPr>
        <w:t>)</w:t>
      </w:r>
    </w:p>
    <w:p w:rsidR="00371C2D" w:rsidRPr="00371C2D" w:rsidRDefault="00371C2D" w:rsidP="00116A41">
      <w:pPr>
        <w:pStyle w:val="a3"/>
        <w:numPr>
          <w:ilvl w:val="0"/>
          <w:numId w:val="7"/>
        </w:numPr>
        <w:spacing w:after="0" w:line="360" w:lineRule="auto"/>
        <w:jc w:val="both"/>
        <w:rPr>
          <w:rFonts w:ascii="Times New Roman" w:hAnsi="Times New Roman" w:cs="Times New Roman"/>
          <w:sz w:val="24"/>
          <w:szCs w:val="24"/>
        </w:rPr>
      </w:pPr>
      <w:r w:rsidRPr="00371C2D">
        <w:rPr>
          <w:rFonts w:ascii="Times New Roman" w:hAnsi="Times New Roman" w:cs="Times New Roman"/>
          <w:sz w:val="24"/>
          <w:szCs w:val="24"/>
          <w:lang w:val="en-US"/>
        </w:rPr>
        <w:t xml:space="preserve">Kroppen H.K., Dawid R., Schmidtke R. Profit Split, the Future of Transfer Pricing? Arm’s Length Principle and Formulary Apportionment Revisited from a Theoretical and a Practical Perspective. P. 267 – 293. // Wolfgang Schon, Kai A. Konrad (Editors). Fundamentals of International transfer Pricing in Law and Economics. </w:t>
      </w:r>
      <w:r w:rsidRPr="00371C2D">
        <w:rPr>
          <w:rFonts w:ascii="Times New Roman" w:hAnsi="Times New Roman" w:cs="Times New Roman"/>
          <w:sz w:val="24"/>
          <w:szCs w:val="24"/>
        </w:rPr>
        <w:t>Munich: Springer-Verlag Berlin Heidelberg. – 2012.</w:t>
      </w:r>
    </w:p>
    <w:p w:rsidR="00AF6C32" w:rsidRDefault="00AF6C32" w:rsidP="005119C3">
      <w:pPr>
        <w:pStyle w:val="a3"/>
        <w:numPr>
          <w:ilvl w:val="0"/>
          <w:numId w:val="7"/>
        </w:numPr>
        <w:spacing w:after="0" w:line="360" w:lineRule="auto"/>
        <w:jc w:val="both"/>
        <w:rPr>
          <w:rFonts w:ascii="Times New Roman" w:hAnsi="Times New Roman" w:cs="Times New Roman"/>
          <w:sz w:val="24"/>
          <w:szCs w:val="24"/>
        </w:rPr>
      </w:pPr>
      <w:r w:rsidRPr="002436A2">
        <w:rPr>
          <w:rFonts w:ascii="Times New Roman" w:hAnsi="Times New Roman" w:cs="Times New Roman"/>
          <w:sz w:val="24"/>
          <w:szCs w:val="24"/>
          <w:lang w:val="en-US"/>
        </w:rPr>
        <w:t xml:space="preserve">Lantz B. The double marginalization problem of transfer pricing: Theory and experiment // European Journal of Operational Research. </w:t>
      </w:r>
      <w:r w:rsidRPr="002436A2">
        <w:rPr>
          <w:rFonts w:ascii="Times New Roman" w:hAnsi="Times New Roman" w:cs="Times New Roman"/>
          <w:sz w:val="24"/>
          <w:szCs w:val="24"/>
        </w:rPr>
        <w:t>2009. - Vol. 196. - P. 434-439.</w:t>
      </w:r>
    </w:p>
    <w:p w:rsidR="002945CF" w:rsidRPr="002945CF" w:rsidRDefault="002945CF" w:rsidP="005119C3">
      <w:pPr>
        <w:pStyle w:val="a3"/>
        <w:numPr>
          <w:ilvl w:val="0"/>
          <w:numId w:val="7"/>
        </w:numPr>
        <w:spacing w:after="0" w:line="360" w:lineRule="auto"/>
        <w:jc w:val="both"/>
        <w:rPr>
          <w:rFonts w:ascii="Times New Roman" w:hAnsi="Times New Roman" w:cs="Times New Roman"/>
          <w:sz w:val="24"/>
          <w:szCs w:val="24"/>
        </w:rPr>
      </w:pPr>
      <w:r w:rsidRPr="002945CF">
        <w:rPr>
          <w:rFonts w:ascii="Times New Roman" w:hAnsi="Times New Roman" w:cs="Times New Roman"/>
          <w:sz w:val="24"/>
          <w:szCs w:val="24"/>
          <w:lang w:val="en-US"/>
        </w:rPr>
        <w:t>Sheppard L.A. Is transfer pricing worth salvaging? Tax Notes, 30.07.2012. – P. 467 – 476. [</w:t>
      </w:r>
      <w:r w:rsidRPr="002945CF">
        <w:rPr>
          <w:rFonts w:ascii="Times New Roman" w:hAnsi="Times New Roman" w:cs="Times New Roman"/>
          <w:sz w:val="24"/>
          <w:szCs w:val="24"/>
        </w:rPr>
        <w:t>Электронный</w:t>
      </w:r>
      <w:r w:rsidRPr="002945CF">
        <w:rPr>
          <w:rFonts w:ascii="Times New Roman" w:hAnsi="Times New Roman" w:cs="Times New Roman"/>
          <w:sz w:val="24"/>
          <w:szCs w:val="24"/>
          <w:lang w:val="en-US"/>
        </w:rPr>
        <w:t xml:space="preserve"> </w:t>
      </w:r>
      <w:r w:rsidRPr="002945CF">
        <w:rPr>
          <w:rFonts w:ascii="Times New Roman" w:hAnsi="Times New Roman" w:cs="Times New Roman"/>
          <w:sz w:val="24"/>
          <w:szCs w:val="24"/>
        </w:rPr>
        <w:t>ресурс</w:t>
      </w:r>
      <w:r w:rsidRPr="002945CF">
        <w:rPr>
          <w:rFonts w:ascii="Times New Roman" w:hAnsi="Times New Roman" w:cs="Times New Roman"/>
          <w:sz w:val="24"/>
          <w:szCs w:val="24"/>
          <w:lang w:val="en-US"/>
        </w:rPr>
        <w:t xml:space="preserve">] // </w:t>
      </w:r>
      <w:r w:rsidRPr="002945CF">
        <w:rPr>
          <w:rFonts w:ascii="Times New Roman" w:hAnsi="Times New Roman" w:cs="Times New Roman"/>
          <w:sz w:val="24"/>
          <w:szCs w:val="24"/>
        </w:rPr>
        <w:t>Сайт</w:t>
      </w:r>
      <w:r w:rsidRPr="002945CF">
        <w:rPr>
          <w:rFonts w:ascii="Times New Roman" w:hAnsi="Times New Roman" w:cs="Times New Roman"/>
          <w:sz w:val="24"/>
          <w:szCs w:val="24"/>
          <w:lang w:val="en-US"/>
        </w:rPr>
        <w:t xml:space="preserve"> The Tax Justice Network. </w:t>
      </w:r>
      <w:r w:rsidRPr="002945CF">
        <w:rPr>
          <w:rFonts w:ascii="Times New Roman" w:hAnsi="Times New Roman" w:cs="Times New Roman"/>
          <w:sz w:val="24"/>
          <w:szCs w:val="24"/>
        </w:rPr>
        <w:t>Режим обращения: http://www.taxjustice.ch/cms/upload/pdf/Sheppard_1208_Transfer_Pricing.pdf (дата обращения: 29.09.2016)</w:t>
      </w:r>
    </w:p>
    <w:p w:rsidR="00E376CD" w:rsidRPr="00E376CD" w:rsidRDefault="00E376CD" w:rsidP="00E376CD">
      <w:pPr>
        <w:pStyle w:val="a3"/>
        <w:numPr>
          <w:ilvl w:val="0"/>
          <w:numId w:val="7"/>
        </w:numPr>
        <w:spacing w:after="0" w:line="360" w:lineRule="auto"/>
        <w:jc w:val="both"/>
        <w:rPr>
          <w:rFonts w:ascii="Times New Roman" w:hAnsi="Times New Roman" w:cs="Times New Roman"/>
          <w:sz w:val="24"/>
          <w:szCs w:val="24"/>
          <w:lang w:val="en-US"/>
        </w:rPr>
      </w:pPr>
      <w:r w:rsidRPr="00E376CD">
        <w:rPr>
          <w:rFonts w:ascii="Times New Roman" w:hAnsi="Times New Roman" w:cs="Times New Roman"/>
          <w:sz w:val="24"/>
          <w:szCs w:val="24"/>
          <w:lang w:val="en-US"/>
        </w:rPr>
        <w:t>OECD Standard for automatic exchange of financial account information (13 February 2014)</w:t>
      </w:r>
    </w:p>
    <w:p w:rsidR="002436A2" w:rsidRPr="002436A2" w:rsidRDefault="002436A2" w:rsidP="005119C3">
      <w:pPr>
        <w:pStyle w:val="a3"/>
        <w:numPr>
          <w:ilvl w:val="0"/>
          <w:numId w:val="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URL:</w:t>
      </w:r>
      <w:r w:rsidRPr="002436A2">
        <w:rPr>
          <w:lang w:val="en-US"/>
        </w:rPr>
        <w:t xml:space="preserve"> </w:t>
      </w:r>
      <w:r w:rsidRPr="002436A2">
        <w:rPr>
          <w:rFonts w:ascii="Times New Roman" w:hAnsi="Times New Roman" w:cs="Times New Roman"/>
          <w:sz w:val="24"/>
          <w:szCs w:val="24"/>
          <w:lang w:val="en-US"/>
        </w:rPr>
        <w:t>http://www.oecd.org/tax/transfer-pricing/</w:t>
      </w:r>
    </w:p>
    <w:p w:rsidR="002436A2" w:rsidRPr="00C604DD" w:rsidRDefault="002436A2" w:rsidP="005119C3">
      <w:pPr>
        <w:pStyle w:val="a3"/>
        <w:numPr>
          <w:ilvl w:val="0"/>
          <w:numId w:val="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URL</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https</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read</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oecd</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ilibrary</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org</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taxation</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oecd</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transfer</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pricing</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guidelines</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for</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multinational</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enterprises</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and</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tax</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administrations</w:t>
      </w:r>
      <w:r w:rsidRPr="00C604DD">
        <w:rPr>
          <w:rFonts w:ascii="Times New Roman" w:hAnsi="Times New Roman" w:cs="Times New Roman"/>
          <w:sz w:val="24"/>
          <w:szCs w:val="24"/>
          <w:lang w:val="en-US"/>
        </w:rPr>
        <w:t>-2017_</w:t>
      </w:r>
      <w:r w:rsidRPr="002436A2">
        <w:rPr>
          <w:rFonts w:ascii="Times New Roman" w:hAnsi="Times New Roman" w:cs="Times New Roman"/>
          <w:sz w:val="24"/>
          <w:szCs w:val="24"/>
          <w:lang w:val="en-US"/>
        </w:rPr>
        <w:t>tpg</w:t>
      </w:r>
      <w:r w:rsidRPr="00C604DD">
        <w:rPr>
          <w:rFonts w:ascii="Times New Roman" w:hAnsi="Times New Roman" w:cs="Times New Roman"/>
          <w:sz w:val="24"/>
          <w:szCs w:val="24"/>
          <w:lang w:val="en-US"/>
        </w:rPr>
        <w:t>-2017-</w:t>
      </w:r>
      <w:r w:rsidRPr="002436A2">
        <w:rPr>
          <w:rFonts w:ascii="Times New Roman" w:hAnsi="Times New Roman" w:cs="Times New Roman"/>
          <w:sz w:val="24"/>
          <w:szCs w:val="24"/>
          <w:lang w:val="en-US"/>
        </w:rPr>
        <w:t>en</w:t>
      </w:r>
      <w:r w:rsidRPr="00C604DD">
        <w:rPr>
          <w:rFonts w:ascii="Times New Roman" w:hAnsi="Times New Roman" w:cs="Times New Roman"/>
          <w:sz w:val="24"/>
          <w:szCs w:val="24"/>
          <w:lang w:val="en-US"/>
        </w:rPr>
        <w:t>#</w:t>
      </w:r>
      <w:r w:rsidRPr="002436A2">
        <w:rPr>
          <w:rFonts w:ascii="Times New Roman" w:hAnsi="Times New Roman" w:cs="Times New Roman"/>
          <w:sz w:val="24"/>
          <w:szCs w:val="24"/>
          <w:lang w:val="en-US"/>
        </w:rPr>
        <w:t>page</w:t>
      </w:r>
      <w:r w:rsidRPr="00C604DD">
        <w:rPr>
          <w:rFonts w:ascii="Times New Roman" w:hAnsi="Times New Roman" w:cs="Times New Roman"/>
          <w:sz w:val="24"/>
          <w:szCs w:val="24"/>
          <w:lang w:val="en-US"/>
        </w:rPr>
        <w:t>1</w:t>
      </w:r>
    </w:p>
    <w:p w:rsidR="002436A2" w:rsidRPr="00C604DD" w:rsidRDefault="002436A2" w:rsidP="002436A2">
      <w:pPr>
        <w:pStyle w:val="a3"/>
        <w:spacing w:after="0" w:line="360" w:lineRule="auto"/>
        <w:jc w:val="both"/>
        <w:rPr>
          <w:rFonts w:ascii="Times New Roman" w:hAnsi="Times New Roman" w:cs="Times New Roman"/>
          <w:sz w:val="24"/>
          <w:szCs w:val="24"/>
          <w:lang w:val="en-US"/>
        </w:rPr>
      </w:pPr>
    </w:p>
    <w:p w:rsidR="007F68C4" w:rsidRDefault="007F68C4">
      <w:pPr>
        <w:rPr>
          <w:lang w:val="en-US"/>
        </w:rPr>
      </w:pPr>
      <w:r>
        <w:rPr>
          <w:lang w:val="en-US"/>
        </w:rPr>
        <w:br w:type="page"/>
      </w:r>
    </w:p>
    <w:p w:rsidR="007F68C4" w:rsidRPr="00CE6E89" w:rsidRDefault="007F68C4" w:rsidP="007F68C4">
      <w:pPr>
        <w:pStyle w:val="1"/>
        <w:jc w:val="center"/>
        <w:rPr>
          <w:rFonts w:ascii="Times New Roman" w:hAnsi="Times New Roman" w:cs="Times New Roman"/>
          <w:b/>
          <w:color w:val="auto"/>
          <w:sz w:val="28"/>
          <w:szCs w:val="28"/>
        </w:rPr>
      </w:pPr>
      <w:bookmarkStart w:id="13" w:name="_Toc513844339"/>
      <w:r w:rsidRPr="00E8572A">
        <w:rPr>
          <w:rFonts w:ascii="Times New Roman" w:hAnsi="Times New Roman" w:cs="Times New Roman"/>
          <w:b/>
          <w:color w:val="auto"/>
          <w:sz w:val="28"/>
          <w:szCs w:val="28"/>
        </w:rPr>
        <w:t>Приложения</w:t>
      </w:r>
      <w:bookmarkEnd w:id="13"/>
    </w:p>
    <w:p w:rsidR="007F68C4" w:rsidRDefault="007F68C4" w:rsidP="007F68C4">
      <w:pPr>
        <w:jc w:val="right"/>
        <w:rPr>
          <w:rFonts w:ascii="Times New Roman" w:hAnsi="Times New Roman" w:cs="Times New Roman"/>
          <w:sz w:val="24"/>
          <w:szCs w:val="24"/>
        </w:rPr>
      </w:pPr>
      <w:r w:rsidRPr="00224A66">
        <w:rPr>
          <w:rFonts w:ascii="Times New Roman" w:hAnsi="Times New Roman" w:cs="Times New Roman"/>
          <w:sz w:val="24"/>
          <w:szCs w:val="24"/>
        </w:rPr>
        <w:t>Приложение</w:t>
      </w:r>
      <w:r w:rsidRPr="00CE6E89">
        <w:rPr>
          <w:rFonts w:ascii="Times New Roman" w:hAnsi="Times New Roman" w:cs="Times New Roman"/>
          <w:sz w:val="24"/>
          <w:szCs w:val="24"/>
        </w:rPr>
        <w:t xml:space="preserve"> </w:t>
      </w:r>
      <w:r w:rsidR="0064140C">
        <w:rPr>
          <w:rFonts w:ascii="Times New Roman" w:hAnsi="Times New Roman" w:cs="Times New Roman"/>
          <w:sz w:val="24"/>
          <w:szCs w:val="24"/>
        </w:rPr>
        <w:t>1</w:t>
      </w:r>
    </w:p>
    <w:p w:rsidR="007F68C4" w:rsidRPr="007F68C4" w:rsidRDefault="007F68C4" w:rsidP="007F68C4">
      <w:pPr>
        <w:rPr>
          <w:rFonts w:ascii="Times New Roman" w:hAnsi="Times New Roman" w:cs="Times New Roman"/>
          <w:sz w:val="24"/>
          <w:szCs w:val="24"/>
        </w:rPr>
      </w:pPr>
      <w:r>
        <w:rPr>
          <w:rFonts w:ascii="Times New Roman" w:hAnsi="Times New Roman" w:cs="Times New Roman"/>
          <w:sz w:val="24"/>
          <w:szCs w:val="24"/>
        </w:rPr>
        <w:t xml:space="preserve">Цены единицы реализованной продукции в 6 </w:t>
      </w:r>
      <w:r w:rsidR="0085702E">
        <w:rPr>
          <w:rFonts w:ascii="Times New Roman" w:hAnsi="Times New Roman" w:cs="Times New Roman"/>
          <w:sz w:val="24"/>
          <w:szCs w:val="24"/>
        </w:rPr>
        <w:t xml:space="preserve">сопоставимых </w:t>
      </w:r>
      <w:r>
        <w:rPr>
          <w:rFonts w:ascii="Times New Roman" w:hAnsi="Times New Roman" w:cs="Times New Roman"/>
          <w:sz w:val="24"/>
          <w:szCs w:val="24"/>
        </w:rPr>
        <w:t>сделках, тыс. руб.</w:t>
      </w:r>
    </w:p>
    <w:tbl>
      <w:tblPr>
        <w:tblW w:w="9255" w:type="dxa"/>
        <w:tblLook w:val="04A0" w:firstRow="1" w:lastRow="0" w:firstColumn="1" w:lastColumn="0" w:noHBand="0" w:noVBand="1"/>
      </w:tblPr>
      <w:tblGrid>
        <w:gridCol w:w="2032"/>
        <w:gridCol w:w="7223"/>
      </w:tblGrid>
      <w:tr w:rsidR="007F68C4" w:rsidRPr="003026DA" w:rsidTr="0085702E">
        <w:trPr>
          <w:trHeight w:val="306"/>
        </w:trPr>
        <w:tc>
          <w:tcPr>
            <w:tcW w:w="2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Номер </w:t>
            </w:r>
            <w:r w:rsidRPr="003026DA">
              <w:rPr>
                <w:rFonts w:ascii="Times New Roman" w:eastAsia="Times New Roman" w:hAnsi="Times New Roman" w:cs="Times New Roman"/>
                <w:color w:val="000000"/>
                <w:sz w:val="24"/>
                <w:szCs w:val="24"/>
                <w:lang w:eastAsia="ru-RU"/>
              </w:rPr>
              <w:t>сделки</w:t>
            </w:r>
          </w:p>
        </w:tc>
        <w:tc>
          <w:tcPr>
            <w:tcW w:w="7223" w:type="dxa"/>
            <w:tcBorders>
              <w:top w:val="single" w:sz="4" w:space="0" w:color="auto"/>
              <w:left w:val="nil"/>
              <w:bottom w:val="single" w:sz="4" w:space="0" w:color="auto"/>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Цена единицы реализованной про</w:t>
            </w:r>
            <w:r>
              <w:rPr>
                <w:rFonts w:ascii="Times New Roman" w:eastAsia="Times New Roman" w:hAnsi="Times New Roman" w:cs="Times New Roman"/>
                <w:color w:val="000000"/>
                <w:sz w:val="24"/>
                <w:szCs w:val="24"/>
                <w:lang w:eastAsia="ru-RU"/>
              </w:rPr>
              <w:t>д</w:t>
            </w:r>
            <w:r w:rsidRPr="003026DA">
              <w:rPr>
                <w:rFonts w:ascii="Times New Roman" w:eastAsia="Times New Roman" w:hAnsi="Times New Roman" w:cs="Times New Roman"/>
                <w:color w:val="000000"/>
                <w:sz w:val="24"/>
                <w:szCs w:val="24"/>
                <w:lang w:eastAsia="ru-RU"/>
              </w:rPr>
              <w:t>укции, тыс. руб.</w:t>
            </w:r>
          </w:p>
        </w:tc>
      </w:tr>
      <w:tr w:rsidR="007F68C4" w:rsidRPr="003026DA" w:rsidTr="0085702E">
        <w:trPr>
          <w:trHeight w:val="306"/>
        </w:trPr>
        <w:tc>
          <w:tcPr>
            <w:tcW w:w="2032" w:type="dxa"/>
            <w:tcBorders>
              <w:top w:val="nil"/>
              <w:left w:val="single" w:sz="4" w:space="0" w:color="auto"/>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1</w:t>
            </w:r>
          </w:p>
        </w:tc>
        <w:tc>
          <w:tcPr>
            <w:tcW w:w="7223" w:type="dxa"/>
            <w:tcBorders>
              <w:top w:val="nil"/>
              <w:left w:val="nil"/>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10</w:t>
            </w:r>
          </w:p>
        </w:tc>
      </w:tr>
      <w:tr w:rsidR="007F68C4" w:rsidRPr="003026DA" w:rsidTr="0085702E">
        <w:trPr>
          <w:trHeight w:val="306"/>
        </w:trPr>
        <w:tc>
          <w:tcPr>
            <w:tcW w:w="2032" w:type="dxa"/>
            <w:tcBorders>
              <w:top w:val="nil"/>
              <w:left w:val="single" w:sz="4" w:space="0" w:color="auto"/>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2</w:t>
            </w:r>
          </w:p>
        </w:tc>
        <w:tc>
          <w:tcPr>
            <w:tcW w:w="7223" w:type="dxa"/>
            <w:tcBorders>
              <w:top w:val="nil"/>
              <w:left w:val="nil"/>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10,4</w:t>
            </w:r>
          </w:p>
        </w:tc>
      </w:tr>
      <w:tr w:rsidR="007F68C4" w:rsidRPr="003026DA" w:rsidTr="0085702E">
        <w:trPr>
          <w:trHeight w:val="306"/>
        </w:trPr>
        <w:tc>
          <w:tcPr>
            <w:tcW w:w="2032" w:type="dxa"/>
            <w:tcBorders>
              <w:top w:val="nil"/>
              <w:left w:val="single" w:sz="4" w:space="0" w:color="auto"/>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3</w:t>
            </w:r>
          </w:p>
        </w:tc>
        <w:tc>
          <w:tcPr>
            <w:tcW w:w="7223" w:type="dxa"/>
            <w:tcBorders>
              <w:top w:val="nil"/>
              <w:left w:val="nil"/>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11,8</w:t>
            </w:r>
          </w:p>
        </w:tc>
      </w:tr>
      <w:tr w:rsidR="007F68C4" w:rsidRPr="003026DA" w:rsidTr="0085702E">
        <w:trPr>
          <w:trHeight w:val="306"/>
        </w:trPr>
        <w:tc>
          <w:tcPr>
            <w:tcW w:w="2032" w:type="dxa"/>
            <w:tcBorders>
              <w:top w:val="nil"/>
              <w:left w:val="single" w:sz="4" w:space="0" w:color="auto"/>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4</w:t>
            </w:r>
          </w:p>
        </w:tc>
        <w:tc>
          <w:tcPr>
            <w:tcW w:w="7223" w:type="dxa"/>
            <w:tcBorders>
              <w:top w:val="nil"/>
              <w:left w:val="nil"/>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12,8</w:t>
            </w:r>
          </w:p>
        </w:tc>
      </w:tr>
      <w:tr w:rsidR="007F68C4" w:rsidRPr="003026DA" w:rsidTr="0085702E">
        <w:trPr>
          <w:trHeight w:val="306"/>
        </w:trPr>
        <w:tc>
          <w:tcPr>
            <w:tcW w:w="2032" w:type="dxa"/>
            <w:tcBorders>
              <w:top w:val="nil"/>
              <w:left w:val="single" w:sz="4" w:space="0" w:color="auto"/>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5</w:t>
            </w:r>
          </w:p>
        </w:tc>
        <w:tc>
          <w:tcPr>
            <w:tcW w:w="7223" w:type="dxa"/>
            <w:tcBorders>
              <w:top w:val="nil"/>
              <w:left w:val="nil"/>
              <w:bottom w:val="nil"/>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13,2</w:t>
            </w:r>
          </w:p>
        </w:tc>
      </w:tr>
      <w:tr w:rsidR="007F68C4" w:rsidRPr="003026DA" w:rsidTr="0085702E">
        <w:trPr>
          <w:trHeight w:val="306"/>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6</w:t>
            </w:r>
          </w:p>
        </w:tc>
        <w:tc>
          <w:tcPr>
            <w:tcW w:w="7223" w:type="dxa"/>
            <w:tcBorders>
              <w:top w:val="nil"/>
              <w:left w:val="nil"/>
              <w:bottom w:val="single" w:sz="4" w:space="0" w:color="auto"/>
              <w:right w:val="single" w:sz="4" w:space="0" w:color="auto"/>
            </w:tcBorders>
            <w:shd w:val="clear" w:color="auto" w:fill="auto"/>
            <w:noWrap/>
            <w:vAlign w:val="bottom"/>
            <w:hideMark/>
          </w:tcPr>
          <w:p w:rsidR="007F68C4" w:rsidRPr="003026DA"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3026DA">
              <w:rPr>
                <w:rFonts w:ascii="Times New Roman" w:eastAsia="Times New Roman" w:hAnsi="Times New Roman" w:cs="Times New Roman"/>
                <w:color w:val="000000"/>
                <w:sz w:val="24"/>
                <w:szCs w:val="24"/>
                <w:lang w:eastAsia="ru-RU"/>
              </w:rPr>
              <w:t>13,8</w:t>
            </w:r>
          </w:p>
        </w:tc>
      </w:tr>
    </w:tbl>
    <w:p w:rsidR="007F68C4" w:rsidRDefault="007F68C4" w:rsidP="007F68C4">
      <w:pPr>
        <w:jc w:val="right"/>
        <w:rPr>
          <w:rFonts w:ascii="Times New Roman" w:hAnsi="Times New Roman" w:cs="Times New Roman"/>
          <w:sz w:val="24"/>
          <w:szCs w:val="24"/>
        </w:rPr>
      </w:pPr>
    </w:p>
    <w:p w:rsidR="007F68C4" w:rsidRPr="00224A66" w:rsidRDefault="007F68C4" w:rsidP="007F68C4">
      <w:pPr>
        <w:spacing w:after="0" w:line="360" w:lineRule="auto"/>
        <w:jc w:val="both"/>
        <w:rPr>
          <w:rFonts w:ascii="Times New Roman" w:hAnsi="Times New Roman" w:cs="Times New Roman"/>
          <w:sz w:val="24"/>
          <w:szCs w:val="24"/>
        </w:rPr>
      </w:pPr>
      <w:r w:rsidRPr="00F14C1C">
        <w:rPr>
          <w:rFonts w:ascii="Times New Roman" w:hAnsi="Times New Roman" w:cs="Times New Roman"/>
          <w:sz w:val="24"/>
          <w:szCs w:val="24"/>
        </w:rPr>
        <w:t xml:space="preserve">Цены единицы реализованной продукции в 8 </w:t>
      </w:r>
      <w:r w:rsidR="0085702E">
        <w:rPr>
          <w:rFonts w:ascii="Times New Roman" w:hAnsi="Times New Roman" w:cs="Times New Roman"/>
          <w:sz w:val="24"/>
          <w:szCs w:val="24"/>
        </w:rPr>
        <w:t xml:space="preserve">сопоставимых </w:t>
      </w:r>
      <w:r w:rsidRPr="00F14C1C">
        <w:rPr>
          <w:rFonts w:ascii="Times New Roman" w:hAnsi="Times New Roman" w:cs="Times New Roman"/>
          <w:sz w:val="24"/>
          <w:szCs w:val="24"/>
        </w:rPr>
        <w:t xml:space="preserve">сделках, тыс. руб. </w:t>
      </w:r>
    </w:p>
    <w:tbl>
      <w:tblPr>
        <w:tblW w:w="9242" w:type="dxa"/>
        <w:tblLook w:val="04A0" w:firstRow="1" w:lastRow="0" w:firstColumn="1" w:lastColumn="0" w:noHBand="0" w:noVBand="1"/>
      </w:tblPr>
      <w:tblGrid>
        <w:gridCol w:w="1980"/>
        <w:gridCol w:w="7262"/>
      </w:tblGrid>
      <w:tr w:rsidR="007F68C4" w:rsidRPr="00865276" w:rsidTr="0085702E">
        <w:trPr>
          <w:trHeight w:val="31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Номер </w:t>
            </w:r>
            <w:r w:rsidRPr="00865276">
              <w:rPr>
                <w:rFonts w:ascii="Times New Roman" w:eastAsia="Times New Roman" w:hAnsi="Times New Roman" w:cs="Times New Roman"/>
                <w:color w:val="000000"/>
                <w:sz w:val="24"/>
                <w:szCs w:val="24"/>
                <w:lang w:eastAsia="ru-RU"/>
              </w:rPr>
              <w:t>сделки</w:t>
            </w:r>
          </w:p>
        </w:tc>
        <w:tc>
          <w:tcPr>
            <w:tcW w:w="7262" w:type="dxa"/>
            <w:tcBorders>
              <w:top w:val="single" w:sz="4" w:space="0" w:color="auto"/>
              <w:left w:val="nil"/>
              <w:bottom w:val="single" w:sz="4" w:space="0" w:color="auto"/>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Цена единицы реализованной про</w:t>
            </w:r>
            <w:r>
              <w:rPr>
                <w:rFonts w:ascii="Times New Roman" w:eastAsia="Times New Roman" w:hAnsi="Times New Roman" w:cs="Times New Roman"/>
                <w:color w:val="000000"/>
                <w:sz w:val="24"/>
                <w:szCs w:val="24"/>
                <w:lang w:eastAsia="ru-RU"/>
              </w:rPr>
              <w:t>д</w:t>
            </w:r>
            <w:r w:rsidRPr="00865276">
              <w:rPr>
                <w:rFonts w:ascii="Times New Roman" w:eastAsia="Times New Roman" w:hAnsi="Times New Roman" w:cs="Times New Roman"/>
                <w:color w:val="000000"/>
                <w:sz w:val="24"/>
                <w:szCs w:val="24"/>
                <w:lang w:eastAsia="ru-RU"/>
              </w:rPr>
              <w:t>укции, тыс. руб.</w:t>
            </w:r>
          </w:p>
        </w:tc>
      </w:tr>
      <w:tr w:rsidR="007F68C4" w:rsidRPr="00865276" w:rsidTr="0085702E">
        <w:trPr>
          <w:trHeight w:val="318"/>
        </w:trPr>
        <w:tc>
          <w:tcPr>
            <w:tcW w:w="1980" w:type="dxa"/>
            <w:tcBorders>
              <w:top w:val="nil"/>
              <w:left w:val="single" w:sz="4" w:space="0" w:color="auto"/>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1</w:t>
            </w:r>
          </w:p>
        </w:tc>
        <w:tc>
          <w:tcPr>
            <w:tcW w:w="7262" w:type="dxa"/>
            <w:tcBorders>
              <w:top w:val="nil"/>
              <w:left w:val="nil"/>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10,0</w:t>
            </w:r>
          </w:p>
        </w:tc>
      </w:tr>
      <w:tr w:rsidR="007F68C4" w:rsidRPr="00865276" w:rsidTr="0085702E">
        <w:trPr>
          <w:trHeight w:val="318"/>
        </w:trPr>
        <w:tc>
          <w:tcPr>
            <w:tcW w:w="1980" w:type="dxa"/>
            <w:tcBorders>
              <w:top w:val="nil"/>
              <w:left w:val="single" w:sz="4" w:space="0" w:color="auto"/>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2</w:t>
            </w:r>
          </w:p>
        </w:tc>
        <w:tc>
          <w:tcPr>
            <w:tcW w:w="7262" w:type="dxa"/>
            <w:tcBorders>
              <w:top w:val="nil"/>
              <w:left w:val="nil"/>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10,1</w:t>
            </w:r>
          </w:p>
        </w:tc>
      </w:tr>
      <w:tr w:rsidR="007F68C4" w:rsidRPr="00865276" w:rsidTr="0085702E">
        <w:trPr>
          <w:trHeight w:val="318"/>
        </w:trPr>
        <w:tc>
          <w:tcPr>
            <w:tcW w:w="1980" w:type="dxa"/>
            <w:tcBorders>
              <w:top w:val="nil"/>
              <w:left w:val="single" w:sz="4" w:space="0" w:color="auto"/>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3</w:t>
            </w:r>
          </w:p>
        </w:tc>
        <w:tc>
          <w:tcPr>
            <w:tcW w:w="7262" w:type="dxa"/>
            <w:tcBorders>
              <w:top w:val="nil"/>
              <w:left w:val="nil"/>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10,4</w:t>
            </w:r>
          </w:p>
        </w:tc>
      </w:tr>
      <w:tr w:rsidR="007F68C4" w:rsidRPr="00865276" w:rsidTr="0085702E">
        <w:trPr>
          <w:trHeight w:val="318"/>
        </w:trPr>
        <w:tc>
          <w:tcPr>
            <w:tcW w:w="1980" w:type="dxa"/>
            <w:tcBorders>
              <w:top w:val="nil"/>
              <w:left w:val="single" w:sz="4" w:space="0" w:color="auto"/>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4</w:t>
            </w:r>
          </w:p>
        </w:tc>
        <w:tc>
          <w:tcPr>
            <w:tcW w:w="7262" w:type="dxa"/>
            <w:tcBorders>
              <w:top w:val="nil"/>
              <w:left w:val="nil"/>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10,7</w:t>
            </w:r>
          </w:p>
        </w:tc>
      </w:tr>
      <w:tr w:rsidR="007F68C4" w:rsidRPr="00865276" w:rsidTr="0085702E">
        <w:trPr>
          <w:trHeight w:val="318"/>
        </w:trPr>
        <w:tc>
          <w:tcPr>
            <w:tcW w:w="1980" w:type="dxa"/>
            <w:tcBorders>
              <w:top w:val="nil"/>
              <w:left w:val="single" w:sz="4" w:space="0" w:color="auto"/>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5</w:t>
            </w:r>
          </w:p>
        </w:tc>
        <w:tc>
          <w:tcPr>
            <w:tcW w:w="7262" w:type="dxa"/>
            <w:tcBorders>
              <w:top w:val="nil"/>
              <w:left w:val="nil"/>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11,1</w:t>
            </w:r>
          </w:p>
        </w:tc>
      </w:tr>
      <w:tr w:rsidR="007F68C4" w:rsidRPr="00865276" w:rsidTr="0085702E">
        <w:trPr>
          <w:trHeight w:val="318"/>
        </w:trPr>
        <w:tc>
          <w:tcPr>
            <w:tcW w:w="1980" w:type="dxa"/>
            <w:tcBorders>
              <w:top w:val="nil"/>
              <w:left w:val="single" w:sz="4" w:space="0" w:color="auto"/>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6</w:t>
            </w:r>
          </w:p>
        </w:tc>
        <w:tc>
          <w:tcPr>
            <w:tcW w:w="7262" w:type="dxa"/>
            <w:tcBorders>
              <w:top w:val="nil"/>
              <w:left w:val="nil"/>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11,5</w:t>
            </w:r>
          </w:p>
        </w:tc>
      </w:tr>
      <w:tr w:rsidR="007F68C4" w:rsidRPr="00865276" w:rsidTr="0085702E">
        <w:trPr>
          <w:trHeight w:val="318"/>
        </w:trPr>
        <w:tc>
          <w:tcPr>
            <w:tcW w:w="1980" w:type="dxa"/>
            <w:tcBorders>
              <w:top w:val="nil"/>
              <w:left w:val="single" w:sz="4" w:space="0" w:color="auto"/>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7</w:t>
            </w:r>
          </w:p>
        </w:tc>
        <w:tc>
          <w:tcPr>
            <w:tcW w:w="7262" w:type="dxa"/>
            <w:tcBorders>
              <w:top w:val="nil"/>
              <w:left w:val="nil"/>
              <w:bottom w:val="nil"/>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11,6</w:t>
            </w:r>
          </w:p>
        </w:tc>
      </w:tr>
      <w:tr w:rsidR="007F68C4" w:rsidRPr="00865276" w:rsidTr="0085702E">
        <w:trPr>
          <w:trHeight w:val="31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8</w:t>
            </w:r>
          </w:p>
        </w:tc>
        <w:tc>
          <w:tcPr>
            <w:tcW w:w="7262" w:type="dxa"/>
            <w:tcBorders>
              <w:top w:val="nil"/>
              <w:left w:val="nil"/>
              <w:bottom w:val="single" w:sz="4" w:space="0" w:color="auto"/>
              <w:right w:val="single" w:sz="4" w:space="0" w:color="auto"/>
            </w:tcBorders>
            <w:shd w:val="clear" w:color="auto" w:fill="auto"/>
            <w:noWrap/>
            <w:vAlign w:val="bottom"/>
            <w:hideMark/>
          </w:tcPr>
          <w:p w:rsidR="007F68C4" w:rsidRPr="00865276" w:rsidRDefault="007F68C4" w:rsidP="0085702E">
            <w:pPr>
              <w:spacing w:after="0" w:line="240" w:lineRule="auto"/>
              <w:jc w:val="center"/>
              <w:rPr>
                <w:rFonts w:ascii="Times New Roman" w:eastAsia="Times New Roman" w:hAnsi="Times New Roman" w:cs="Times New Roman"/>
                <w:color w:val="000000"/>
                <w:sz w:val="24"/>
                <w:szCs w:val="24"/>
                <w:lang w:eastAsia="ru-RU"/>
              </w:rPr>
            </w:pPr>
            <w:r w:rsidRPr="00865276">
              <w:rPr>
                <w:rFonts w:ascii="Times New Roman" w:eastAsia="Times New Roman" w:hAnsi="Times New Roman" w:cs="Times New Roman"/>
                <w:color w:val="000000"/>
                <w:sz w:val="24"/>
                <w:szCs w:val="24"/>
                <w:lang w:eastAsia="ru-RU"/>
              </w:rPr>
              <w:t>11,8</w:t>
            </w:r>
          </w:p>
        </w:tc>
      </w:tr>
    </w:tbl>
    <w:p w:rsidR="007F68C4" w:rsidRDefault="007F68C4" w:rsidP="007F68C4">
      <w:pPr>
        <w:jc w:val="both"/>
      </w:pPr>
    </w:p>
    <w:p w:rsidR="0085702E" w:rsidRDefault="0085702E">
      <w:pPr>
        <w:rPr>
          <w:rFonts w:ascii="Times New Roman" w:hAnsi="Times New Roman" w:cs="Times New Roman"/>
          <w:sz w:val="24"/>
          <w:szCs w:val="24"/>
        </w:rPr>
      </w:pPr>
      <w:r>
        <w:rPr>
          <w:rFonts w:ascii="Times New Roman" w:hAnsi="Times New Roman" w:cs="Times New Roman"/>
          <w:sz w:val="24"/>
          <w:szCs w:val="24"/>
        </w:rPr>
        <w:br w:type="page"/>
      </w:r>
    </w:p>
    <w:p w:rsidR="007F68C4" w:rsidRDefault="007F68C4" w:rsidP="007F68C4">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64140C">
        <w:rPr>
          <w:rFonts w:ascii="Times New Roman" w:hAnsi="Times New Roman" w:cs="Times New Roman"/>
          <w:sz w:val="24"/>
          <w:szCs w:val="24"/>
        </w:rPr>
        <w:t>2</w:t>
      </w:r>
    </w:p>
    <w:p w:rsidR="0085702E" w:rsidRDefault="0085702E" w:rsidP="008570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Данные для расчета валовой рентабельности по сопоставимым сделкам </w:t>
      </w:r>
    </w:p>
    <w:tbl>
      <w:tblPr>
        <w:tblW w:w="9345" w:type="dxa"/>
        <w:tblLook w:val="04A0" w:firstRow="1" w:lastRow="0" w:firstColumn="1" w:lastColumn="0" w:noHBand="0" w:noVBand="1"/>
      </w:tblPr>
      <w:tblGrid>
        <w:gridCol w:w="895"/>
        <w:gridCol w:w="1096"/>
        <w:gridCol w:w="969"/>
        <w:gridCol w:w="1352"/>
        <w:gridCol w:w="1062"/>
        <w:gridCol w:w="1293"/>
        <w:gridCol w:w="1293"/>
        <w:gridCol w:w="1385"/>
      </w:tblGrid>
      <w:tr w:rsidR="007F68C4" w:rsidRPr="00224A66" w:rsidTr="0085702E">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Номер сделки</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Количество товаров, ед.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Покупная цена единицы товара, тыс. руб.</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Себестоимость товара, тыс. руб.</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Продажная цена единицы товара, тыс. руб.</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Выручка перепродавца, тыс. руб.</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Валовая прибыль перепродавца, тыс. руб.</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Валовая рентабельность перепродавца, %</w:t>
            </w:r>
          </w:p>
        </w:tc>
      </w:tr>
      <w:tr w:rsidR="007F68C4" w:rsidRPr="00224A66" w:rsidTr="0085702E">
        <w:trPr>
          <w:trHeight w:val="300"/>
        </w:trPr>
        <w:tc>
          <w:tcPr>
            <w:tcW w:w="988" w:type="dxa"/>
            <w:tcBorders>
              <w:top w:val="nil"/>
              <w:left w:val="single" w:sz="4" w:space="0" w:color="auto"/>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w:t>
            </w:r>
          </w:p>
        </w:tc>
        <w:tc>
          <w:tcPr>
            <w:tcW w:w="87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3200</w:t>
            </w:r>
          </w:p>
        </w:tc>
        <w:tc>
          <w:tcPr>
            <w:tcW w:w="1071"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150</w:t>
            </w:r>
          </w:p>
        </w:tc>
        <w:tc>
          <w:tcPr>
            <w:tcW w:w="135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120000</w:t>
            </w:r>
          </w:p>
        </w:tc>
        <w:tc>
          <w:tcPr>
            <w:tcW w:w="1067"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300</w:t>
            </w:r>
          </w:p>
        </w:tc>
        <w:tc>
          <w:tcPr>
            <w:tcW w:w="129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244212</w:t>
            </w:r>
          </w:p>
        </w:tc>
        <w:tc>
          <w:tcPr>
            <w:tcW w:w="129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124212</w:t>
            </w:r>
          </w:p>
        </w:tc>
        <w:tc>
          <w:tcPr>
            <w:tcW w:w="1392" w:type="dxa"/>
            <w:tcBorders>
              <w:top w:val="nil"/>
              <w:left w:val="nil"/>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21,4</w:t>
            </w:r>
          </w:p>
        </w:tc>
      </w:tr>
      <w:tr w:rsidR="007F68C4" w:rsidRPr="00224A66" w:rsidTr="0085702E">
        <w:trPr>
          <w:trHeight w:val="300"/>
        </w:trPr>
        <w:tc>
          <w:tcPr>
            <w:tcW w:w="988" w:type="dxa"/>
            <w:tcBorders>
              <w:top w:val="nil"/>
              <w:left w:val="single" w:sz="4" w:space="0" w:color="auto"/>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w:t>
            </w:r>
          </w:p>
        </w:tc>
        <w:tc>
          <w:tcPr>
            <w:tcW w:w="87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4800</w:t>
            </w:r>
          </w:p>
        </w:tc>
        <w:tc>
          <w:tcPr>
            <w:tcW w:w="1071"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180</w:t>
            </w:r>
          </w:p>
        </w:tc>
        <w:tc>
          <w:tcPr>
            <w:tcW w:w="135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252000</w:t>
            </w:r>
          </w:p>
        </w:tc>
        <w:tc>
          <w:tcPr>
            <w:tcW w:w="1067"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300</w:t>
            </w:r>
          </w:p>
        </w:tc>
        <w:tc>
          <w:tcPr>
            <w:tcW w:w="129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488430</w:t>
            </w:r>
          </w:p>
        </w:tc>
        <w:tc>
          <w:tcPr>
            <w:tcW w:w="129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200430</w:t>
            </w:r>
          </w:p>
        </w:tc>
        <w:tc>
          <w:tcPr>
            <w:tcW w:w="1392" w:type="dxa"/>
            <w:tcBorders>
              <w:top w:val="nil"/>
              <w:left w:val="nil"/>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21,4</w:t>
            </w:r>
          </w:p>
        </w:tc>
      </w:tr>
      <w:tr w:rsidR="007F68C4" w:rsidRPr="00224A66" w:rsidTr="0085702E">
        <w:trPr>
          <w:trHeight w:val="300"/>
        </w:trPr>
        <w:tc>
          <w:tcPr>
            <w:tcW w:w="988" w:type="dxa"/>
            <w:tcBorders>
              <w:top w:val="nil"/>
              <w:left w:val="single" w:sz="4" w:space="0" w:color="auto"/>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w:t>
            </w:r>
          </w:p>
        </w:tc>
        <w:tc>
          <w:tcPr>
            <w:tcW w:w="87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3000</w:t>
            </w:r>
          </w:p>
        </w:tc>
        <w:tc>
          <w:tcPr>
            <w:tcW w:w="1071"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210</w:t>
            </w:r>
          </w:p>
        </w:tc>
        <w:tc>
          <w:tcPr>
            <w:tcW w:w="135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210000</w:t>
            </w:r>
          </w:p>
        </w:tc>
        <w:tc>
          <w:tcPr>
            <w:tcW w:w="1067"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300</w:t>
            </w:r>
          </w:p>
        </w:tc>
        <w:tc>
          <w:tcPr>
            <w:tcW w:w="129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305268</w:t>
            </w:r>
          </w:p>
        </w:tc>
        <w:tc>
          <w:tcPr>
            <w:tcW w:w="129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95268</w:t>
            </w:r>
          </w:p>
        </w:tc>
        <w:tc>
          <w:tcPr>
            <w:tcW w:w="1392" w:type="dxa"/>
            <w:tcBorders>
              <w:top w:val="nil"/>
              <w:left w:val="nil"/>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31,2</w:t>
            </w:r>
          </w:p>
        </w:tc>
      </w:tr>
      <w:tr w:rsidR="007F68C4" w:rsidRPr="00224A66" w:rsidTr="0085702E">
        <w:trPr>
          <w:trHeight w:val="300"/>
        </w:trPr>
        <w:tc>
          <w:tcPr>
            <w:tcW w:w="988" w:type="dxa"/>
            <w:tcBorders>
              <w:top w:val="nil"/>
              <w:left w:val="single" w:sz="4" w:space="0" w:color="auto"/>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4</w:t>
            </w:r>
          </w:p>
        </w:tc>
        <w:tc>
          <w:tcPr>
            <w:tcW w:w="87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1800</w:t>
            </w:r>
          </w:p>
        </w:tc>
        <w:tc>
          <w:tcPr>
            <w:tcW w:w="1071"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240</w:t>
            </w:r>
          </w:p>
        </w:tc>
        <w:tc>
          <w:tcPr>
            <w:tcW w:w="135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144000</w:t>
            </w:r>
          </w:p>
        </w:tc>
        <w:tc>
          <w:tcPr>
            <w:tcW w:w="1067"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330</w:t>
            </w:r>
          </w:p>
        </w:tc>
        <w:tc>
          <w:tcPr>
            <w:tcW w:w="129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183162</w:t>
            </w:r>
          </w:p>
        </w:tc>
        <w:tc>
          <w:tcPr>
            <w:tcW w:w="129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39162</w:t>
            </w:r>
          </w:p>
        </w:tc>
        <w:tc>
          <w:tcPr>
            <w:tcW w:w="1392" w:type="dxa"/>
            <w:tcBorders>
              <w:top w:val="nil"/>
              <w:left w:val="nil"/>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41,0</w:t>
            </w:r>
          </w:p>
        </w:tc>
      </w:tr>
      <w:tr w:rsidR="007F68C4" w:rsidRPr="00224A66" w:rsidTr="0085702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5</w:t>
            </w:r>
          </w:p>
        </w:tc>
        <w:tc>
          <w:tcPr>
            <w:tcW w:w="870" w:type="dxa"/>
            <w:tcBorders>
              <w:top w:val="nil"/>
              <w:left w:val="nil"/>
              <w:bottom w:val="single" w:sz="4" w:space="0" w:color="auto"/>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300</w:t>
            </w:r>
          </w:p>
        </w:tc>
        <w:tc>
          <w:tcPr>
            <w:tcW w:w="1071" w:type="dxa"/>
            <w:tcBorders>
              <w:top w:val="nil"/>
              <w:left w:val="nil"/>
              <w:bottom w:val="single" w:sz="4" w:space="0" w:color="auto"/>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240</w:t>
            </w:r>
          </w:p>
        </w:tc>
        <w:tc>
          <w:tcPr>
            <w:tcW w:w="1359" w:type="dxa"/>
            <w:tcBorders>
              <w:top w:val="nil"/>
              <w:left w:val="nil"/>
              <w:bottom w:val="single" w:sz="4" w:space="0" w:color="auto"/>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24000</w:t>
            </w:r>
          </w:p>
        </w:tc>
        <w:tc>
          <w:tcPr>
            <w:tcW w:w="1067" w:type="dxa"/>
            <w:tcBorders>
              <w:top w:val="nil"/>
              <w:left w:val="nil"/>
              <w:bottom w:val="single" w:sz="4" w:space="0" w:color="auto"/>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336</w:t>
            </w:r>
          </w:p>
        </w:tc>
        <w:tc>
          <w:tcPr>
            <w:tcW w:w="1299" w:type="dxa"/>
            <w:tcBorders>
              <w:top w:val="nil"/>
              <w:left w:val="nil"/>
              <w:bottom w:val="single" w:sz="4" w:space="0" w:color="auto"/>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30528</w:t>
            </w:r>
          </w:p>
        </w:tc>
        <w:tc>
          <w:tcPr>
            <w:tcW w:w="1299" w:type="dxa"/>
            <w:tcBorders>
              <w:top w:val="nil"/>
              <w:left w:val="nil"/>
              <w:bottom w:val="single" w:sz="4" w:space="0" w:color="auto"/>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6528</w:t>
            </w:r>
          </w:p>
        </w:tc>
        <w:tc>
          <w:tcPr>
            <w:tcW w:w="1392" w:type="dxa"/>
            <w:tcBorders>
              <w:top w:val="nil"/>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50,9</w:t>
            </w:r>
          </w:p>
        </w:tc>
      </w:tr>
    </w:tbl>
    <w:p w:rsidR="007F68C4" w:rsidRDefault="007F68C4" w:rsidP="007F68C4">
      <w:pPr>
        <w:jc w:val="both"/>
        <w:rPr>
          <w:rFonts w:ascii="Times New Roman" w:hAnsi="Times New Roman" w:cs="Times New Roman"/>
          <w:sz w:val="24"/>
          <w:szCs w:val="24"/>
        </w:rPr>
      </w:pPr>
    </w:p>
    <w:p w:rsidR="007F68C4" w:rsidRDefault="007F68C4" w:rsidP="007F68C4">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64140C">
        <w:rPr>
          <w:rFonts w:ascii="Times New Roman" w:hAnsi="Times New Roman" w:cs="Times New Roman"/>
          <w:sz w:val="24"/>
          <w:szCs w:val="24"/>
        </w:rPr>
        <w:t>3</w:t>
      </w:r>
    </w:p>
    <w:p w:rsidR="00E91283" w:rsidRDefault="00E91283" w:rsidP="00E91283">
      <w:pPr>
        <w:rPr>
          <w:rFonts w:ascii="Times New Roman" w:hAnsi="Times New Roman" w:cs="Times New Roman"/>
          <w:sz w:val="24"/>
          <w:szCs w:val="24"/>
        </w:rPr>
      </w:pPr>
      <w:r>
        <w:rPr>
          <w:rFonts w:ascii="Times New Roman" w:hAnsi="Times New Roman" w:cs="Times New Roman"/>
          <w:sz w:val="24"/>
          <w:szCs w:val="24"/>
        </w:rPr>
        <w:t xml:space="preserve">Данные для расчета рентабельности затрат </w:t>
      </w:r>
    </w:p>
    <w:tbl>
      <w:tblPr>
        <w:tblW w:w="9238" w:type="dxa"/>
        <w:tblLook w:val="04A0" w:firstRow="1" w:lastRow="0" w:firstColumn="1" w:lastColumn="0" w:noHBand="0" w:noVBand="1"/>
      </w:tblPr>
      <w:tblGrid>
        <w:gridCol w:w="1640"/>
        <w:gridCol w:w="1659"/>
        <w:gridCol w:w="1640"/>
        <w:gridCol w:w="1640"/>
        <w:gridCol w:w="2659"/>
      </w:tblGrid>
      <w:tr w:rsidR="007F68C4" w:rsidRPr="00224A66" w:rsidTr="0085702E">
        <w:trPr>
          <w:trHeight w:val="331"/>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Номер сделки</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Выручка по сделке, тыс. руб.</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Затраты по сделке, тыс. руб.</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Валовая прибыль по сделке, тыс. руб.</w:t>
            </w:r>
          </w:p>
        </w:tc>
        <w:tc>
          <w:tcPr>
            <w:tcW w:w="2659" w:type="dxa"/>
            <w:tcBorders>
              <w:top w:val="single" w:sz="4" w:space="0" w:color="auto"/>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Рентабельность затрат, %</w:t>
            </w:r>
          </w:p>
        </w:tc>
      </w:tr>
      <w:tr w:rsidR="007F68C4" w:rsidRPr="00224A66" w:rsidTr="0085702E">
        <w:trPr>
          <w:trHeight w:val="331"/>
        </w:trPr>
        <w:tc>
          <w:tcPr>
            <w:tcW w:w="1640" w:type="dxa"/>
            <w:tcBorders>
              <w:top w:val="nil"/>
              <w:left w:val="single" w:sz="4" w:space="0" w:color="auto"/>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w:t>
            </w:r>
          </w:p>
        </w:tc>
        <w:tc>
          <w:tcPr>
            <w:tcW w:w="165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12800</w:t>
            </w:r>
          </w:p>
        </w:tc>
        <w:tc>
          <w:tcPr>
            <w:tcW w:w="164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12000</w:t>
            </w:r>
          </w:p>
        </w:tc>
        <w:tc>
          <w:tcPr>
            <w:tcW w:w="164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1800</w:t>
            </w:r>
          </w:p>
        </w:tc>
        <w:tc>
          <w:tcPr>
            <w:tcW w:w="2659" w:type="dxa"/>
            <w:tcBorders>
              <w:top w:val="nil"/>
              <w:left w:val="nil"/>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15,0</w:t>
            </w:r>
          </w:p>
        </w:tc>
      </w:tr>
      <w:tr w:rsidR="007F68C4" w:rsidRPr="00224A66" w:rsidTr="0085702E">
        <w:trPr>
          <w:trHeight w:val="331"/>
        </w:trPr>
        <w:tc>
          <w:tcPr>
            <w:tcW w:w="1640" w:type="dxa"/>
            <w:tcBorders>
              <w:top w:val="nil"/>
              <w:left w:val="single" w:sz="4" w:space="0" w:color="auto"/>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w:t>
            </w:r>
          </w:p>
        </w:tc>
        <w:tc>
          <w:tcPr>
            <w:tcW w:w="165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40120</w:t>
            </w:r>
          </w:p>
        </w:tc>
        <w:tc>
          <w:tcPr>
            <w:tcW w:w="164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34000</w:t>
            </w:r>
          </w:p>
        </w:tc>
        <w:tc>
          <w:tcPr>
            <w:tcW w:w="164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6120</w:t>
            </w:r>
          </w:p>
        </w:tc>
        <w:tc>
          <w:tcPr>
            <w:tcW w:w="2659" w:type="dxa"/>
            <w:tcBorders>
              <w:top w:val="nil"/>
              <w:left w:val="nil"/>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18,0</w:t>
            </w:r>
          </w:p>
        </w:tc>
      </w:tr>
      <w:tr w:rsidR="007F68C4" w:rsidRPr="00224A66" w:rsidTr="0085702E">
        <w:trPr>
          <w:trHeight w:val="331"/>
        </w:trPr>
        <w:tc>
          <w:tcPr>
            <w:tcW w:w="1640" w:type="dxa"/>
            <w:tcBorders>
              <w:top w:val="nil"/>
              <w:left w:val="single" w:sz="4" w:space="0" w:color="auto"/>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3</w:t>
            </w:r>
          </w:p>
        </w:tc>
        <w:tc>
          <w:tcPr>
            <w:tcW w:w="1659"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20000</w:t>
            </w:r>
          </w:p>
        </w:tc>
        <w:tc>
          <w:tcPr>
            <w:tcW w:w="164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16000</w:t>
            </w:r>
          </w:p>
        </w:tc>
        <w:tc>
          <w:tcPr>
            <w:tcW w:w="1640" w:type="dxa"/>
            <w:tcBorders>
              <w:top w:val="nil"/>
              <w:left w:val="nil"/>
              <w:bottom w:val="nil"/>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4000</w:t>
            </w:r>
          </w:p>
        </w:tc>
        <w:tc>
          <w:tcPr>
            <w:tcW w:w="2659" w:type="dxa"/>
            <w:tcBorders>
              <w:top w:val="nil"/>
              <w:left w:val="nil"/>
              <w:bottom w:val="nil"/>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25,0</w:t>
            </w:r>
          </w:p>
        </w:tc>
      </w:tr>
      <w:tr w:rsidR="007F68C4" w:rsidRPr="00224A66" w:rsidTr="0085702E">
        <w:trPr>
          <w:trHeight w:val="331"/>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4</w:t>
            </w:r>
          </w:p>
        </w:tc>
        <w:tc>
          <w:tcPr>
            <w:tcW w:w="1659" w:type="dxa"/>
            <w:tcBorders>
              <w:top w:val="nil"/>
              <w:left w:val="nil"/>
              <w:bottom w:val="single" w:sz="4" w:space="0" w:color="auto"/>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14000</w:t>
            </w:r>
          </w:p>
        </w:tc>
        <w:tc>
          <w:tcPr>
            <w:tcW w:w="1640" w:type="dxa"/>
            <w:tcBorders>
              <w:top w:val="nil"/>
              <w:left w:val="nil"/>
              <w:bottom w:val="single" w:sz="4" w:space="0" w:color="auto"/>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8000</w:t>
            </w:r>
          </w:p>
        </w:tc>
        <w:tc>
          <w:tcPr>
            <w:tcW w:w="1640" w:type="dxa"/>
            <w:tcBorders>
              <w:top w:val="nil"/>
              <w:left w:val="nil"/>
              <w:bottom w:val="single" w:sz="4" w:space="0" w:color="auto"/>
              <w:right w:val="nil"/>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6000</w:t>
            </w:r>
          </w:p>
        </w:tc>
        <w:tc>
          <w:tcPr>
            <w:tcW w:w="2659" w:type="dxa"/>
            <w:tcBorders>
              <w:top w:val="nil"/>
              <w:left w:val="nil"/>
              <w:bottom w:val="single" w:sz="4" w:space="0" w:color="auto"/>
              <w:right w:val="single" w:sz="4" w:space="0" w:color="auto"/>
            </w:tcBorders>
            <w:shd w:val="clear" w:color="auto" w:fill="auto"/>
            <w:noWrap/>
            <w:vAlign w:val="bottom"/>
            <w:hideMark/>
          </w:tcPr>
          <w:p w:rsidR="007F68C4" w:rsidRPr="00224A6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224A66">
              <w:rPr>
                <w:rFonts w:ascii="Times New Roman" w:eastAsia="Times New Roman" w:hAnsi="Times New Roman" w:cs="Times New Roman"/>
                <w:color w:val="000000"/>
                <w:sz w:val="20"/>
                <w:szCs w:val="20"/>
                <w:lang w:eastAsia="ru-RU"/>
              </w:rPr>
              <w:t>75,0</w:t>
            </w:r>
          </w:p>
        </w:tc>
      </w:tr>
    </w:tbl>
    <w:p w:rsidR="007F68C4" w:rsidRDefault="007F68C4" w:rsidP="007F68C4">
      <w:pPr>
        <w:jc w:val="both"/>
        <w:rPr>
          <w:rFonts w:ascii="Times New Roman" w:hAnsi="Times New Roman" w:cs="Times New Roman"/>
          <w:sz w:val="24"/>
          <w:szCs w:val="24"/>
        </w:rPr>
      </w:pPr>
    </w:p>
    <w:p w:rsidR="007F68C4" w:rsidRDefault="007F68C4" w:rsidP="007F68C4">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64140C">
        <w:rPr>
          <w:rFonts w:ascii="Times New Roman" w:hAnsi="Times New Roman" w:cs="Times New Roman"/>
          <w:sz w:val="24"/>
          <w:szCs w:val="24"/>
        </w:rPr>
        <w:t>4</w:t>
      </w:r>
    </w:p>
    <w:p w:rsidR="00E91283" w:rsidRDefault="00E91283" w:rsidP="00E91283">
      <w:pPr>
        <w:rPr>
          <w:rFonts w:ascii="Times New Roman" w:hAnsi="Times New Roman" w:cs="Times New Roman"/>
          <w:sz w:val="24"/>
          <w:szCs w:val="24"/>
        </w:rPr>
      </w:pPr>
      <w:r>
        <w:rPr>
          <w:rFonts w:ascii="Times New Roman" w:hAnsi="Times New Roman" w:cs="Times New Roman"/>
          <w:sz w:val="24"/>
          <w:szCs w:val="24"/>
        </w:rPr>
        <w:t>Данные для расчета рентабельности затрат и интервала рентабельности</w:t>
      </w:r>
    </w:p>
    <w:tbl>
      <w:tblPr>
        <w:tblW w:w="9245" w:type="dxa"/>
        <w:tblLook w:val="04A0" w:firstRow="1" w:lastRow="0" w:firstColumn="1" w:lastColumn="0" w:noHBand="0" w:noVBand="1"/>
      </w:tblPr>
      <w:tblGrid>
        <w:gridCol w:w="2794"/>
        <w:gridCol w:w="1703"/>
        <w:gridCol w:w="1187"/>
        <w:gridCol w:w="1187"/>
        <w:gridCol w:w="1187"/>
        <w:gridCol w:w="1187"/>
      </w:tblGrid>
      <w:tr w:rsidR="007F68C4" w:rsidRPr="00066B96" w:rsidTr="0085702E">
        <w:trPr>
          <w:trHeight w:val="331"/>
        </w:trPr>
        <w:tc>
          <w:tcPr>
            <w:tcW w:w="2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Рассматриваемый п</w:t>
            </w:r>
            <w:r w:rsidRPr="00066B96">
              <w:rPr>
                <w:rFonts w:ascii="Times New Roman" w:eastAsia="Times New Roman" w:hAnsi="Times New Roman" w:cs="Times New Roman"/>
                <w:color w:val="000000"/>
                <w:sz w:val="20"/>
                <w:szCs w:val="20"/>
                <w:lang w:eastAsia="ru-RU"/>
              </w:rPr>
              <w:t>оказатель, тыс. руб.</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Анализируемая организация</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Компания А</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Компания В</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Компания С</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Компания D</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Выруч</w:t>
            </w:r>
            <w:r w:rsidRPr="00066B96">
              <w:rPr>
                <w:rFonts w:ascii="Times New Roman" w:eastAsia="Times New Roman" w:hAnsi="Times New Roman" w:cs="Times New Roman"/>
                <w:color w:val="000000"/>
                <w:sz w:val="20"/>
                <w:szCs w:val="20"/>
                <w:lang w:eastAsia="ru-RU"/>
              </w:rPr>
              <w:t>ка</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210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500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300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800</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250</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в том числе аренда</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90,3</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400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180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500</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250</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Себестоимость продаж</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100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310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100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650</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240</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в том числе аренда</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75</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230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90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350</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240</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Валовая прибыль</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110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190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200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150</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10</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в том числе аренда</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15,3</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170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90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150</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10</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Коммерческие расходы</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5</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40</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Упр</w:t>
            </w:r>
            <w:r>
              <w:rPr>
                <w:rFonts w:ascii="Times New Roman" w:eastAsia="Times New Roman" w:hAnsi="Times New Roman" w:cs="Times New Roman"/>
                <w:color w:val="000000"/>
                <w:sz w:val="20"/>
                <w:szCs w:val="20"/>
                <w:lang w:eastAsia="ru-RU"/>
              </w:rPr>
              <w:t>а</w:t>
            </w:r>
            <w:r w:rsidRPr="00066B96">
              <w:rPr>
                <w:rFonts w:ascii="Times New Roman" w:eastAsia="Times New Roman" w:hAnsi="Times New Roman" w:cs="Times New Roman"/>
                <w:color w:val="000000"/>
                <w:sz w:val="20"/>
                <w:szCs w:val="20"/>
                <w:lang w:eastAsia="ru-RU"/>
              </w:rPr>
              <w:t>вленческие расходы</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30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180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80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150</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в том числе аренда</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12,9</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144</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48</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93,75</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Прибыль (убыток) от продаж</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60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5</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120</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-40</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10</w:t>
            </w:r>
          </w:p>
        </w:tc>
      </w:tr>
      <w:tr w:rsidR="007F68C4" w:rsidRPr="00066B96" w:rsidTr="0085702E">
        <w:trPr>
          <w:trHeight w:val="331"/>
        </w:trPr>
        <w:tc>
          <w:tcPr>
            <w:tcW w:w="2794" w:type="dxa"/>
            <w:tcBorders>
              <w:top w:val="nil"/>
              <w:left w:val="single" w:sz="4" w:space="0" w:color="auto"/>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в том числе аренда</w:t>
            </w:r>
          </w:p>
        </w:tc>
        <w:tc>
          <w:tcPr>
            <w:tcW w:w="1703" w:type="dxa"/>
            <w:tcBorders>
              <w:top w:val="nil"/>
              <w:left w:val="single" w:sz="4" w:space="0" w:color="auto"/>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2,4</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26</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42</w:t>
            </w:r>
          </w:p>
        </w:tc>
        <w:tc>
          <w:tcPr>
            <w:tcW w:w="1187" w:type="dxa"/>
            <w:tcBorders>
              <w:top w:val="nil"/>
              <w:left w:val="nil"/>
              <w:bottom w:val="nil"/>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56,25</w:t>
            </w:r>
          </w:p>
        </w:tc>
        <w:tc>
          <w:tcPr>
            <w:tcW w:w="1187" w:type="dxa"/>
            <w:tcBorders>
              <w:top w:val="nil"/>
              <w:left w:val="nil"/>
              <w:bottom w:val="nil"/>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10</w:t>
            </w:r>
          </w:p>
        </w:tc>
      </w:tr>
      <w:tr w:rsidR="007F68C4" w:rsidRPr="00066B96" w:rsidTr="0085702E">
        <w:trPr>
          <w:trHeight w:val="331"/>
        </w:trPr>
        <w:tc>
          <w:tcPr>
            <w:tcW w:w="2794" w:type="dxa"/>
            <w:tcBorders>
              <w:top w:val="nil"/>
              <w:left w:val="single" w:sz="4" w:space="0" w:color="auto"/>
              <w:bottom w:val="single" w:sz="4" w:space="0" w:color="auto"/>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Рентабельность затрат, %</w:t>
            </w:r>
          </w:p>
        </w:tc>
        <w:tc>
          <w:tcPr>
            <w:tcW w:w="1703" w:type="dxa"/>
            <w:tcBorders>
              <w:top w:val="nil"/>
              <w:left w:val="single" w:sz="4" w:space="0" w:color="auto"/>
              <w:bottom w:val="single" w:sz="4" w:space="0" w:color="auto"/>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2,73</w:t>
            </w:r>
          </w:p>
        </w:tc>
        <w:tc>
          <w:tcPr>
            <w:tcW w:w="1187" w:type="dxa"/>
            <w:tcBorders>
              <w:top w:val="nil"/>
              <w:left w:val="nil"/>
              <w:bottom w:val="single" w:sz="4" w:space="0" w:color="auto"/>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6,95</w:t>
            </w:r>
          </w:p>
        </w:tc>
        <w:tc>
          <w:tcPr>
            <w:tcW w:w="1187" w:type="dxa"/>
            <w:tcBorders>
              <w:top w:val="nil"/>
              <w:left w:val="nil"/>
              <w:bottom w:val="single" w:sz="4" w:space="0" w:color="auto"/>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30,43</w:t>
            </w:r>
          </w:p>
        </w:tc>
        <w:tc>
          <w:tcPr>
            <w:tcW w:w="1187" w:type="dxa"/>
            <w:tcBorders>
              <w:top w:val="nil"/>
              <w:left w:val="nil"/>
              <w:bottom w:val="single" w:sz="4" w:space="0" w:color="auto"/>
              <w:right w:val="nil"/>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12,68</w:t>
            </w:r>
          </w:p>
        </w:tc>
        <w:tc>
          <w:tcPr>
            <w:tcW w:w="1187" w:type="dxa"/>
            <w:tcBorders>
              <w:top w:val="nil"/>
              <w:left w:val="nil"/>
              <w:bottom w:val="single" w:sz="4" w:space="0" w:color="auto"/>
              <w:right w:val="single" w:sz="4" w:space="0" w:color="auto"/>
            </w:tcBorders>
            <w:shd w:val="clear" w:color="auto" w:fill="auto"/>
            <w:noWrap/>
            <w:vAlign w:val="bottom"/>
            <w:hideMark/>
          </w:tcPr>
          <w:p w:rsidR="007F68C4" w:rsidRPr="00066B96" w:rsidRDefault="007F68C4" w:rsidP="0085702E">
            <w:pPr>
              <w:spacing w:after="0" w:line="240" w:lineRule="auto"/>
              <w:jc w:val="center"/>
              <w:rPr>
                <w:rFonts w:ascii="Times New Roman" w:eastAsia="Times New Roman" w:hAnsi="Times New Roman" w:cs="Times New Roman"/>
                <w:color w:val="000000"/>
                <w:sz w:val="20"/>
                <w:szCs w:val="20"/>
                <w:lang w:eastAsia="ru-RU"/>
              </w:rPr>
            </w:pPr>
            <w:r w:rsidRPr="00066B96">
              <w:rPr>
                <w:rFonts w:ascii="Times New Roman" w:eastAsia="Times New Roman" w:hAnsi="Times New Roman" w:cs="Times New Roman"/>
                <w:color w:val="000000"/>
                <w:sz w:val="20"/>
                <w:szCs w:val="20"/>
                <w:lang w:eastAsia="ru-RU"/>
              </w:rPr>
              <w:t>4,17</w:t>
            </w:r>
          </w:p>
        </w:tc>
      </w:tr>
    </w:tbl>
    <w:p w:rsidR="00066B96" w:rsidRPr="008979F8" w:rsidRDefault="00066B96" w:rsidP="008979F8">
      <w:pPr>
        <w:spacing w:after="0" w:line="360" w:lineRule="auto"/>
        <w:jc w:val="both"/>
        <w:rPr>
          <w:lang w:val="en-US"/>
        </w:rPr>
      </w:pPr>
    </w:p>
    <w:sectPr w:rsidR="00066B96" w:rsidRPr="008979F8" w:rsidSect="007D704E">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5FE" w:rsidRDefault="00BC05FE" w:rsidP="00674FC7">
      <w:pPr>
        <w:spacing w:after="0" w:line="240" w:lineRule="auto"/>
      </w:pPr>
      <w:r>
        <w:separator/>
      </w:r>
    </w:p>
  </w:endnote>
  <w:endnote w:type="continuationSeparator" w:id="0">
    <w:p w:rsidR="00BC05FE" w:rsidRDefault="00BC05FE" w:rsidP="0067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913857"/>
      <w:docPartObj>
        <w:docPartGallery w:val="Page Numbers (Bottom of Page)"/>
        <w:docPartUnique/>
      </w:docPartObj>
    </w:sdtPr>
    <w:sdtEndPr>
      <w:rPr>
        <w:rFonts w:ascii="Times New Roman" w:hAnsi="Times New Roman" w:cs="Times New Roman"/>
      </w:rPr>
    </w:sdtEndPr>
    <w:sdtContent>
      <w:p w:rsidR="00FD4295" w:rsidRPr="007D704E" w:rsidRDefault="00FD4295">
        <w:pPr>
          <w:pStyle w:val="a6"/>
          <w:jc w:val="center"/>
          <w:rPr>
            <w:rFonts w:ascii="Times New Roman" w:hAnsi="Times New Roman" w:cs="Times New Roman"/>
          </w:rPr>
        </w:pPr>
        <w:r w:rsidRPr="007D704E">
          <w:rPr>
            <w:rFonts w:ascii="Times New Roman" w:hAnsi="Times New Roman" w:cs="Times New Roman"/>
          </w:rPr>
          <w:fldChar w:fldCharType="begin"/>
        </w:r>
        <w:r w:rsidRPr="007D704E">
          <w:rPr>
            <w:rFonts w:ascii="Times New Roman" w:hAnsi="Times New Roman" w:cs="Times New Roman"/>
          </w:rPr>
          <w:instrText>PAGE   \* MERGEFORMAT</w:instrText>
        </w:r>
        <w:r w:rsidRPr="007D704E">
          <w:rPr>
            <w:rFonts w:ascii="Times New Roman" w:hAnsi="Times New Roman" w:cs="Times New Roman"/>
          </w:rPr>
          <w:fldChar w:fldCharType="separate"/>
        </w:r>
        <w:r w:rsidR="00202D09">
          <w:rPr>
            <w:rFonts w:ascii="Times New Roman" w:hAnsi="Times New Roman" w:cs="Times New Roman"/>
            <w:noProof/>
          </w:rPr>
          <w:t>4</w:t>
        </w:r>
        <w:r w:rsidRPr="007D704E">
          <w:rPr>
            <w:rFonts w:ascii="Times New Roman" w:hAnsi="Times New Roman" w:cs="Times New Roman"/>
          </w:rPr>
          <w:fldChar w:fldCharType="end"/>
        </w:r>
      </w:p>
    </w:sdtContent>
  </w:sdt>
  <w:p w:rsidR="00FD4295" w:rsidRDefault="00FD42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5FE" w:rsidRDefault="00BC05FE" w:rsidP="00674FC7">
      <w:pPr>
        <w:spacing w:after="0" w:line="240" w:lineRule="auto"/>
      </w:pPr>
      <w:r>
        <w:separator/>
      </w:r>
    </w:p>
  </w:footnote>
  <w:footnote w:type="continuationSeparator" w:id="0">
    <w:p w:rsidR="00BC05FE" w:rsidRDefault="00BC05FE" w:rsidP="00674FC7">
      <w:pPr>
        <w:spacing w:after="0" w:line="240" w:lineRule="auto"/>
      </w:pPr>
      <w:r>
        <w:continuationSeparator/>
      </w:r>
    </w:p>
  </w:footnote>
  <w:footnote w:id="1">
    <w:p w:rsidR="00FD4295" w:rsidRPr="00D335AF" w:rsidRDefault="00FD4295" w:rsidP="00D335AF">
      <w:pPr>
        <w:pStyle w:val="ad"/>
        <w:spacing w:before="0" w:beforeAutospacing="0" w:after="0" w:afterAutospacing="0"/>
        <w:jc w:val="both"/>
        <w:rPr>
          <w:sz w:val="20"/>
          <w:szCs w:val="20"/>
        </w:rPr>
      </w:pPr>
      <w:r w:rsidRPr="00D335AF">
        <w:rPr>
          <w:rStyle w:val="ac"/>
          <w:sz w:val="20"/>
          <w:szCs w:val="20"/>
        </w:rPr>
        <w:footnoteRef/>
      </w:r>
      <w:r w:rsidRPr="00D335AF">
        <w:rPr>
          <w:sz w:val="20"/>
          <w:szCs w:val="20"/>
        </w:rPr>
        <w:t xml:space="preserve"> Цит. по: «Руководящие принципы трансфертного ценообразования ОЭСР для многонациональных предприятий и налоговых администраций 2017». - [Электронный ресурс]: https://read.oecd-ilibrary.org/taxation/oecd-transfer-pricing-guidelines-for-multinational-enterprises-and-tax-administrations-2017_tpg-2017-en#page1 (Дата обращения 15.04.2018).</w:t>
      </w:r>
    </w:p>
  </w:footnote>
  <w:footnote w:id="2">
    <w:p w:rsidR="00FD4295" w:rsidRPr="00E869D1" w:rsidRDefault="00FD4295" w:rsidP="00D335AF">
      <w:pPr>
        <w:pStyle w:val="aa"/>
        <w:rPr>
          <w:rFonts w:ascii="Times New Roman" w:hAnsi="Times New Roman" w:cs="Times New Roman"/>
        </w:rPr>
      </w:pPr>
      <w:r w:rsidRPr="00E869D1">
        <w:rPr>
          <w:rStyle w:val="ac"/>
          <w:rFonts w:ascii="Times New Roman" w:hAnsi="Times New Roman" w:cs="Times New Roman"/>
        </w:rPr>
        <w:footnoteRef/>
      </w:r>
      <w:r w:rsidRPr="00E869D1">
        <w:rPr>
          <w:rFonts w:ascii="Times New Roman" w:hAnsi="Times New Roman" w:cs="Times New Roman"/>
        </w:rPr>
        <w:t xml:space="preserve"> Цит. по: Алтухова Е.В. Сделки между взаимозависимыми лицами. Налоговые риски – М</w:t>
      </w:r>
      <w:r>
        <w:rPr>
          <w:rFonts w:ascii="Times New Roman" w:hAnsi="Times New Roman" w:cs="Times New Roman"/>
        </w:rPr>
        <w:t>.</w:t>
      </w:r>
      <w:r w:rsidRPr="00E869D1">
        <w:rPr>
          <w:rFonts w:ascii="Times New Roman" w:hAnsi="Times New Roman" w:cs="Times New Roman"/>
        </w:rPr>
        <w:t>: Дело, 200</w:t>
      </w:r>
      <w:r>
        <w:rPr>
          <w:rFonts w:ascii="Times New Roman" w:hAnsi="Times New Roman" w:cs="Times New Roman"/>
        </w:rPr>
        <w:t>9</w:t>
      </w:r>
      <w:r w:rsidRPr="00E869D1">
        <w:rPr>
          <w:rFonts w:ascii="Times New Roman" w:hAnsi="Times New Roman" w:cs="Times New Roman"/>
        </w:rPr>
        <w:t>. – С. 82.</w:t>
      </w:r>
    </w:p>
  </w:footnote>
  <w:footnote w:id="3">
    <w:p w:rsidR="00FD4295" w:rsidRDefault="00FD4295">
      <w:pPr>
        <w:pStyle w:val="aa"/>
      </w:pPr>
      <w:r>
        <w:rPr>
          <w:rStyle w:val="ac"/>
        </w:rPr>
        <w:footnoteRef/>
      </w:r>
      <w:r w:rsidRPr="00A10599">
        <w:rPr>
          <w:lang w:val="en-US"/>
        </w:rPr>
        <w:t xml:space="preserve"> </w:t>
      </w:r>
      <w:r w:rsidRPr="00A10599">
        <w:rPr>
          <w:rFonts w:ascii="Times New Roman" w:hAnsi="Times New Roman" w:cs="Times New Roman"/>
          <w:sz w:val="22"/>
          <w:szCs w:val="24"/>
          <w:lang w:val="en-US"/>
        </w:rPr>
        <w:t>Smullen, J. Transfer Pricing for Financial Institutions / J. Smullen. Woodhead</w:t>
      </w:r>
      <w:r w:rsidRPr="002B7CE4">
        <w:rPr>
          <w:rFonts w:ascii="Times New Roman" w:hAnsi="Times New Roman" w:cs="Times New Roman"/>
          <w:sz w:val="22"/>
          <w:szCs w:val="24"/>
        </w:rPr>
        <w:t xml:space="preserve"> </w:t>
      </w:r>
      <w:r w:rsidRPr="00A10599">
        <w:rPr>
          <w:rFonts w:ascii="Times New Roman" w:hAnsi="Times New Roman" w:cs="Times New Roman"/>
          <w:sz w:val="22"/>
          <w:szCs w:val="24"/>
          <w:lang w:val="en-US"/>
        </w:rPr>
        <w:t>Publishing</w:t>
      </w:r>
      <w:r w:rsidRPr="002B7CE4">
        <w:rPr>
          <w:rFonts w:ascii="Times New Roman" w:hAnsi="Times New Roman" w:cs="Times New Roman"/>
          <w:sz w:val="22"/>
          <w:szCs w:val="24"/>
        </w:rPr>
        <w:t xml:space="preserve">. – 2011. – </w:t>
      </w:r>
      <w:r w:rsidRPr="00A10599">
        <w:rPr>
          <w:rFonts w:ascii="Times New Roman" w:hAnsi="Times New Roman" w:cs="Times New Roman"/>
          <w:sz w:val="22"/>
          <w:szCs w:val="24"/>
          <w:lang w:val="en-US"/>
        </w:rPr>
        <w:t>C</w:t>
      </w:r>
      <w:r w:rsidRPr="002B7CE4">
        <w:rPr>
          <w:rFonts w:ascii="Times New Roman" w:hAnsi="Times New Roman" w:cs="Times New Roman"/>
          <w:sz w:val="22"/>
          <w:szCs w:val="24"/>
        </w:rPr>
        <w:t>.34.</w:t>
      </w:r>
    </w:p>
  </w:footnote>
  <w:footnote w:id="4">
    <w:p w:rsidR="00FD4295" w:rsidRPr="005119C3" w:rsidRDefault="00FD4295" w:rsidP="005119C3">
      <w:pPr>
        <w:pStyle w:val="ad"/>
        <w:spacing w:before="0" w:beforeAutospacing="0" w:after="0" w:afterAutospacing="0"/>
        <w:jc w:val="both"/>
        <w:rPr>
          <w:sz w:val="20"/>
          <w:szCs w:val="20"/>
        </w:rPr>
      </w:pPr>
      <w:r w:rsidRPr="005119C3">
        <w:rPr>
          <w:rStyle w:val="ac"/>
          <w:sz w:val="20"/>
          <w:szCs w:val="20"/>
        </w:rPr>
        <w:footnoteRef/>
      </w:r>
      <w:r w:rsidRPr="005119C3">
        <w:rPr>
          <w:sz w:val="20"/>
          <w:szCs w:val="20"/>
        </w:rPr>
        <w:t xml:space="preserve"> Пашкус В.Ю.</w:t>
      </w:r>
      <w:r>
        <w:rPr>
          <w:sz w:val="20"/>
          <w:szCs w:val="20"/>
        </w:rPr>
        <w:t xml:space="preserve"> </w:t>
      </w:r>
      <w:r w:rsidRPr="005119C3">
        <w:rPr>
          <w:sz w:val="20"/>
          <w:szCs w:val="20"/>
        </w:rPr>
        <w:t>Теория трансфертного ценообразования в современной организации: понятия, модели, проблемы</w:t>
      </w:r>
      <w:r>
        <w:rPr>
          <w:sz w:val="20"/>
          <w:szCs w:val="20"/>
        </w:rPr>
        <w:t xml:space="preserve"> / В.Ю. Пашкус.</w:t>
      </w:r>
      <w:r w:rsidRPr="005119C3">
        <w:rPr>
          <w:sz w:val="20"/>
          <w:szCs w:val="20"/>
        </w:rPr>
        <w:t xml:space="preserve"> - [Электронный ресурс]: https://www.ippnou.ru/print/000761/ (Дата обращения 15.04.2018).</w:t>
      </w:r>
    </w:p>
    <w:p w:rsidR="00FD4295" w:rsidRDefault="00FD4295">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54A6"/>
    <w:multiLevelType w:val="hybridMultilevel"/>
    <w:tmpl w:val="A0241B74"/>
    <w:lvl w:ilvl="0" w:tplc="D17290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86350D"/>
    <w:multiLevelType w:val="hybridMultilevel"/>
    <w:tmpl w:val="C5B2CA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F234C4"/>
    <w:multiLevelType w:val="hybridMultilevel"/>
    <w:tmpl w:val="0A0E16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1439A"/>
    <w:multiLevelType w:val="hybridMultilevel"/>
    <w:tmpl w:val="5EE4D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83064D"/>
    <w:multiLevelType w:val="hybridMultilevel"/>
    <w:tmpl w:val="DAD4AD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6A038A4"/>
    <w:multiLevelType w:val="hybridMultilevel"/>
    <w:tmpl w:val="4FC49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2C3AE1"/>
    <w:multiLevelType w:val="hybridMultilevel"/>
    <w:tmpl w:val="FFDC4B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C636DC"/>
    <w:multiLevelType w:val="hybridMultilevel"/>
    <w:tmpl w:val="A64A04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8B2D42"/>
    <w:multiLevelType w:val="hybridMultilevel"/>
    <w:tmpl w:val="FD6EEB88"/>
    <w:lvl w:ilvl="0" w:tplc="04987A52">
      <w:start w:val="3"/>
      <w:numFmt w:val="bullet"/>
      <w:lvlText w:val=""/>
      <w:lvlJc w:val="left"/>
      <w:pPr>
        <w:ind w:left="2062" w:hanging="360"/>
      </w:pPr>
      <w:rPr>
        <w:rFonts w:ascii="Symbol" w:eastAsiaTheme="minorHAnsi" w:hAnsi="Symbol"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E1A101E"/>
    <w:multiLevelType w:val="hybridMultilevel"/>
    <w:tmpl w:val="0902CC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0E52E7"/>
    <w:multiLevelType w:val="hybridMultilevel"/>
    <w:tmpl w:val="616E0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E06DD7"/>
    <w:multiLevelType w:val="hybridMultilevel"/>
    <w:tmpl w:val="34E0E3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174151"/>
    <w:multiLevelType w:val="hybridMultilevel"/>
    <w:tmpl w:val="0EBC91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50758A"/>
    <w:multiLevelType w:val="hybridMultilevel"/>
    <w:tmpl w:val="FB20B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BC10AF"/>
    <w:multiLevelType w:val="hybridMultilevel"/>
    <w:tmpl w:val="712C0DF2"/>
    <w:lvl w:ilvl="0" w:tplc="14DEC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FD4D48"/>
    <w:multiLevelType w:val="multilevel"/>
    <w:tmpl w:val="253E01DC"/>
    <w:lvl w:ilvl="0">
      <w:start w:val="1"/>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440" w:hanging="1440"/>
      </w:pPr>
      <w:rPr>
        <w:rFonts w:asciiTheme="minorHAnsi" w:hAnsiTheme="minorHAnsi" w:cstheme="minorBidi" w:hint="default"/>
        <w:color w:val="auto"/>
        <w:sz w:val="22"/>
      </w:rPr>
    </w:lvl>
  </w:abstractNum>
  <w:abstractNum w:abstractNumId="16" w15:restartNumberingAfterBreak="0">
    <w:nsid w:val="34D8700E"/>
    <w:multiLevelType w:val="hybridMultilevel"/>
    <w:tmpl w:val="15DE2DF0"/>
    <w:lvl w:ilvl="0" w:tplc="04987A52">
      <w:start w:val="3"/>
      <w:numFmt w:val="bullet"/>
      <w:lvlText w:val=""/>
      <w:lvlJc w:val="left"/>
      <w:pPr>
        <w:ind w:left="1211" w:hanging="360"/>
      </w:pPr>
      <w:rPr>
        <w:rFonts w:ascii="Symbol" w:eastAsiaTheme="minorHAnsi" w:hAnsi="Symbol" w:cstheme="minorBid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353910B1"/>
    <w:multiLevelType w:val="hybridMultilevel"/>
    <w:tmpl w:val="37ECB6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778225F"/>
    <w:multiLevelType w:val="hybridMultilevel"/>
    <w:tmpl w:val="79148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1400AA"/>
    <w:multiLevelType w:val="hybridMultilevel"/>
    <w:tmpl w:val="630AF8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4228A6"/>
    <w:multiLevelType w:val="hybridMultilevel"/>
    <w:tmpl w:val="3678F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B8285C"/>
    <w:multiLevelType w:val="hybridMultilevel"/>
    <w:tmpl w:val="F44A5F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9FA279E"/>
    <w:multiLevelType w:val="hybridMultilevel"/>
    <w:tmpl w:val="228A5C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874A64"/>
    <w:multiLevelType w:val="hybridMultilevel"/>
    <w:tmpl w:val="6492C1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DF54152"/>
    <w:multiLevelType w:val="hybridMultilevel"/>
    <w:tmpl w:val="544ED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52EEC"/>
    <w:multiLevelType w:val="hybridMultilevel"/>
    <w:tmpl w:val="9F6A1F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B0236F"/>
    <w:multiLevelType w:val="hybridMultilevel"/>
    <w:tmpl w:val="2AA460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73B04B6"/>
    <w:multiLevelType w:val="hybridMultilevel"/>
    <w:tmpl w:val="1F10F6AC"/>
    <w:lvl w:ilvl="0" w:tplc="C39E18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7D5124"/>
    <w:multiLevelType w:val="hybridMultilevel"/>
    <w:tmpl w:val="3F3C5C2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94A00F7"/>
    <w:multiLevelType w:val="hybridMultilevel"/>
    <w:tmpl w:val="689A6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605DF0"/>
    <w:multiLevelType w:val="multilevel"/>
    <w:tmpl w:val="0FDCA9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8E3FCC"/>
    <w:multiLevelType w:val="hybridMultilevel"/>
    <w:tmpl w:val="69FA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CB6713"/>
    <w:multiLevelType w:val="hybridMultilevel"/>
    <w:tmpl w:val="2B5E0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420FF8"/>
    <w:multiLevelType w:val="hybridMultilevel"/>
    <w:tmpl w:val="95FEAD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FD35447"/>
    <w:multiLevelType w:val="hybridMultilevel"/>
    <w:tmpl w:val="737E2BB4"/>
    <w:lvl w:ilvl="0" w:tplc="B296D9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1115B36"/>
    <w:multiLevelType w:val="hybridMultilevel"/>
    <w:tmpl w:val="FD46EE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723D6141"/>
    <w:multiLevelType w:val="hybridMultilevel"/>
    <w:tmpl w:val="878463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26564DE"/>
    <w:multiLevelType w:val="hybridMultilevel"/>
    <w:tmpl w:val="A7A61AF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76B965B3"/>
    <w:multiLevelType w:val="hybridMultilevel"/>
    <w:tmpl w:val="DD60648C"/>
    <w:lvl w:ilvl="0" w:tplc="14DEC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B60AC5"/>
    <w:multiLevelType w:val="hybridMultilevel"/>
    <w:tmpl w:val="CADA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6345C2"/>
    <w:multiLevelType w:val="hybridMultilevel"/>
    <w:tmpl w:val="A8D0D7B4"/>
    <w:lvl w:ilvl="0" w:tplc="28049D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6"/>
  </w:num>
  <w:num w:numId="3">
    <w:abstractNumId w:val="23"/>
  </w:num>
  <w:num w:numId="4">
    <w:abstractNumId w:val="30"/>
  </w:num>
  <w:num w:numId="5">
    <w:abstractNumId w:val="5"/>
  </w:num>
  <w:num w:numId="6">
    <w:abstractNumId w:val="31"/>
  </w:num>
  <w:num w:numId="7">
    <w:abstractNumId w:val="10"/>
  </w:num>
  <w:num w:numId="8">
    <w:abstractNumId w:val="27"/>
  </w:num>
  <w:num w:numId="9">
    <w:abstractNumId w:val="18"/>
  </w:num>
  <w:num w:numId="10">
    <w:abstractNumId w:val="24"/>
  </w:num>
  <w:num w:numId="11">
    <w:abstractNumId w:val="12"/>
  </w:num>
  <w:num w:numId="12">
    <w:abstractNumId w:val="39"/>
  </w:num>
  <w:num w:numId="13">
    <w:abstractNumId w:val="40"/>
  </w:num>
  <w:num w:numId="14">
    <w:abstractNumId w:val="17"/>
  </w:num>
  <w:num w:numId="15">
    <w:abstractNumId w:val="4"/>
  </w:num>
  <w:num w:numId="16">
    <w:abstractNumId w:val="16"/>
  </w:num>
  <w:num w:numId="17">
    <w:abstractNumId w:val="8"/>
  </w:num>
  <w:num w:numId="18">
    <w:abstractNumId w:val="33"/>
  </w:num>
  <w:num w:numId="19">
    <w:abstractNumId w:val="1"/>
  </w:num>
  <w:num w:numId="20">
    <w:abstractNumId w:val="21"/>
  </w:num>
  <w:num w:numId="21">
    <w:abstractNumId w:val="28"/>
  </w:num>
  <w:num w:numId="22">
    <w:abstractNumId w:val="22"/>
  </w:num>
  <w:num w:numId="23">
    <w:abstractNumId w:val="6"/>
  </w:num>
  <w:num w:numId="24">
    <w:abstractNumId w:val="32"/>
  </w:num>
  <w:num w:numId="25">
    <w:abstractNumId w:val="7"/>
  </w:num>
  <w:num w:numId="26">
    <w:abstractNumId w:val="9"/>
  </w:num>
  <w:num w:numId="27">
    <w:abstractNumId w:val="38"/>
  </w:num>
  <w:num w:numId="28">
    <w:abstractNumId w:val="14"/>
  </w:num>
  <w:num w:numId="29">
    <w:abstractNumId w:val="2"/>
  </w:num>
  <w:num w:numId="30">
    <w:abstractNumId w:val="37"/>
  </w:num>
  <w:num w:numId="31">
    <w:abstractNumId w:val="34"/>
  </w:num>
  <w:num w:numId="32">
    <w:abstractNumId w:val="35"/>
  </w:num>
  <w:num w:numId="33">
    <w:abstractNumId w:val="13"/>
  </w:num>
  <w:num w:numId="34">
    <w:abstractNumId w:val="26"/>
  </w:num>
  <w:num w:numId="35">
    <w:abstractNumId w:val="11"/>
  </w:num>
  <w:num w:numId="36">
    <w:abstractNumId w:val="25"/>
  </w:num>
  <w:num w:numId="37">
    <w:abstractNumId w:val="20"/>
  </w:num>
  <w:num w:numId="38">
    <w:abstractNumId w:val="3"/>
  </w:num>
  <w:num w:numId="39">
    <w:abstractNumId w:val="29"/>
  </w:num>
  <w:num w:numId="40">
    <w:abstractNumId w:val="1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4F"/>
    <w:rsid w:val="00005AEC"/>
    <w:rsid w:val="00015E9B"/>
    <w:rsid w:val="00016542"/>
    <w:rsid w:val="0001686C"/>
    <w:rsid w:val="0002074A"/>
    <w:rsid w:val="0002107E"/>
    <w:rsid w:val="0002481F"/>
    <w:rsid w:val="00027DC9"/>
    <w:rsid w:val="00032698"/>
    <w:rsid w:val="00050962"/>
    <w:rsid w:val="00063E79"/>
    <w:rsid w:val="00066B96"/>
    <w:rsid w:val="00074592"/>
    <w:rsid w:val="0007694B"/>
    <w:rsid w:val="000943A6"/>
    <w:rsid w:val="000A6EE0"/>
    <w:rsid w:val="000B5E01"/>
    <w:rsid w:val="000C4564"/>
    <w:rsid w:val="000D180A"/>
    <w:rsid w:val="000E6FBC"/>
    <w:rsid w:val="000F2A15"/>
    <w:rsid w:val="00107C6D"/>
    <w:rsid w:val="0011081B"/>
    <w:rsid w:val="00113E42"/>
    <w:rsid w:val="00116A41"/>
    <w:rsid w:val="001200D8"/>
    <w:rsid w:val="0012135F"/>
    <w:rsid w:val="00126CC1"/>
    <w:rsid w:val="00144258"/>
    <w:rsid w:val="00175346"/>
    <w:rsid w:val="00177607"/>
    <w:rsid w:val="00180FDB"/>
    <w:rsid w:val="00185E7E"/>
    <w:rsid w:val="001968D0"/>
    <w:rsid w:val="001B1E78"/>
    <w:rsid w:val="001C67D3"/>
    <w:rsid w:val="001D220C"/>
    <w:rsid w:val="001D3E93"/>
    <w:rsid w:val="001D4F5F"/>
    <w:rsid w:val="001E063F"/>
    <w:rsid w:val="001E2E8D"/>
    <w:rsid w:val="001E54EA"/>
    <w:rsid w:val="001F1305"/>
    <w:rsid w:val="00202D09"/>
    <w:rsid w:val="002139AA"/>
    <w:rsid w:val="00224A66"/>
    <w:rsid w:val="00240A44"/>
    <w:rsid w:val="00241772"/>
    <w:rsid w:val="002436A2"/>
    <w:rsid w:val="0026094D"/>
    <w:rsid w:val="00260FE1"/>
    <w:rsid w:val="00261543"/>
    <w:rsid w:val="00261BB1"/>
    <w:rsid w:val="00270904"/>
    <w:rsid w:val="00272097"/>
    <w:rsid w:val="00282A7C"/>
    <w:rsid w:val="002945CF"/>
    <w:rsid w:val="00297FB8"/>
    <w:rsid w:val="002A0377"/>
    <w:rsid w:val="002A3193"/>
    <w:rsid w:val="002A6403"/>
    <w:rsid w:val="002B3D72"/>
    <w:rsid w:val="002B705A"/>
    <w:rsid w:val="002B7CE4"/>
    <w:rsid w:val="002C352C"/>
    <w:rsid w:val="002D4441"/>
    <w:rsid w:val="002E0321"/>
    <w:rsid w:val="002E152E"/>
    <w:rsid w:val="002E4699"/>
    <w:rsid w:val="002F1011"/>
    <w:rsid w:val="002F49D9"/>
    <w:rsid w:val="003026DA"/>
    <w:rsid w:val="0030355C"/>
    <w:rsid w:val="00310F2E"/>
    <w:rsid w:val="0031252B"/>
    <w:rsid w:val="00312C12"/>
    <w:rsid w:val="00313C9A"/>
    <w:rsid w:val="00313E2D"/>
    <w:rsid w:val="00314E85"/>
    <w:rsid w:val="003332C0"/>
    <w:rsid w:val="00342423"/>
    <w:rsid w:val="003440AC"/>
    <w:rsid w:val="003540FB"/>
    <w:rsid w:val="0035798E"/>
    <w:rsid w:val="00364C98"/>
    <w:rsid w:val="00365C06"/>
    <w:rsid w:val="00370675"/>
    <w:rsid w:val="00371C2D"/>
    <w:rsid w:val="003862D1"/>
    <w:rsid w:val="00387016"/>
    <w:rsid w:val="0039409C"/>
    <w:rsid w:val="00395021"/>
    <w:rsid w:val="003B4A12"/>
    <w:rsid w:val="003C2D2E"/>
    <w:rsid w:val="003D4B50"/>
    <w:rsid w:val="003E3882"/>
    <w:rsid w:val="003E7954"/>
    <w:rsid w:val="003F7CC6"/>
    <w:rsid w:val="00403A4C"/>
    <w:rsid w:val="00415175"/>
    <w:rsid w:val="00421F9C"/>
    <w:rsid w:val="004305B0"/>
    <w:rsid w:val="00444F2A"/>
    <w:rsid w:val="00454A59"/>
    <w:rsid w:val="0046025C"/>
    <w:rsid w:val="0046232E"/>
    <w:rsid w:val="00464E3F"/>
    <w:rsid w:val="0046651B"/>
    <w:rsid w:val="00484578"/>
    <w:rsid w:val="00490D75"/>
    <w:rsid w:val="004B514B"/>
    <w:rsid w:val="004D0F3A"/>
    <w:rsid w:val="004D27A3"/>
    <w:rsid w:val="004D3086"/>
    <w:rsid w:val="004D665E"/>
    <w:rsid w:val="004E27A6"/>
    <w:rsid w:val="004F5D5E"/>
    <w:rsid w:val="004F6DCB"/>
    <w:rsid w:val="005119C3"/>
    <w:rsid w:val="00517159"/>
    <w:rsid w:val="00523C65"/>
    <w:rsid w:val="005266B9"/>
    <w:rsid w:val="00536BD8"/>
    <w:rsid w:val="00576F7A"/>
    <w:rsid w:val="0058041C"/>
    <w:rsid w:val="00580B02"/>
    <w:rsid w:val="005A1D4E"/>
    <w:rsid w:val="005A2722"/>
    <w:rsid w:val="005A4E6E"/>
    <w:rsid w:val="005D3AF8"/>
    <w:rsid w:val="005D6ED4"/>
    <w:rsid w:val="005D7184"/>
    <w:rsid w:val="005D7495"/>
    <w:rsid w:val="005E65BF"/>
    <w:rsid w:val="005F0B08"/>
    <w:rsid w:val="005F2673"/>
    <w:rsid w:val="005F5AF0"/>
    <w:rsid w:val="006020E6"/>
    <w:rsid w:val="006045D1"/>
    <w:rsid w:val="00610415"/>
    <w:rsid w:val="00610790"/>
    <w:rsid w:val="00614A73"/>
    <w:rsid w:val="00615153"/>
    <w:rsid w:val="0062263B"/>
    <w:rsid w:val="006253F0"/>
    <w:rsid w:val="00627073"/>
    <w:rsid w:val="00627957"/>
    <w:rsid w:val="0063112A"/>
    <w:rsid w:val="00631745"/>
    <w:rsid w:val="0064140C"/>
    <w:rsid w:val="00644365"/>
    <w:rsid w:val="00646A62"/>
    <w:rsid w:val="0064738B"/>
    <w:rsid w:val="00652F63"/>
    <w:rsid w:val="006600A2"/>
    <w:rsid w:val="00674FC7"/>
    <w:rsid w:val="006760D3"/>
    <w:rsid w:val="00677E60"/>
    <w:rsid w:val="0068241F"/>
    <w:rsid w:val="006955EF"/>
    <w:rsid w:val="006A6F3F"/>
    <w:rsid w:val="006B4D56"/>
    <w:rsid w:val="006C3ED2"/>
    <w:rsid w:val="006D3D59"/>
    <w:rsid w:val="006E1D99"/>
    <w:rsid w:val="006F16CF"/>
    <w:rsid w:val="006F26F8"/>
    <w:rsid w:val="0071295A"/>
    <w:rsid w:val="00713EE0"/>
    <w:rsid w:val="007303CF"/>
    <w:rsid w:val="00730612"/>
    <w:rsid w:val="0074270D"/>
    <w:rsid w:val="00754A62"/>
    <w:rsid w:val="007600ED"/>
    <w:rsid w:val="00767A96"/>
    <w:rsid w:val="00772A00"/>
    <w:rsid w:val="00777FF7"/>
    <w:rsid w:val="00780E82"/>
    <w:rsid w:val="00781EC4"/>
    <w:rsid w:val="00782D2D"/>
    <w:rsid w:val="00784326"/>
    <w:rsid w:val="0078522A"/>
    <w:rsid w:val="007A7E63"/>
    <w:rsid w:val="007B4403"/>
    <w:rsid w:val="007B47D1"/>
    <w:rsid w:val="007C07FD"/>
    <w:rsid w:val="007D5216"/>
    <w:rsid w:val="007D704E"/>
    <w:rsid w:val="007E456D"/>
    <w:rsid w:val="007F058A"/>
    <w:rsid w:val="007F68C4"/>
    <w:rsid w:val="008005DE"/>
    <w:rsid w:val="00803BA0"/>
    <w:rsid w:val="00813696"/>
    <w:rsid w:val="0081633A"/>
    <w:rsid w:val="008342BF"/>
    <w:rsid w:val="00840400"/>
    <w:rsid w:val="00841C01"/>
    <w:rsid w:val="00843F81"/>
    <w:rsid w:val="00855059"/>
    <w:rsid w:val="0085702E"/>
    <w:rsid w:val="008602CB"/>
    <w:rsid w:val="008609BF"/>
    <w:rsid w:val="00865276"/>
    <w:rsid w:val="00871460"/>
    <w:rsid w:val="00871A99"/>
    <w:rsid w:val="00872737"/>
    <w:rsid w:val="00873AB1"/>
    <w:rsid w:val="008808B4"/>
    <w:rsid w:val="008818EA"/>
    <w:rsid w:val="00881FBD"/>
    <w:rsid w:val="008909B1"/>
    <w:rsid w:val="00894491"/>
    <w:rsid w:val="008979F8"/>
    <w:rsid w:val="008A1390"/>
    <w:rsid w:val="008A255A"/>
    <w:rsid w:val="008A2D23"/>
    <w:rsid w:val="008A5244"/>
    <w:rsid w:val="008B2E72"/>
    <w:rsid w:val="008C054B"/>
    <w:rsid w:val="008D697B"/>
    <w:rsid w:val="008E51E1"/>
    <w:rsid w:val="008E7955"/>
    <w:rsid w:val="008F0EA0"/>
    <w:rsid w:val="008F32E0"/>
    <w:rsid w:val="00927EE7"/>
    <w:rsid w:val="00930522"/>
    <w:rsid w:val="00942532"/>
    <w:rsid w:val="009568D1"/>
    <w:rsid w:val="009605F5"/>
    <w:rsid w:val="00964C17"/>
    <w:rsid w:val="00972044"/>
    <w:rsid w:val="009723CF"/>
    <w:rsid w:val="009761E8"/>
    <w:rsid w:val="009778F8"/>
    <w:rsid w:val="0098239A"/>
    <w:rsid w:val="009842F2"/>
    <w:rsid w:val="009864BE"/>
    <w:rsid w:val="00986ABF"/>
    <w:rsid w:val="009906EB"/>
    <w:rsid w:val="009B2371"/>
    <w:rsid w:val="009B5C45"/>
    <w:rsid w:val="009C0A05"/>
    <w:rsid w:val="009C1411"/>
    <w:rsid w:val="009F0001"/>
    <w:rsid w:val="009F4F2A"/>
    <w:rsid w:val="009F60B0"/>
    <w:rsid w:val="00A04C73"/>
    <w:rsid w:val="00A058C4"/>
    <w:rsid w:val="00A10599"/>
    <w:rsid w:val="00A157DA"/>
    <w:rsid w:val="00A20760"/>
    <w:rsid w:val="00A36091"/>
    <w:rsid w:val="00A51412"/>
    <w:rsid w:val="00A56353"/>
    <w:rsid w:val="00A647BE"/>
    <w:rsid w:val="00A65268"/>
    <w:rsid w:val="00A65DEF"/>
    <w:rsid w:val="00A6662E"/>
    <w:rsid w:val="00A67CFB"/>
    <w:rsid w:val="00A8252C"/>
    <w:rsid w:val="00A92946"/>
    <w:rsid w:val="00AA7BEB"/>
    <w:rsid w:val="00AB18F9"/>
    <w:rsid w:val="00AB47FB"/>
    <w:rsid w:val="00AC3A7F"/>
    <w:rsid w:val="00AC6992"/>
    <w:rsid w:val="00AD23EB"/>
    <w:rsid w:val="00AD38E0"/>
    <w:rsid w:val="00AE4825"/>
    <w:rsid w:val="00AF6A38"/>
    <w:rsid w:val="00AF6C32"/>
    <w:rsid w:val="00AF6C7D"/>
    <w:rsid w:val="00B02805"/>
    <w:rsid w:val="00B0294A"/>
    <w:rsid w:val="00B11FBF"/>
    <w:rsid w:val="00B12FF0"/>
    <w:rsid w:val="00B2634A"/>
    <w:rsid w:val="00B339D4"/>
    <w:rsid w:val="00B3450F"/>
    <w:rsid w:val="00B41E13"/>
    <w:rsid w:val="00B433B0"/>
    <w:rsid w:val="00B43E75"/>
    <w:rsid w:val="00B6079B"/>
    <w:rsid w:val="00B60832"/>
    <w:rsid w:val="00B61B6E"/>
    <w:rsid w:val="00B63784"/>
    <w:rsid w:val="00B749B6"/>
    <w:rsid w:val="00B85862"/>
    <w:rsid w:val="00B92B5A"/>
    <w:rsid w:val="00B9408E"/>
    <w:rsid w:val="00BA43C6"/>
    <w:rsid w:val="00BB01F3"/>
    <w:rsid w:val="00BB0AD0"/>
    <w:rsid w:val="00BB0DD1"/>
    <w:rsid w:val="00BB7E03"/>
    <w:rsid w:val="00BC05FE"/>
    <w:rsid w:val="00BC68BF"/>
    <w:rsid w:val="00BD27D6"/>
    <w:rsid w:val="00BE1EAA"/>
    <w:rsid w:val="00BE412F"/>
    <w:rsid w:val="00C006C1"/>
    <w:rsid w:val="00C05AAB"/>
    <w:rsid w:val="00C14F04"/>
    <w:rsid w:val="00C14F10"/>
    <w:rsid w:val="00C42664"/>
    <w:rsid w:val="00C44985"/>
    <w:rsid w:val="00C604DD"/>
    <w:rsid w:val="00C657F6"/>
    <w:rsid w:val="00C72405"/>
    <w:rsid w:val="00C73EA0"/>
    <w:rsid w:val="00C84A7E"/>
    <w:rsid w:val="00C84EAD"/>
    <w:rsid w:val="00C93C87"/>
    <w:rsid w:val="00C955EE"/>
    <w:rsid w:val="00CA4F0D"/>
    <w:rsid w:val="00CB2BDE"/>
    <w:rsid w:val="00CB40E0"/>
    <w:rsid w:val="00CC106A"/>
    <w:rsid w:val="00CC15FB"/>
    <w:rsid w:val="00CE12D7"/>
    <w:rsid w:val="00CE3CAF"/>
    <w:rsid w:val="00CE488D"/>
    <w:rsid w:val="00CE6E89"/>
    <w:rsid w:val="00D0439C"/>
    <w:rsid w:val="00D13730"/>
    <w:rsid w:val="00D157B5"/>
    <w:rsid w:val="00D30F68"/>
    <w:rsid w:val="00D335AF"/>
    <w:rsid w:val="00D45B81"/>
    <w:rsid w:val="00D53122"/>
    <w:rsid w:val="00D562F8"/>
    <w:rsid w:val="00D56C9F"/>
    <w:rsid w:val="00D66E7E"/>
    <w:rsid w:val="00D77202"/>
    <w:rsid w:val="00D8707D"/>
    <w:rsid w:val="00D91466"/>
    <w:rsid w:val="00D916CA"/>
    <w:rsid w:val="00D93ED7"/>
    <w:rsid w:val="00D961F3"/>
    <w:rsid w:val="00DA56A7"/>
    <w:rsid w:val="00DB42FE"/>
    <w:rsid w:val="00DC3CA7"/>
    <w:rsid w:val="00DE1468"/>
    <w:rsid w:val="00DE18D6"/>
    <w:rsid w:val="00DE5F8A"/>
    <w:rsid w:val="00DF0CDE"/>
    <w:rsid w:val="00E003AD"/>
    <w:rsid w:val="00E01557"/>
    <w:rsid w:val="00E15A44"/>
    <w:rsid w:val="00E23776"/>
    <w:rsid w:val="00E31BAD"/>
    <w:rsid w:val="00E32F5E"/>
    <w:rsid w:val="00E360BD"/>
    <w:rsid w:val="00E376CD"/>
    <w:rsid w:val="00E4434F"/>
    <w:rsid w:val="00E510D5"/>
    <w:rsid w:val="00E556BA"/>
    <w:rsid w:val="00E74FC6"/>
    <w:rsid w:val="00E8572A"/>
    <w:rsid w:val="00E8669A"/>
    <w:rsid w:val="00E869D1"/>
    <w:rsid w:val="00E91283"/>
    <w:rsid w:val="00EA0DE2"/>
    <w:rsid w:val="00EB58B3"/>
    <w:rsid w:val="00EB674B"/>
    <w:rsid w:val="00EB6CB6"/>
    <w:rsid w:val="00EC00F3"/>
    <w:rsid w:val="00EC1AE8"/>
    <w:rsid w:val="00EC6DEB"/>
    <w:rsid w:val="00ED0E11"/>
    <w:rsid w:val="00EE3018"/>
    <w:rsid w:val="00EE7766"/>
    <w:rsid w:val="00EE7D14"/>
    <w:rsid w:val="00F14C1C"/>
    <w:rsid w:val="00F33DD9"/>
    <w:rsid w:val="00F42A8E"/>
    <w:rsid w:val="00F53293"/>
    <w:rsid w:val="00F53E3B"/>
    <w:rsid w:val="00F6170F"/>
    <w:rsid w:val="00F65C55"/>
    <w:rsid w:val="00F71E7F"/>
    <w:rsid w:val="00F75FA0"/>
    <w:rsid w:val="00F83D28"/>
    <w:rsid w:val="00F853D2"/>
    <w:rsid w:val="00F87FA3"/>
    <w:rsid w:val="00F97E95"/>
    <w:rsid w:val="00FB0C7D"/>
    <w:rsid w:val="00FB1D1C"/>
    <w:rsid w:val="00FB3E4A"/>
    <w:rsid w:val="00FC3DF2"/>
    <w:rsid w:val="00FC4903"/>
    <w:rsid w:val="00FD4295"/>
    <w:rsid w:val="00FE4007"/>
    <w:rsid w:val="00FE5BB9"/>
    <w:rsid w:val="00FF3241"/>
    <w:rsid w:val="00FF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AC4F"/>
  <w15:chartTrackingRefBased/>
  <w15:docId w15:val="{753CB563-A6E7-4334-8797-2BDD404D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66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263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556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436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6B9"/>
    <w:pPr>
      <w:ind w:left="720"/>
      <w:contextualSpacing/>
    </w:pPr>
  </w:style>
  <w:style w:type="paragraph" w:styleId="a4">
    <w:name w:val="header"/>
    <w:basedOn w:val="a"/>
    <w:link w:val="a5"/>
    <w:uiPriority w:val="99"/>
    <w:unhideWhenUsed/>
    <w:rsid w:val="00674F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4FC7"/>
  </w:style>
  <w:style w:type="paragraph" w:styleId="a6">
    <w:name w:val="footer"/>
    <w:basedOn w:val="a"/>
    <w:link w:val="a7"/>
    <w:uiPriority w:val="99"/>
    <w:unhideWhenUsed/>
    <w:rsid w:val="00674F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4FC7"/>
  </w:style>
  <w:style w:type="character" w:customStyle="1" w:styleId="10">
    <w:name w:val="Заголовок 1 Знак"/>
    <w:basedOn w:val="a0"/>
    <w:link w:val="1"/>
    <w:uiPriority w:val="9"/>
    <w:rsid w:val="00D66E7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2634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556B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436A2"/>
    <w:rPr>
      <w:rFonts w:asciiTheme="majorHAnsi" w:eastAsiaTheme="majorEastAsia" w:hAnsiTheme="majorHAnsi" w:cstheme="majorBidi"/>
      <w:i/>
      <w:iCs/>
      <w:color w:val="2E74B5" w:themeColor="accent1" w:themeShade="BF"/>
    </w:rPr>
  </w:style>
  <w:style w:type="character" w:styleId="a8">
    <w:name w:val="Hyperlink"/>
    <w:basedOn w:val="a0"/>
    <w:uiPriority w:val="99"/>
    <w:unhideWhenUsed/>
    <w:rsid w:val="002436A2"/>
    <w:rPr>
      <w:color w:val="0563C1" w:themeColor="hyperlink"/>
      <w:u w:val="single"/>
    </w:rPr>
  </w:style>
  <w:style w:type="paragraph" w:styleId="a9">
    <w:name w:val="TOC Heading"/>
    <w:basedOn w:val="1"/>
    <w:next w:val="a"/>
    <w:uiPriority w:val="39"/>
    <w:unhideWhenUsed/>
    <w:qFormat/>
    <w:rsid w:val="00B433B0"/>
    <w:pPr>
      <w:outlineLvl w:val="9"/>
    </w:pPr>
    <w:rPr>
      <w:lang w:eastAsia="ru-RU"/>
    </w:rPr>
  </w:style>
  <w:style w:type="paragraph" w:styleId="11">
    <w:name w:val="toc 1"/>
    <w:basedOn w:val="a"/>
    <w:next w:val="a"/>
    <w:autoRedefine/>
    <w:uiPriority w:val="39"/>
    <w:unhideWhenUsed/>
    <w:rsid w:val="00B433B0"/>
    <w:pPr>
      <w:tabs>
        <w:tab w:val="right" w:leader="dot" w:pos="9345"/>
      </w:tabs>
      <w:spacing w:after="100"/>
      <w:jc w:val="both"/>
    </w:pPr>
  </w:style>
  <w:style w:type="paragraph" w:styleId="21">
    <w:name w:val="toc 2"/>
    <w:basedOn w:val="a"/>
    <w:next w:val="a"/>
    <w:autoRedefine/>
    <w:uiPriority w:val="39"/>
    <w:unhideWhenUsed/>
    <w:rsid w:val="00B433B0"/>
    <w:pPr>
      <w:spacing w:after="100"/>
      <w:ind w:left="220"/>
    </w:pPr>
  </w:style>
  <w:style w:type="paragraph" w:styleId="aa">
    <w:name w:val="footnote text"/>
    <w:basedOn w:val="a"/>
    <w:link w:val="ab"/>
    <w:uiPriority w:val="99"/>
    <w:semiHidden/>
    <w:unhideWhenUsed/>
    <w:rsid w:val="00D335AF"/>
    <w:pPr>
      <w:spacing w:after="0" w:line="240" w:lineRule="auto"/>
    </w:pPr>
    <w:rPr>
      <w:sz w:val="20"/>
      <w:szCs w:val="20"/>
    </w:rPr>
  </w:style>
  <w:style w:type="character" w:customStyle="1" w:styleId="ab">
    <w:name w:val="Текст сноски Знак"/>
    <w:basedOn w:val="a0"/>
    <w:link w:val="aa"/>
    <w:uiPriority w:val="99"/>
    <w:semiHidden/>
    <w:rsid w:val="00D335AF"/>
    <w:rPr>
      <w:sz w:val="20"/>
      <w:szCs w:val="20"/>
    </w:rPr>
  </w:style>
  <w:style w:type="character" w:styleId="ac">
    <w:name w:val="footnote reference"/>
    <w:basedOn w:val="a0"/>
    <w:uiPriority w:val="99"/>
    <w:semiHidden/>
    <w:unhideWhenUsed/>
    <w:rsid w:val="00D335AF"/>
    <w:rPr>
      <w:vertAlign w:val="superscript"/>
    </w:rPr>
  </w:style>
  <w:style w:type="paragraph" w:styleId="ad">
    <w:name w:val="Normal (Web)"/>
    <w:basedOn w:val="a"/>
    <w:uiPriority w:val="99"/>
    <w:unhideWhenUsed/>
    <w:rsid w:val="00D335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675">
      <w:bodyDiv w:val="1"/>
      <w:marLeft w:val="0"/>
      <w:marRight w:val="0"/>
      <w:marTop w:val="0"/>
      <w:marBottom w:val="0"/>
      <w:divBdr>
        <w:top w:val="none" w:sz="0" w:space="0" w:color="auto"/>
        <w:left w:val="none" w:sz="0" w:space="0" w:color="auto"/>
        <w:bottom w:val="none" w:sz="0" w:space="0" w:color="auto"/>
        <w:right w:val="none" w:sz="0" w:space="0" w:color="auto"/>
      </w:divBdr>
    </w:div>
    <w:div w:id="172455419">
      <w:bodyDiv w:val="1"/>
      <w:marLeft w:val="0"/>
      <w:marRight w:val="0"/>
      <w:marTop w:val="0"/>
      <w:marBottom w:val="0"/>
      <w:divBdr>
        <w:top w:val="none" w:sz="0" w:space="0" w:color="auto"/>
        <w:left w:val="none" w:sz="0" w:space="0" w:color="auto"/>
        <w:bottom w:val="none" w:sz="0" w:space="0" w:color="auto"/>
        <w:right w:val="none" w:sz="0" w:space="0" w:color="auto"/>
      </w:divBdr>
    </w:div>
    <w:div w:id="253830305">
      <w:bodyDiv w:val="1"/>
      <w:marLeft w:val="0"/>
      <w:marRight w:val="0"/>
      <w:marTop w:val="0"/>
      <w:marBottom w:val="0"/>
      <w:divBdr>
        <w:top w:val="none" w:sz="0" w:space="0" w:color="auto"/>
        <w:left w:val="none" w:sz="0" w:space="0" w:color="auto"/>
        <w:bottom w:val="none" w:sz="0" w:space="0" w:color="auto"/>
        <w:right w:val="none" w:sz="0" w:space="0" w:color="auto"/>
      </w:divBdr>
    </w:div>
    <w:div w:id="284629307">
      <w:bodyDiv w:val="1"/>
      <w:marLeft w:val="0"/>
      <w:marRight w:val="0"/>
      <w:marTop w:val="0"/>
      <w:marBottom w:val="0"/>
      <w:divBdr>
        <w:top w:val="none" w:sz="0" w:space="0" w:color="auto"/>
        <w:left w:val="none" w:sz="0" w:space="0" w:color="auto"/>
        <w:bottom w:val="none" w:sz="0" w:space="0" w:color="auto"/>
        <w:right w:val="none" w:sz="0" w:space="0" w:color="auto"/>
      </w:divBdr>
    </w:div>
    <w:div w:id="368920550">
      <w:bodyDiv w:val="1"/>
      <w:marLeft w:val="0"/>
      <w:marRight w:val="0"/>
      <w:marTop w:val="0"/>
      <w:marBottom w:val="0"/>
      <w:divBdr>
        <w:top w:val="none" w:sz="0" w:space="0" w:color="auto"/>
        <w:left w:val="none" w:sz="0" w:space="0" w:color="auto"/>
        <w:bottom w:val="none" w:sz="0" w:space="0" w:color="auto"/>
        <w:right w:val="none" w:sz="0" w:space="0" w:color="auto"/>
      </w:divBdr>
    </w:div>
    <w:div w:id="370114348">
      <w:bodyDiv w:val="1"/>
      <w:marLeft w:val="0"/>
      <w:marRight w:val="0"/>
      <w:marTop w:val="0"/>
      <w:marBottom w:val="0"/>
      <w:divBdr>
        <w:top w:val="none" w:sz="0" w:space="0" w:color="auto"/>
        <w:left w:val="none" w:sz="0" w:space="0" w:color="auto"/>
        <w:bottom w:val="none" w:sz="0" w:space="0" w:color="auto"/>
        <w:right w:val="none" w:sz="0" w:space="0" w:color="auto"/>
      </w:divBdr>
    </w:div>
    <w:div w:id="411199717">
      <w:bodyDiv w:val="1"/>
      <w:marLeft w:val="0"/>
      <w:marRight w:val="0"/>
      <w:marTop w:val="0"/>
      <w:marBottom w:val="0"/>
      <w:divBdr>
        <w:top w:val="none" w:sz="0" w:space="0" w:color="auto"/>
        <w:left w:val="none" w:sz="0" w:space="0" w:color="auto"/>
        <w:bottom w:val="none" w:sz="0" w:space="0" w:color="auto"/>
        <w:right w:val="none" w:sz="0" w:space="0" w:color="auto"/>
      </w:divBdr>
    </w:div>
    <w:div w:id="431052353">
      <w:bodyDiv w:val="1"/>
      <w:marLeft w:val="0"/>
      <w:marRight w:val="0"/>
      <w:marTop w:val="0"/>
      <w:marBottom w:val="0"/>
      <w:divBdr>
        <w:top w:val="none" w:sz="0" w:space="0" w:color="auto"/>
        <w:left w:val="none" w:sz="0" w:space="0" w:color="auto"/>
        <w:bottom w:val="none" w:sz="0" w:space="0" w:color="auto"/>
        <w:right w:val="none" w:sz="0" w:space="0" w:color="auto"/>
      </w:divBdr>
    </w:div>
    <w:div w:id="675959378">
      <w:bodyDiv w:val="1"/>
      <w:marLeft w:val="0"/>
      <w:marRight w:val="0"/>
      <w:marTop w:val="0"/>
      <w:marBottom w:val="0"/>
      <w:divBdr>
        <w:top w:val="none" w:sz="0" w:space="0" w:color="auto"/>
        <w:left w:val="none" w:sz="0" w:space="0" w:color="auto"/>
        <w:bottom w:val="none" w:sz="0" w:space="0" w:color="auto"/>
        <w:right w:val="none" w:sz="0" w:space="0" w:color="auto"/>
      </w:divBdr>
    </w:div>
    <w:div w:id="955065865">
      <w:bodyDiv w:val="1"/>
      <w:marLeft w:val="0"/>
      <w:marRight w:val="0"/>
      <w:marTop w:val="0"/>
      <w:marBottom w:val="0"/>
      <w:divBdr>
        <w:top w:val="none" w:sz="0" w:space="0" w:color="auto"/>
        <w:left w:val="none" w:sz="0" w:space="0" w:color="auto"/>
        <w:bottom w:val="none" w:sz="0" w:space="0" w:color="auto"/>
        <w:right w:val="none" w:sz="0" w:space="0" w:color="auto"/>
      </w:divBdr>
    </w:div>
    <w:div w:id="1003358371">
      <w:bodyDiv w:val="1"/>
      <w:marLeft w:val="0"/>
      <w:marRight w:val="0"/>
      <w:marTop w:val="0"/>
      <w:marBottom w:val="0"/>
      <w:divBdr>
        <w:top w:val="none" w:sz="0" w:space="0" w:color="auto"/>
        <w:left w:val="none" w:sz="0" w:space="0" w:color="auto"/>
        <w:bottom w:val="none" w:sz="0" w:space="0" w:color="auto"/>
        <w:right w:val="none" w:sz="0" w:space="0" w:color="auto"/>
      </w:divBdr>
    </w:div>
    <w:div w:id="1073359146">
      <w:bodyDiv w:val="1"/>
      <w:marLeft w:val="0"/>
      <w:marRight w:val="0"/>
      <w:marTop w:val="0"/>
      <w:marBottom w:val="0"/>
      <w:divBdr>
        <w:top w:val="none" w:sz="0" w:space="0" w:color="auto"/>
        <w:left w:val="none" w:sz="0" w:space="0" w:color="auto"/>
        <w:bottom w:val="none" w:sz="0" w:space="0" w:color="auto"/>
        <w:right w:val="none" w:sz="0" w:space="0" w:color="auto"/>
      </w:divBdr>
    </w:div>
    <w:div w:id="1145313523">
      <w:bodyDiv w:val="1"/>
      <w:marLeft w:val="0"/>
      <w:marRight w:val="0"/>
      <w:marTop w:val="0"/>
      <w:marBottom w:val="0"/>
      <w:divBdr>
        <w:top w:val="none" w:sz="0" w:space="0" w:color="auto"/>
        <w:left w:val="none" w:sz="0" w:space="0" w:color="auto"/>
        <w:bottom w:val="none" w:sz="0" w:space="0" w:color="auto"/>
        <w:right w:val="none" w:sz="0" w:space="0" w:color="auto"/>
      </w:divBdr>
    </w:div>
    <w:div w:id="1179154514">
      <w:bodyDiv w:val="1"/>
      <w:marLeft w:val="0"/>
      <w:marRight w:val="0"/>
      <w:marTop w:val="0"/>
      <w:marBottom w:val="0"/>
      <w:divBdr>
        <w:top w:val="none" w:sz="0" w:space="0" w:color="auto"/>
        <w:left w:val="none" w:sz="0" w:space="0" w:color="auto"/>
        <w:bottom w:val="none" w:sz="0" w:space="0" w:color="auto"/>
        <w:right w:val="none" w:sz="0" w:space="0" w:color="auto"/>
      </w:divBdr>
    </w:div>
    <w:div w:id="1192064639">
      <w:bodyDiv w:val="1"/>
      <w:marLeft w:val="0"/>
      <w:marRight w:val="0"/>
      <w:marTop w:val="0"/>
      <w:marBottom w:val="0"/>
      <w:divBdr>
        <w:top w:val="none" w:sz="0" w:space="0" w:color="auto"/>
        <w:left w:val="none" w:sz="0" w:space="0" w:color="auto"/>
        <w:bottom w:val="none" w:sz="0" w:space="0" w:color="auto"/>
        <w:right w:val="none" w:sz="0" w:space="0" w:color="auto"/>
      </w:divBdr>
    </w:div>
    <w:div w:id="1227031908">
      <w:bodyDiv w:val="1"/>
      <w:marLeft w:val="0"/>
      <w:marRight w:val="0"/>
      <w:marTop w:val="0"/>
      <w:marBottom w:val="0"/>
      <w:divBdr>
        <w:top w:val="none" w:sz="0" w:space="0" w:color="auto"/>
        <w:left w:val="none" w:sz="0" w:space="0" w:color="auto"/>
        <w:bottom w:val="none" w:sz="0" w:space="0" w:color="auto"/>
        <w:right w:val="none" w:sz="0" w:space="0" w:color="auto"/>
      </w:divBdr>
    </w:div>
    <w:div w:id="1319647924">
      <w:bodyDiv w:val="1"/>
      <w:marLeft w:val="0"/>
      <w:marRight w:val="0"/>
      <w:marTop w:val="0"/>
      <w:marBottom w:val="0"/>
      <w:divBdr>
        <w:top w:val="none" w:sz="0" w:space="0" w:color="auto"/>
        <w:left w:val="none" w:sz="0" w:space="0" w:color="auto"/>
        <w:bottom w:val="none" w:sz="0" w:space="0" w:color="auto"/>
        <w:right w:val="none" w:sz="0" w:space="0" w:color="auto"/>
      </w:divBdr>
    </w:div>
    <w:div w:id="1352417737">
      <w:bodyDiv w:val="1"/>
      <w:marLeft w:val="0"/>
      <w:marRight w:val="0"/>
      <w:marTop w:val="0"/>
      <w:marBottom w:val="0"/>
      <w:divBdr>
        <w:top w:val="none" w:sz="0" w:space="0" w:color="auto"/>
        <w:left w:val="none" w:sz="0" w:space="0" w:color="auto"/>
        <w:bottom w:val="none" w:sz="0" w:space="0" w:color="auto"/>
        <w:right w:val="none" w:sz="0" w:space="0" w:color="auto"/>
      </w:divBdr>
    </w:div>
    <w:div w:id="1354454559">
      <w:bodyDiv w:val="1"/>
      <w:marLeft w:val="0"/>
      <w:marRight w:val="0"/>
      <w:marTop w:val="0"/>
      <w:marBottom w:val="0"/>
      <w:divBdr>
        <w:top w:val="none" w:sz="0" w:space="0" w:color="auto"/>
        <w:left w:val="none" w:sz="0" w:space="0" w:color="auto"/>
        <w:bottom w:val="none" w:sz="0" w:space="0" w:color="auto"/>
        <w:right w:val="none" w:sz="0" w:space="0" w:color="auto"/>
      </w:divBdr>
    </w:div>
    <w:div w:id="1380860288">
      <w:bodyDiv w:val="1"/>
      <w:marLeft w:val="0"/>
      <w:marRight w:val="0"/>
      <w:marTop w:val="0"/>
      <w:marBottom w:val="0"/>
      <w:divBdr>
        <w:top w:val="none" w:sz="0" w:space="0" w:color="auto"/>
        <w:left w:val="none" w:sz="0" w:space="0" w:color="auto"/>
        <w:bottom w:val="none" w:sz="0" w:space="0" w:color="auto"/>
        <w:right w:val="none" w:sz="0" w:space="0" w:color="auto"/>
      </w:divBdr>
    </w:div>
    <w:div w:id="1524711135">
      <w:bodyDiv w:val="1"/>
      <w:marLeft w:val="0"/>
      <w:marRight w:val="0"/>
      <w:marTop w:val="0"/>
      <w:marBottom w:val="0"/>
      <w:divBdr>
        <w:top w:val="none" w:sz="0" w:space="0" w:color="auto"/>
        <w:left w:val="none" w:sz="0" w:space="0" w:color="auto"/>
        <w:bottom w:val="none" w:sz="0" w:space="0" w:color="auto"/>
        <w:right w:val="none" w:sz="0" w:space="0" w:color="auto"/>
      </w:divBdr>
      <w:divsChild>
        <w:div w:id="1468008211">
          <w:marLeft w:val="0"/>
          <w:marRight w:val="0"/>
          <w:marTop w:val="0"/>
          <w:marBottom w:val="0"/>
          <w:divBdr>
            <w:top w:val="none" w:sz="0" w:space="0" w:color="auto"/>
            <w:left w:val="none" w:sz="0" w:space="0" w:color="auto"/>
            <w:bottom w:val="none" w:sz="0" w:space="0" w:color="auto"/>
            <w:right w:val="none" w:sz="0" w:space="0" w:color="auto"/>
          </w:divBdr>
          <w:divsChild>
            <w:div w:id="2102749544">
              <w:marLeft w:val="0"/>
              <w:marRight w:val="0"/>
              <w:marTop w:val="0"/>
              <w:marBottom w:val="0"/>
              <w:divBdr>
                <w:top w:val="none" w:sz="0" w:space="0" w:color="auto"/>
                <w:left w:val="none" w:sz="0" w:space="0" w:color="auto"/>
                <w:bottom w:val="none" w:sz="0" w:space="0" w:color="auto"/>
                <w:right w:val="none" w:sz="0" w:space="0" w:color="auto"/>
              </w:divBdr>
              <w:divsChild>
                <w:div w:id="1528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11564">
      <w:bodyDiv w:val="1"/>
      <w:marLeft w:val="0"/>
      <w:marRight w:val="0"/>
      <w:marTop w:val="0"/>
      <w:marBottom w:val="0"/>
      <w:divBdr>
        <w:top w:val="none" w:sz="0" w:space="0" w:color="auto"/>
        <w:left w:val="none" w:sz="0" w:space="0" w:color="auto"/>
        <w:bottom w:val="none" w:sz="0" w:space="0" w:color="auto"/>
        <w:right w:val="none" w:sz="0" w:space="0" w:color="auto"/>
      </w:divBdr>
    </w:div>
    <w:div w:id="1567061909">
      <w:bodyDiv w:val="1"/>
      <w:marLeft w:val="0"/>
      <w:marRight w:val="0"/>
      <w:marTop w:val="0"/>
      <w:marBottom w:val="0"/>
      <w:divBdr>
        <w:top w:val="none" w:sz="0" w:space="0" w:color="auto"/>
        <w:left w:val="none" w:sz="0" w:space="0" w:color="auto"/>
        <w:bottom w:val="none" w:sz="0" w:space="0" w:color="auto"/>
        <w:right w:val="none" w:sz="0" w:space="0" w:color="auto"/>
      </w:divBdr>
    </w:div>
    <w:div w:id="1581449837">
      <w:bodyDiv w:val="1"/>
      <w:marLeft w:val="0"/>
      <w:marRight w:val="0"/>
      <w:marTop w:val="0"/>
      <w:marBottom w:val="0"/>
      <w:divBdr>
        <w:top w:val="none" w:sz="0" w:space="0" w:color="auto"/>
        <w:left w:val="none" w:sz="0" w:space="0" w:color="auto"/>
        <w:bottom w:val="none" w:sz="0" w:space="0" w:color="auto"/>
        <w:right w:val="none" w:sz="0" w:space="0" w:color="auto"/>
      </w:divBdr>
    </w:div>
    <w:div w:id="1611818111">
      <w:bodyDiv w:val="1"/>
      <w:marLeft w:val="0"/>
      <w:marRight w:val="0"/>
      <w:marTop w:val="0"/>
      <w:marBottom w:val="0"/>
      <w:divBdr>
        <w:top w:val="none" w:sz="0" w:space="0" w:color="auto"/>
        <w:left w:val="none" w:sz="0" w:space="0" w:color="auto"/>
        <w:bottom w:val="none" w:sz="0" w:space="0" w:color="auto"/>
        <w:right w:val="none" w:sz="0" w:space="0" w:color="auto"/>
      </w:divBdr>
    </w:div>
    <w:div w:id="1660766942">
      <w:bodyDiv w:val="1"/>
      <w:marLeft w:val="0"/>
      <w:marRight w:val="0"/>
      <w:marTop w:val="0"/>
      <w:marBottom w:val="0"/>
      <w:divBdr>
        <w:top w:val="none" w:sz="0" w:space="0" w:color="auto"/>
        <w:left w:val="none" w:sz="0" w:space="0" w:color="auto"/>
        <w:bottom w:val="none" w:sz="0" w:space="0" w:color="auto"/>
        <w:right w:val="none" w:sz="0" w:space="0" w:color="auto"/>
      </w:divBdr>
    </w:div>
    <w:div w:id="1781219558">
      <w:bodyDiv w:val="1"/>
      <w:marLeft w:val="0"/>
      <w:marRight w:val="0"/>
      <w:marTop w:val="0"/>
      <w:marBottom w:val="0"/>
      <w:divBdr>
        <w:top w:val="none" w:sz="0" w:space="0" w:color="auto"/>
        <w:left w:val="none" w:sz="0" w:space="0" w:color="auto"/>
        <w:bottom w:val="none" w:sz="0" w:space="0" w:color="auto"/>
        <w:right w:val="none" w:sz="0" w:space="0" w:color="auto"/>
      </w:divBdr>
    </w:div>
    <w:div w:id="1897734932">
      <w:bodyDiv w:val="1"/>
      <w:marLeft w:val="0"/>
      <w:marRight w:val="0"/>
      <w:marTop w:val="0"/>
      <w:marBottom w:val="0"/>
      <w:divBdr>
        <w:top w:val="none" w:sz="0" w:space="0" w:color="auto"/>
        <w:left w:val="none" w:sz="0" w:space="0" w:color="auto"/>
        <w:bottom w:val="none" w:sz="0" w:space="0" w:color="auto"/>
        <w:right w:val="none" w:sz="0" w:space="0" w:color="auto"/>
      </w:divBdr>
    </w:div>
    <w:div w:id="1898392419">
      <w:bodyDiv w:val="1"/>
      <w:marLeft w:val="0"/>
      <w:marRight w:val="0"/>
      <w:marTop w:val="0"/>
      <w:marBottom w:val="0"/>
      <w:divBdr>
        <w:top w:val="none" w:sz="0" w:space="0" w:color="auto"/>
        <w:left w:val="none" w:sz="0" w:space="0" w:color="auto"/>
        <w:bottom w:val="none" w:sz="0" w:space="0" w:color="auto"/>
        <w:right w:val="none" w:sz="0" w:space="0" w:color="auto"/>
      </w:divBdr>
    </w:div>
    <w:div w:id="2059233552">
      <w:bodyDiv w:val="1"/>
      <w:marLeft w:val="0"/>
      <w:marRight w:val="0"/>
      <w:marTop w:val="0"/>
      <w:marBottom w:val="0"/>
      <w:divBdr>
        <w:top w:val="none" w:sz="0" w:space="0" w:color="auto"/>
        <w:left w:val="none" w:sz="0" w:space="0" w:color="auto"/>
        <w:bottom w:val="none" w:sz="0" w:space="0" w:color="auto"/>
        <w:right w:val="none" w:sz="0" w:space="0" w:color="auto"/>
      </w:divBdr>
    </w:div>
    <w:div w:id="2062748559">
      <w:bodyDiv w:val="1"/>
      <w:marLeft w:val="0"/>
      <w:marRight w:val="0"/>
      <w:marTop w:val="0"/>
      <w:marBottom w:val="0"/>
      <w:divBdr>
        <w:top w:val="none" w:sz="0" w:space="0" w:color="auto"/>
        <w:left w:val="none" w:sz="0" w:space="0" w:color="auto"/>
        <w:bottom w:val="none" w:sz="0" w:space="0" w:color="auto"/>
        <w:right w:val="none" w:sz="0" w:space="0" w:color="auto"/>
      </w:divBdr>
    </w:div>
    <w:div w:id="21408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yperlink" Target="http://eastfront.narod.ru/memo/latchford.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hyperlink" Target="http://www.oecd.org/home/0,2987,en264920118511111,00.html"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0-6641-41FA-987D-0EC426B829E5}"/>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1-6641-41FA-987D-0EC426B829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Лист1!$A$1:$A$2</c:f>
              <c:numCache>
                <c:formatCode>General</c:formatCode>
                <c:ptCount val="2"/>
                <c:pt idx="0">
                  <c:v>2015</c:v>
                </c:pt>
                <c:pt idx="1">
                  <c:v>2016</c:v>
                </c:pt>
              </c:numCache>
            </c:numRef>
          </c:cat>
          <c:val>
            <c:numRef>
              <c:f>Лист1!$B$1:$B$2</c:f>
              <c:numCache>
                <c:formatCode>General</c:formatCode>
                <c:ptCount val="2"/>
                <c:pt idx="0">
                  <c:v>13841</c:v>
                </c:pt>
                <c:pt idx="1">
                  <c:v>15087</c:v>
                </c:pt>
              </c:numCache>
            </c:numRef>
          </c:val>
          <c:extLst>
            <c:ext xmlns:c16="http://schemas.microsoft.com/office/drawing/2014/chart" uri="{C3380CC4-5D6E-409C-BE32-E72D297353CC}">
              <c16:uniqueId val="{00000002-61A7-4A8A-8FC2-8BA6196FCDEA}"/>
            </c:ext>
          </c:extLst>
        </c:ser>
        <c:dLbls>
          <c:showLegendKey val="0"/>
          <c:showVal val="0"/>
          <c:showCatName val="0"/>
          <c:showSerName val="0"/>
          <c:showPercent val="0"/>
          <c:showBubbleSize val="0"/>
        </c:dLbls>
        <c:gapWidth val="267"/>
        <c:overlap val="-43"/>
        <c:axId val="168957368"/>
        <c:axId val="168957760"/>
      </c:barChart>
      <c:dateAx>
        <c:axId val="168957368"/>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68957760"/>
        <c:crosses val="autoZero"/>
        <c:auto val="0"/>
        <c:lblOffset val="100"/>
        <c:baseTimeUnit val="days"/>
        <c:majorUnit val="1"/>
        <c:majorTimeUnit val="days"/>
      </c:dateAx>
      <c:valAx>
        <c:axId val="168957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6895736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a:solidFill>
                <a:schemeClr val="accent1"/>
              </a:solidFill>
              <a:round/>
            </a:ln>
            <a:effectLst/>
          </c:spPr>
          <c:marker>
            <c:symbol val="circle"/>
            <c:size val="4"/>
            <c:spPr>
              <a:solidFill>
                <a:schemeClr val="tx2"/>
              </a:solidFill>
              <a:ln w="15875">
                <a:solidFill>
                  <a:schemeClr val="accent1"/>
                </a:solidFill>
                <a:round/>
              </a:ln>
              <a:effectLst/>
            </c:spPr>
          </c:marker>
          <c:dLbls>
            <c:dLbl>
              <c:idx val="2"/>
              <c:layout>
                <c:manualLayout>
                  <c:x val="-1.6666666666666666E-2"/>
                  <c:y val="-5.5555555555555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03-4C98-B9A3-009A7623B945}"/>
                </c:ext>
              </c:extLst>
            </c:dLbl>
            <c:dLbl>
              <c:idx val="3"/>
              <c:layout>
                <c:manualLayout>
                  <c:x val="-8.3333333333333332E-3"/>
                  <c:y val="5.0925925925925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03-4C98-B9A3-009A7623B945}"/>
                </c:ext>
              </c:extLst>
            </c:dLbl>
            <c:dLbl>
              <c:idx val="4"/>
              <c:layout>
                <c:manualLayout>
                  <c:x val="-1.0185067526415994E-16"/>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03-4C98-B9A3-009A7623B94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Лист1!$A$4:$A$8</c:f>
              <c:numCache>
                <c:formatCode>General</c:formatCode>
                <c:ptCount val="5"/>
                <c:pt idx="0">
                  <c:v>2012</c:v>
                </c:pt>
                <c:pt idx="1">
                  <c:v>2013</c:v>
                </c:pt>
                <c:pt idx="2">
                  <c:v>2014</c:v>
                </c:pt>
                <c:pt idx="3">
                  <c:v>2015</c:v>
                </c:pt>
                <c:pt idx="4">
                  <c:v>2016</c:v>
                </c:pt>
              </c:numCache>
            </c:numRef>
          </c:cat>
          <c:val>
            <c:numRef>
              <c:f>Лист1!$B$4:$B$8</c:f>
              <c:numCache>
                <c:formatCode>General</c:formatCode>
                <c:ptCount val="5"/>
                <c:pt idx="0" formatCode="0.0">
                  <c:v>3</c:v>
                </c:pt>
                <c:pt idx="1">
                  <c:v>10.5</c:v>
                </c:pt>
                <c:pt idx="2">
                  <c:v>33.9</c:v>
                </c:pt>
                <c:pt idx="3">
                  <c:v>32.700000000000003</c:v>
                </c:pt>
                <c:pt idx="4">
                  <c:v>35.5</c:v>
                </c:pt>
              </c:numCache>
            </c:numRef>
          </c:val>
          <c:smooth val="0"/>
          <c:extLst>
            <c:ext xmlns:c16="http://schemas.microsoft.com/office/drawing/2014/chart" uri="{C3380CC4-5D6E-409C-BE32-E72D297353CC}">
              <c16:uniqueId val="{00000003-1403-4C98-B9A3-009A7623B945}"/>
            </c:ext>
          </c:extLst>
        </c:ser>
        <c:dLbls>
          <c:showLegendKey val="0"/>
          <c:showVal val="0"/>
          <c:showCatName val="0"/>
          <c:showSerName val="0"/>
          <c:showPercent val="0"/>
          <c:showBubbleSize val="0"/>
        </c:dLbls>
        <c:marker val="1"/>
        <c:smooth val="0"/>
        <c:axId val="170432816"/>
        <c:axId val="170433208"/>
      </c:lineChart>
      <c:catAx>
        <c:axId val="17043281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70433208"/>
        <c:crosses val="autoZero"/>
        <c:auto val="1"/>
        <c:lblAlgn val="ctr"/>
        <c:lblOffset val="100"/>
        <c:noMultiLvlLbl val="0"/>
      </c:catAx>
      <c:valAx>
        <c:axId val="170433208"/>
        <c:scaling>
          <c:orientation val="minMax"/>
          <c:min val="2"/>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ru-RU" b="0"/>
                  <a:t>Млрд.</a:t>
                </a:r>
                <a:r>
                  <a:rPr lang="ru-RU" b="0" baseline="0"/>
                  <a:t> рублей</a:t>
                </a:r>
                <a:endParaRPr lang="ru-RU" b="0"/>
              </a:p>
            </c:rich>
          </c:tx>
          <c:layout>
            <c:manualLayout>
              <c:xMode val="edge"/>
              <c:yMode val="edge"/>
              <c:x val="2.2222222222222223E-2"/>
              <c:y val="0.3100040099154272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7043281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a:solidFill>
                <a:schemeClr val="accent1"/>
              </a:solidFill>
              <a:round/>
            </a:ln>
            <a:effectLst/>
          </c:spPr>
          <c:marker>
            <c:symbol val="circle"/>
            <c:size val="4"/>
            <c:spPr>
              <a:solidFill>
                <a:schemeClr val="tx2"/>
              </a:solidFill>
              <a:ln w="15875">
                <a:solidFill>
                  <a:schemeClr val="accent1"/>
                </a:solidFill>
                <a:round/>
              </a:ln>
              <a:effectLst/>
            </c:spPr>
          </c:marker>
          <c:dLbls>
            <c:dLbl>
              <c:idx val="2"/>
              <c:layout>
                <c:manualLayout>
                  <c:x val="-1.3888888888888888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FC-48E5-A59F-9BCC6D05835A}"/>
                </c:ext>
              </c:extLst>
            </c:dLbl>
            <c:dLbl>
              <c:idx val="3"/>
              <c:layout>
                <c:manualLayout>
                  <c:x val="0"/>
                  <c:y val="-2.3148148148148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FC-48E5-A59F-9BCC6D05835A}"/>
                </c:ext>
              </c:extLst>
            </c:dLbl>
            <c:dLbl>
              <c:idx val="4"/>
              <c:layout>
                <c:manualLayout>
                  <c:x val="-2.4999999999999897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FC-48E5-A59F-9BCC6D0583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Лист1!$A$4:$A$8</c:f>
              <c:numCache>
                <c:formatCode>General</c:formatCode>
                <c:ptCount val="5"/>
                <c:pt idx="0">
                  <c:v>2012</c:v>
                </c:pt>
                <c:pt idx="1">
                  <c:v>2013</c:v>
                </c:pt>
                <c:pt idx="2">
                  <c:v>2014</c:v>
                </c:pt>
                <c:pt idx="3">
                  <c:v>2015</c:v>
                </c:pt>
                <c:pt idx="4">
                  <c:v>2016</c:v>
                </c:pt>
              </c:numCache>
            </c:numRef>
          </c:cat>
          <c:val>
            <c:numRef>
              <c:f>Лист1!$C$4:$C$8</c:f>
              <c:numCache>
                <c:formatCode>General</c:formatCode>
                <c:ptCount val="5"/>
                <c:pt idx="0">
                  <c:v>0.5</c:v>
                </c:pt>
                <c:pt idx="1">
                  <c:v>2.1</c:v>
                </c:pt>
                <c:pt idx="2">
                  <c:v>5.3</c:v>
                </c:pt>
                <c:pt idx="3">
                  <c:v>4.9000000000000004</c:v>
                </c:pt>
                <c:pt idx="4">
                  <c:v>3.8</c:v>
                </c:pt>
              </c:numCache>
            </c:numRef>
          </c:val>
          <c:smooth val="0"/>
          <c:extLst>
            <c:ext xmlns:c16="http://schemas.microsoft.com/office/drawing/2014/chart" uri="{C3380CC4-5D6E-409C-BE32-E72D297353CC}">
              <c16:uniqueId val="{00000003-0BFC-48E5-A59F-9BCC6D05835A}"/>
            </c:ext>
          </c:extLst>
        </c:ser>
        <c:dLbls>
          <c:showLegendKey val="0"/>
          <c:showVal val="0"/>
          <c:showCatName val="0"/>
          <c:showSerName val="0"/>
          <c:showPercent val="0"/>
          <c:showBubbleSize val="0"/>
        </c:dLbls>
        <c:marker val="1"/>
        <c:smooth val="0"/>
        <c:axId val="170433992"/>
        <c:axId val="329557080"/>
      </c:lineChart>
      <c:catAx>
        <c:axId val="17043399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29557080"/>
        <c:crosses val="autoZero"/>
        <c:auto val="1"/>
        <c:lblAlgn val="ctr"/>
        <c:lblOffset val="100"/>
        <c:noMultiLvlLbl val="0"/>
      </c:catAx>
      <c:valAx>
        <c:axId val="329557080"/>
        <c:scaling>
          <c:orientation val="minMax"/>
          <c:max val="6"/>
          <c:min val="0.1"/>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ru-RU" b="0"/>
                  <a:t>Млрд. рублей</a:t>
                </a:r>
              </a:p>
            </c:rich>
          </c:tx>
          <c:layout>
            <c:manualLayout>
              <c:xMode val="edge"/>
              <c:yMode val="edge"/>
              <c:x val="1.9444444444444445E-2"/>
              <c:y val="0.3054090113735782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704339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0AD-4DE1-BC19-5FA7C262BA2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0AD-4DE1-BC19-5FA7C262BA2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0AD-4DE1-BC19-5FA7C262BA2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0AD-4DE1-BC19-5FA7C262BA2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E0AD-4DE1-BC19-5FA7C262BA2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E0AD-4DE1-BC19-5FA7C262BA2F}"/>
              </c:ext>
            </c:extLst>
          </c:dPt>
          <c:dLbls>
            <c:dLbl>
              <c:idx val="0"/>
              <c:layout>
                <c:manualLayout>
                  <c:x val="-2.7784875992761644E-2"/>
                  <c:y val="2.965057515659468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AD-4DE1-BC19-5FA7C262BA2F}"/>
                </c:ext>
              </c:extLst>
            </c:dLbl>
            <c:dLbl>
              <c:idx val="1"/>
              <c:layout>
                <c:manualLayout>
                  <c:x val="4.7160206780862473E-3"/>
                  <c:y val="-7.690751843055069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AD-4DE1-BC19-5FA7C262BA2F}"/>
                </c:ext>
              </c:extLst>
            </c:dLbl>
            <c:dLbl>
              <c:idx val="2"/>
              <c:layout>
                <c:manualLayout>
                  <c:x val="9.99008761502861E-4"/>
                  <c:y val="1.4036529142924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AD-4DE1-BC19-5FA7C262BA2F}"/>
                </c:ext>
              </c:extLst>
            </c:dLbl>
            <c:dLbl>
              <c:idx val="3"/>
              <c:layout>
                <c:manualLayout>
                  <c:x val="-1.6757281488245796E-3"/>
                  <c:y val="9.538520607992501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AD-4DE1-BC19-5FA7C262BA2F}"/>
                </c:ext>
              </c:extLst>
            </c:dLbl>
            <c:dLbl>
              <c:idx val="4"/>
              <c:layout>
                <c:manualLayout>
                  <c:x val="-1.0369770987351599E-3"/>
                  <c:y val="-1.431478003609834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AD-4DE1-BC19-5FA7C262BA2F}"/>
                </c:ext>
              </c:extLst>
            </c:dLbl>
            <c:dLbl>
              <c:idx val="5"/>
              <c:layout>
                <c:manualLayout>
                  <c:x val="1.1953668739149223E-2"/>
                  <c:y val="3.87051563261511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0AD-4DE1-BC19-5FA7C262BA2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Лист1!$A$34:$A$39</c:f>
              <c:strCache>
                <c:ptCount val="6"/>
                <c:pt idx="0">
                  <c:v>Внешнеторговые сделки импорта товара</c:v>
                </c:pt>
                <c:pt idx="1">
                  <c:v>Внешнеторговые сделки экспорта товара</c:v>
                </c:pt>
                <c:pt idx="2">
                  <c:v>Внешнеторговые сделки экспорта работ, услуг, иных объектов гражданских прав</c:v>
                </c:pt>
                <c:pt idx="3">
                  <c:v>Внешнеторговые сделки импорта работ, услуг, иных объектов гражданских прав</c:v>
                </c:pt>
                <c:pt idx="4">
                  <c:v>Иные внешнеторговые сделки</c:v>
                </c:pt>
                <c:pt idx="5">
                  <c:v>Внутрироссийские сделки</c:v>
                </c:pt>
              </c:strCache>
            </c:strRef>
          </c:cat>
          <c:val>
            <c:numRef>
              <c:f>Лист1!$B$34:$B$39</c:f>
              <c:numCache>
                <c:formatCode>0.0%</c:formatCode>
                <c:ptCount val="6"/>
                <c:pt idx="0">
                  <c:v>1.6E-2</c:v>
                </c:pt>
                <c:pt idx="1">
                  <c:v>2.4E-2</c:v>
                </c:pt>
                <c:pt idx="2">
                  <c:v>7.5999999999999998E-2</c:v>
                </c:pt>
                <c:pt idx="3">
                  <c:v>8.2000000000000003E-2</c:v>
                </c:pt>
                <c:pt idx="4">
                  <c:v>0.2</c:v>
                </c:pt>
                <c:pt idx="5">
                  <c:v>0.6</c:v>
                </c:pt>
              </c:numCache>
            </c:numRef>
          </c:val>
          <c:extLst>
            <c:ext xmlns:c16="http://schemas.microsoft.com/office/drawing/2014/chart" uri="{C3380CC4-5D6E-409C-BE32-E72D297353CC}">
              <c16:uniqueId val="{0000000C-E0AD-4DE1-BC19-5FA7C262BA2F}"/>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E4410E-0EC1-4674-ABA2-64977E7588F5}"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ru-RU"/>
        </a:p>
      </dgm:t>
    </dgm:pt>
    <dgm:pt modelId="{6107F978-8AEA-42AB-8ECA-CC41FF7E57E4}">
      <dgm:prSet phldrT="[Текст]"/>
      <dgm:spPr/>
      <dgm:t>
        <a:bodyPr/>
        <a:lstStyle/>
        <a:p>
          <a:pPr algn="ctr"/>
          <a:r>
            <a:rPr lang="ru-RU"/>
            <a:t>Контролируемое налогооблагаемое лицо (производитель)</a:t>
          </a:r>
        </a:p>
      </dgm:t>
    </dgm:pt>
    <dgm:pt modelId="{B75EA41B-4518-4BDD-8624-5B38E525CE99}" type="parTrans" cxnId="{6E5C7090-2F38-4D79-BB38-C13158112432}">
      <dgm:prSet/>
      <dgm:spPr/>
      <dgm:t>
        <a:bodyPr/>
        <a:lstStyle/>
        <a:p>
          <a:pPr algn="ctr"/>
          <a:endParaRPr lang="ru-RU"/>
        </a:p>
      </dgm:t>
    </dgm:pt>
    <dgm:pt modelId="{3BE5B2F0-2D46-401C-8C56-06A519FB1F98}" type="sibTrans" cxnId="{6E5C7090-2F38-4D79-BB38-C13158112432}">
      <dgm:prSet/>
      <dgm:spPr/>
      <dgm:t>
        <a:bodyPr/>
        <a:lstStyle/>
        <a:p>
          <a:pPr algn="ctr"/>
          <a:endParaRPr lang="ru-RU"/>
        </a:p>
      </dgm:t>
    </dgm:pt>
    <dgm:pt modelId="{BD0E0716-CE4B-488C-A150-E249C237D96F}">
      <dgm:prSet phldrT="[Текст]"/>
      <dgm:spPr/>
      <dgm:t>
        <a:bodyPr/>
        <a:lstStyle/>
        <a:p>
          <a:pPr algn="ctr"/>
          <a:r>
            <a:rPr lang="ru-RU"/>
            <a:t>Сделка Х</a:t>
          </a:r>
        </a:p>
      </dgm:t>
    </dgm:pt>
    <dgm:pt modelId="{4324416F-AFD0-468E-A56E-5BB6CA839350}" type="parTrans" cxnId="{0D75E4AC-72F4-450D-8D3F-6DF63EB1D824}">
      <dgm:prSet/>
      <dgm:spPr/>
      <dgm:t>
        <a:bodyPr/>
        <a:lstStyle/>
        <a:p>
          <a:pPr algn="ctr"/>
          <a:endParaRPr lang="ru-RU"/>
        </a:p>
      </dgm:t>
    </dgm:pt>
    <dgm:pt modelId="{80327E23-3F7C-4748-8B77-26F63822AB4B}" type="sibTrans" cxnId="{0D75E4AC-72F4-450D-8D3F-6DF63EB1D824}">
      <dgm:prSet/>
      <dgm:spPr/>
      <dgm:t>
        <a:bodyPr/>
        <a:lstStyle/>
        <a:p>
          <a:pPr algn="ctr"/>
          <a:endParaRPr lang="ru-RU"/>
        </a:p>
      </dgm:t>
    </dgm:pt>
    <dgm:pt modelId="{92773EFE-89F3-4CE5-91C4-2396C99AB168}">
      <dgm:prSet phldrT="[Текст]"/>
      <dgm:spPr/>
      <dgm:t>
        <a:bodyPr/>
        <a:lstStyle/>
        <a:p>
          <a:pPr algn="ctr"/>
          <a:r>
            <a:rPr lang="ru-RU"/>
            <a:t>Не взаимозависимый экономический субъект</a:t>
          </a:r>
        </a:p>
      </dgm:t>
    </dgm:pt>
    <dgm:pt modelId="{72331E90-F558-4F8F-8C65-A896D14F6575}" type="parTrans" cxnId="{B182229E-788F-4DEE-9D25-1F6E2B1B2C89}">
      <dgm:prSet/>
      <dgm:spPr/>
      <dgm:t>
        <a:bodyPr/>
        <a:lstStyle/>
        <a:p>
          <a:pPr algn="ctr"/>
          <a:endParaRPr lang="ru-RU"/>
        </a:p>
      </dgm:t>
    </dgm:pt>
    <dgm:pt modelId="{42287158-33A3-434B-B10F-EF540F9A39F7}" type="sibTrans" cxnId="{B182229E-788F-4DEE-9D25-1F6E2B1B2C89}">
      <dgm:prSet/>
      <dgm:spPr/>
      <dgm:t>
        <a:bodyPr/>
        <a:lstStyle/>
        <a:p>
          <a:pPr algn="ctr"/>
          <a:endParaRPr lang="ru-RU"/>
        </a:p>
      </dgm:t>
    </dgm:pt>
    <dgm:pt modelId="{5AF279EF-E08F-4941-BABB-B3142DA50C7D}">
      <dgm:prSet/>
      <dgm:spPr/>
      <dgm:t>
        <a:bodyPr/>
        <a:lstStyle/>
        <a:p>
          <a:pPr algn="ctr"/>
          <a:r>
            <a:rPr lang="ru-RU"/>
            <a:t>Взаимозависимый экономический субъект</a:t>
          </a:r>
        </a:p>
      </dgm:t>
    </dgm:pt>
    <dgm:pt modelId="{69B4F584-FEF6-4319-AD6A-AA434CA79D70}" type="parTrans" cxnId="{C7E5DE95-68DD-464D-95B5-39BEF40EE4DA}">
      <dgm:prSet/>
      <dgm:spPr/>
      <dgm:t>
        <a:bodyPr/>
        <a:lstStyle/>
        <a:p>
          <a:pPr algn="ctr"/>
          <a:endParaRPr lang="ru-RU"/>
        </a:p>
      </dgm:t>
    </dgm:pt>
    <dgm:pt modelId="{2B859C41-08A0-4587-A375-B4195C5B80E2}" type="sibTrans" cxnId="{C7E5DE95-68DD-464D-95B5-39BEF40EE4DA}">
      <dgm:prSet/>
      <dgm:spPr/>
      <dgm:t>
        <a:bodyPr/>
        <a:lstStyle/>
        <a:p>
          <a:pPr algn="ctr"/>
          <a:endParaRPr lang="ru-RU"/>
        </a:p>
      </dgm:t>
    </dgm:pt>
    <dgm:pt modelId="{EB18EB19-CD3E-4C72-B039-B1FAB36DC60C}">
      <dgm:prSet/>
      <dgm:spPr/>
      <dgm:t>
        <a:bodyPr/>
        <a:lstStyle/>
        <a:p>
          <a:pPr algn="ctr"/>
          <a:r>
            <a:rPr lang="ru-RU"/>
            <a:t>Производитель аналогичных товаров (услуг, работ)</a:t>
          </a:r>
        </a:p>
      </dgm:t>
    </dgm:pt>
    <dgm:pt modelId="{4A9D9E98-53F3-4329-BFC8-FE04CE3FBA65}" type="parTrans" cxnId="{3E631E3D-2402-4458-B8FF-DA6C84884071}">
      <dgm:prSet/>
      <dgm:spPr/>
      <dgm:t>
        <a:bodyPr/>
        <a:lstStyle/>
        <a:p>
          <a:pPr algn="ctr"/>
          <a:endParaRPr lang="ru-RU"/>
        </a:p>
      </dgm:t>
    </dgm:pt>
    <dgm:pt modelId="{C42960B6-6370-4EBD-B6AD-68E2EA67371B}" type="sibTrans" cxnId="{3E631E3D-2402-4458-B8FF-DA6C84884071}">
      <dgm:prSet/>
      <dgm:spPr/>
      <dgm:t>
        <a:bodyPr/>
        <a:lstStyle/>
        <a:p>
          <a:pPr algn="ctr"/>
          <a:endParaRPr lang="ru-RU"/>
        </a:p>
      </dgm:t>
    </dgm:pt>
    <dgm:pt modelId="{30BD83A0-8D5F-4336-96BC-A65E8144C267}">
      <dgm:prSet phldrT="[Текст]"/>
      <dgm:spPr/>
      <dgm:t>
        <a:bodyPr/>
        <a:lstStyle/>
        <a:p>
          <a:pPr algn="ctr"/>
          <a:r>
            <a:rPr lang="ru-RU"/>
            <a:t>Сделка </a:t>
          </a:r>
          <a:r>
            <a:rPr lang="en-US"/>
            <a:t>Y</a:t>
          </a:r>
          <a:endParaRPr lang="ru-RU"/>
        </a:p>
      </dgm:t>
    </dgm:pt>
    <dgm:pt modelId="{5E5B1358-3F17-425D-945A-BD230C4E010D}" type="sibTrans" cxnId="{F80BA2E9-0EF9-49A2-B3CF-8A178DD4682E}">
      <dgm:prSet/>
      <dgm:spPr/>
      <dgm:t>
        <a:bodyPr/>
        <a:lstStyle/>
        <a:p>
          <a:pPr algn="ctr"/>
          <a:endParaRPr lang="ru-RU"/>
        </a:p>
      </dgm:t>
    </dgm:pt>
    <dgm:pt modelId="{C400320C-CDB9-4052-8DCA-4FC31C2A2A52}" type="parTrans" cxnId="{F80BA2E9-0EF9-49A2-B3CF-8A178DD4682E}">
      <dgm:prSet/>
      <dgm:spPr/>
      <dgm:t>
        <a:bodyPr/>
        <a:lstStyle/>
        <a:p>
          <a:pPr algn="ctr"/>
          <a:endParaRPr lang="ru-RU"/>
        </a:p>
      </dgm:t>
    </dgm:pt>
    <dgm:pt modelId="{08846F1E-C579-4983-8008-B278AB2E00EA}">
      <dgm:prSet phldrT="[Текст]"/>
      <dgm:spPr/>
      <dgm:t>
        <a:bodyPr/>
        <a:lstStyle/>
        <a:p>
          <a:pPr algn="ctr"/>
          <a:r>
            <a:rPr lang="ru-RU"/>
            <a:t>Сделка </a:t>
          </a:r>
          <a:r>
            <a:rPr lang="en-US"/>
            <a:t>Z</a:t>
          </a:r>
          <a:endParaRPr lang="ru-RU"/>
        </a:p>
      </dgm:t>
    </dgm:pt>
    <dgm:pt modelId="{FFC527E6-6653-431D-B318-E81982EFEAFA}" type="sibTrans" cxnId="{764ED5EE-0A4D-415F-A686-69F2078EF5AE}">
      <dgm:prSet/>
      <dgm:spPr/>
      <dgm:t>
        <a:bodyPr/>
        <a:lstStyle/>
        <a:p>
          <a:pPr algn="ctr"/>
          <a:endParaRPr lang="ru-RU"/>
        </a:p>
      </dgm:t>
    </dgm:pt>
    <dgm:pt modelId="{41FD19AE-EDE8-4327-9B26-485271F90032}" type="parTrans" cxnId="{764ED5EE-0A4D-415F-A686-69F2078EF5AE}">
      <dgm:prSet/>
      <dgm:spPr/>
      <dgm:t>
        <a:bodyPr/>
        <a:lstStyle/>
        <a:p>
          <a:pPr algn="ctr"/>
          <a:endParaRPr lang="ru-RU"/>
        </a:p>
      </dgm:t>
    </dgm:pt>
    <dgm:pt modelId="{1D05025D-8BFE-442F-8289-F16FE7205736}" type="pres">
      <dgm:prSet presAssocID="{AAE4410E-0EC1-4674-ABA2-64977E7588F5}" presName="diagram" presStyleCnt="0">
        <dgm:presLayoutVars>
          <dgm:dir/>
          <dgm:resizeHandles val="exact"/>
        </dgm:presLayoutVars>
      </dgm:prSet>
      <dgm:spPr/>
    </dgm:pt>
    <dgm:pt modelId="{59035F09-3216-4844-8ADC-2570EBE0F9DD}" type="pres">
      <dgm:prSet presAssocID="{6107F978-8AEA-42AB-8ECA-CC41FF7E57E4}" presName="node" presStyleLbl="node1" presStyleIdx="0" presStyleCnt="7" custLinFactNeighborX="-18136" custLinFactNeighborY="3127">
        <dgm:presLayoutVars>
          <dgm:bulletEnabled val="1"/>
        </dgm:presLayoutVars>
      </dgm:prSet>
      <dgm:spPr>
        <a:prstGeom prst="roundRect">
          <a:avLst/>
        </a:prstGeom>
      </dgm:spPr>
    </dgm:pt>
    <dgm:pt modelId="{3AD22B1B-EAFC-43A6-B1EB-206E339BE31F}" type="pres">
      <dgm:prSet presAssocID="{3BE5B2F0-2D46-401C-8C56-06A519FB1F98}" presName="sibTrans" presStyleCnt="0"/>
      <dgm:spPr/>
    </dgm:pt>
    <dgm:pt modelId="{3B6640C4-D13D-4611-A730-684314753DA2}" type="pres">
      <dgm:prSet presAssocID="{BD0E0716-CE4B-488C-A150-E249C237D96F}" presName="node" presStyleLbl="node1" presStyleIdx="1" presStyleCnt="7" custScaleX="70227" custScaleY="62401" custLinFactNeighborX="1252" custLinFactNeighborY="-11601">
        <dgm:presLayoutVars>
          <dgm:bulletEnabled val="1"/>
        </dgm:presLayoutVars>
      </dgm:prSet>
      <dgm:spPr>
        <a:prstGeom prst="roundRect">
          <a:avLst/>
        </a:prstGeom>
      </dgm:spPr>
    </dgm:pt>
    <dgm:pt modelId="{99227633-6B62-47BE-9713-F4C8C16DC8E3}" type="pres">
      <dgm:prSet presAssocID="{80327E23-3F7C-4748-8B77-26F63822AB4B}" presName="sibTrans" presStyleCnt="0"/>
      <dgm:spPr/>
    </dgm:pt>
    <dgm:pt modelId="{69F2B676-21F8-44D2-94B6-23FA8215FBA3}" type="pres">
      <dgm:prSet presAssocID="{5AF279EF-E08F-4941-BABB-B3142DA50C7D}" presName="node" presSty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C-23AE-4669-B022-246A37C6A66E}" type="pres">
      <dgm:prSet presAssocID="{2B859C41-08A0-4587-A375-B4195C5B80E2}" presName="sibTrans" presStyleCnt="0"/>
      <dgm:spPr/>
    </dgm:pt>
    <dgm:pt modelId="{26A11F9C-620C-41DA-A3F1-EECC2B729A92}" type="pres">
      <dgm:prSet presAssocID="{30BD83A0-8D5F-4336-96BC-A65E8144C267}" presName="node" presStyleLbl="node1" presStyleIdx="3" presStyleCnt="7" custScaleX="70227" custScaleY="62401" custLinFactNeighborX="98809" custLinFactNeighborY="-6254">
        <dgm:presLayoutVars>
          <dgm:bulletEnabled val="1"/>
        </dgm:presLayoutVars>
      </dgm:prSet>
      <dgm:spPr>
        <a:prstGeom prst="roundRect">
          <a:avLst/>
        </a:prstGeom>
      </dgm:spPr>
    </dgm:pt>
    <dgm:pt modelId="{6288BDFD-C667-43AB-8C75-647DA4D40228}" type="pres">
      <dgm:prSet presAssocID="{5E5B1358-3F17-425D-945A-BD230C4E010D}" presName="sibTrans" presStyleCnt="0"/>
      <dgm:spPr/>
    </dgm:pt>
    <dgm:pt modelId="{0C3738D1-7DA3-4AA4-BE48-DDBE8A45C7ED}" type="pres">
      <dgm:prSet presAssocID="{EB18EB19-CD3E-4C72-B039-B1FAB36DC60C}" presName="node" presStyleLbl="node1" presStyleIdx="4" presStyleCnt="7" custLinFactX="-10064" custLinFactNeighborX="-100000" custLinFactNeighborY="95889">
        <dgm:presLayoutVars>
          <dgm:bulletEnabled val="1"/>
        </dgm:presLayoutVars>
      </dgm:prSet>
      <dgm:spPr>
        <a:prstGeom prst="roundRect">
          <a:avLst/>
        </a:prstGeom>
      </dgm:spPr>
    </dgm:pt>
    <dgm:pt modelId="{E541E4A5-66F0-4E81-8AFE-67BC0224C4D5}" type="pres">
      <dgm:prSet presAssocID="{C42960B6-6370-4EBD-B6AD-68E2EA67371B}" presName="sibTrans" presStyleCnt="0"/>
      <dgm:spPr/>
    </dgm:pt>
    <dgm:pt modelId="{1C8A4E51-F63F-426B-B433-1706E8C50EF5}" type="pres">
      <dgm:prSet presAssocID="{08846F1E-C579-4983-8008-B278AB2E00EA}" presName="node" presStyleLbl="node1" presStyleIdx="5" presStyleCnt="7" custScaleX="70227" custScaleY="62401" custLinFactY="9438" custLinFactNeighborX="-90677" custLinFactNeighborY="100000">
        <dgm:presLayoutVars>
          <dgm:bulletEnabled val="1"/>
        </dgm:presLayoutVars>
      </dgm:prSet>
      <dgm:spPr>
        <a:prstGeom prst="roundRect">
          <a:avLst/>
        </a:prstGeom>
      </dgm:spPr>
    </dgm:pt>
    <dgm:pt modelId="{D86DE638-3FC9-4B2A-A662-937033652D09}" type="pres">
      <dgm:prSet presAssocID="{FFC527E6-6653-431D-B318-E81982EFEAFA}" presName="sibTrans" presStyleCnt="0"/>
      <dgm:spPr/>
    </dgm:pt>
    <dgm:pt modelId="{451CF6CB-587B-4219-8CC4-82CC2833B5FC}" type="pres">
      <dgm:prSet presAssocID="{92773EFE-89F3-4CE5-91C4-2396C99AB168}" presName="node" presStyleLbl="node1" presStyleIdx="6" presStyleCnt="7" custLinFactX="20100" custLinFactNeighborX="100000" custLinFactNeighborY="-20845">
        <dgm:presLayoutVars>
          <dgm:bulletEnabled val="1"/>
        </dgm:presLayoutVars>
      </dgm:prSet>
      <dgm:spPr>
        <a:prstGeom prst="roundRect">
          <a:avLst/>
        </a:prstGeom>
      </dgm:spPr>
    </dgm:pt>
  </dgm:ptLst>
  <dgm:cxnLst>
    <dgm:cxn modelId="{EFE4720C-81F9-445E-B783-17DE68FD700F}" type="presOf" srcId="{5AF279EF-E08F-4941-BABB-B3142DA50C7D}" destId="{69F2B676-21F8-44D2-94B6-23FA8215FBA3}" srcOrd="0" destOrd="0" presId="urn:microsoft.com/office/officeart/2005/8/layout/default"/>
    <dgm:cxn modelId="{26E3D20E-B3E6-40DD-B40F-3BDE95470045}" type="presOf" srcId="{EB18EB19-CD3E-4C72-B039-B1FAB36DC60C}" destId="{0C3738D1-7DA3-4AA4-BE48-DDBE8A45C7ED}" srcOrd="0" destOrd="0" presId="urn:microsoft.com/office/officeart/2005/8/layout/default"/>
    <dgm:cxn modelId="{83B2EF16-47EE-43CD-B4F9-40FFA9FBFE88}" type="presOf" srcId="{6107F978-8AEA-42AB-8ECA-CC41FF7E57E4}" destId="{59035F09-3216-4844-8ADC-2570EBE0F9DD}" srcOrd="0" destOrd="0" presId="urn:microsoft.com/office/officeart/2005/8/layout/default"/>
    <dgm:cxn modelId="{3E631E3D-2402-4458-B8FF-DA6C84884071}" srcId="{AAE4410E-0EC1-4674-ABA2-64977E7588F5}" destId="{EB18EB19-CD3E-4C72-B039-B1FAB36DC60C}" srcOrd="4" destOrd="0" parTransId="{4A9D9E98-53F3-4329-BFC8-FE04CE3FBA65}" sibTransId="{C42960B6-6370-4EBD-B6AD-68E2EA67371B}"/>
    <dgm:cxn modelId="{76115A45-C65A-4B7F-BB29-EAA7CF1A48A4}" type="presOf" srcId="{BD0E0716-CE4B-488C-A150-E249C237D96F}" destId="{3B6640C4-D13D-4611-A730-684314753DA2}" srcOrd="0" destOrd="0" presId="urn:microsoft.com/office/officeart/2005/8/layout/default"/>
    <dgm:cxn modelId="{E08E0388-434F-477F-BB9B-CF79C22BC410}" type="presOf" srcId="{08846F1E-C579-4983-8008-B278AB2E00EA}" destId="{1C8A4E51-F63F-426B-B433-1706E8C50EF5}" srcOrd="0" destOrd="0" presId="urn:microsoft.com/office/officeart/2005/8/layout/default"/>
    <dgm:cxn modelId="{6E5C7090-2F38-4D79-BB38-C13158112432}" srcId="{AAE4410E-0EC1-4674-ABA2-64977E7588F5}" destId="{6107F978-8AEA-42AB-8ECA-CC41FF7E57E4}" srcOrd="0" destOrd="0" parTransId="{B75EA41B-4518-4BDD-8624-5B38E525CE99}" sibTransId="{3BE5B2F0-2D46-401C-8C56-06A519FB1F98}"/>
    <dgm:cxn modelId="{C7E5DE95-68DD-464D-95B5-39BEF40EE4DA}" srcId="{AAE4410E-0EC1-4674-ABA2-64977E7588F5}" destId="{5AF279EF-E08F-4941-BABB-B3142DA50C7D}" srcOrd="2" destOrd="0" parTransId="{69B4F584-FEF6-4319-AD6A-AA434CA79D70}" sibTransId="{2B859C41-08A0-4587-A375-B4195C5B80E2}"/>
    <dgm:cxn modelId="{6CD4A89C-F036-4376-9472-05BB69FB5125}" type="presOf" srcId="{92773EFE-89F3-4CE5-91C4-2396C99AB168}" destId="{451CF6CB-587B-4219-8CC4-82CC2833B5FC}" srcOrd="0" destOrd="0" presId="urn:microsoft.com/office/officeart/2005/8/layout/default"/>
    <dgm:cxn modelId="{B182229E-788F-4DEE-9D25-1F6E2B1B2C89}" srcId="{AAE4410E-0EC1-4674-ABA2-64977E7588F5}" destId="{92773EFE-89F3-4CE5-91C4-2396C99AB168}" srcOrd="6" destOrd="0" parTransId="{72331E90-F558-4F8F-8C65-A896D14F6575}" sibTransId="{42287158-33A3-434B-B10F-EF540F9A39F7}"/>
    <dgm:cxn modelId="{0D75E4AC-72F4-450D-8D3F-6DF63EB1D824}" srcId="{AAE4410E-0EC1-4674-ABA2-64977E7588F5}" destId="{BD0E0716-CE4B-488C-A150-E249C237D96F}" srcOrd="1" destOrd="0" parTransId="{4324416F-AFD0-468E-A56E-5BB6CA839350}" sibTransId="{80327E23-3F7C-4748-8B77-26F63822AB4B}"/>
    <dgm:cxn modelId="{2C3B08BF-102B-4CDF-80EE-435BBC5B3D6E}" type="presOf" srcId="{30BD83A0-8D5F-4336-96BC-A65E8144C267}" destId="{26A11F9C-620C-41DA-A3F1-EECC2B729A92}" srcOrd="0" destOrd="0" presId="urn:microsoft.com/office/officeart/2005/8/layout/default"/>
    <dgm:cxn modelId="{F80BA2E9-0EF9-49A2-B3CF-8A178DD4682E}" srcId="{AAE4410E-0EC1-4674-ABA2-64977E7588F5}" destId="{30BD83A0-8D5F-4336-96BC-A65E8144C267}" srcOrd="3" destOrd="0" parTransId="{C400320C-CDB9-4052-8DCA-4FC31C2A2A52}" sibTransId="{5E5B1358-3F17-425D-945A-BD230C4E010D}"/>
    <dgm:cxn modelId="{764ED5EE-0A4D-415F-A686-69F2078EF5AE}" srcId="{AAE4410E-0EC1-4674-ABA2-64977E7588F5}" destId="{08846F1E-C579-4983-8008-B278AB2E00EA}" srcOrd="5" destOrd="0" parTransId="{41FD19AE-EDE8-4327-9B26-485271F90032}" sibTransId="{FFC527E6-6653-431D-B318-E81982EFEAFA}"/>
    <dgm:cxn modelId="{5912A8F6-F307-4FCD-B562-46058250F7F6}" type="presOf" srcId="{AAE4410E-0EC1-4674-ABA2-64977E7588F5}" destId="{1D05025D-8BFE-442F-8289-F16FE7205736}" srcOrd="0" destOrd="0" presId="urn:microsoft.com/office/officeart/2005/8/layout/default"/>
    <dgm:cxn modelId="{B9028BFE-7D8F-48FD-976D-0B235E1C1803}" type="presParOf" srcId="{1D05025D-8BFE-442F-8289-F16FE7205736}" destId="{59035F09-3216-4844-8ADC-2570EBE0F9DD}" srcOrd="0" destOrd="0" presId="urn:microsoft.com/office/officeart/2005/8/layout/default"/>
    <dgm:cxn modelId="{1AE5F58F-3FCE-4DB5-8CFA-77F7B20EDF01}" type="presParOf" srcId="{1D05025D-8BFE-442F-8289-F16FE7205736}" destId="{3AD22B1B-EAFC-43A6-B1EB-206E339BE31F}" srcOrd="1" destOrd="0" presId="urn:microsoft.com/office/officeart/2005/8/layout/default"/>
    <dgm:cxn modelId="{35A053AE-0597-4B46-BFB3-308BAB1D8B02}" type="presParOf" srcId="{1D05025D-8BFE-442F-8289-F16FE7205736}" destId="{3B6640C4-D13D-4611-A730-684314753DA2}" srcOrd="2" destOrd="0" presId="urn:microsoft.com/office/officeart/2005/8/layout/default"/>
    <dgm:cxn modelId="{A1A6D0D5-ECC6-44B3-A5BA-AE670A0439FE}" type="presParOf" srcId="{1D05025D-8BFE-442F-8289-F16FE7205736}" destId="{99227633-6B62-47BE-9713-F4C8C16DC8E3}" srcOrd="3" destOrd="0" presId="urn:microsoft.com/office/officeart/2005/8/layout/default"/>
    <dgm:cxn modelId="{2C38757F-2199-4364-BAA6-815C0BE07E71}" type="presParOf" srcId="{1D05025D-8BFE-442F-8289-F16FE7205736}" destId="{69F2B676-21F8-44D2-94B6-23FA8215FBA3}" srcOrd="4" destOrd="0" presId="urn:microsoft.com/office/officeart/2005/8/layout/default"/>
    <dgm:cxn modelId="{D32F11C5-084B-46E6-AC49-9E862511A785}" type="presParOf" srcId="{1D05025D-8BFE-442F-8289-F16FE7205736}" destId="{5A57C2DC-23AE-4669-B022-246A37C6A66E}" srcOrd="5" destOrd="0" presId="urn:microsoft.com/office/officeart/2005/8/layout/default"/>
    <dgm:cxn modelId="{9D335FE2-2331-4E41-BDA6-7D7ED3AE5F05}" type="presParOf" srcId="{1D05025D-8BFE-442F-8289-F16FE7205736}" destId="{26A11F9C-620C-41DA-A3F1-EECC2B729A92}" srcOrd="6" destOrd="0" presId="urn:microsoft.com/office/officeart/2005/8/layout/default"/>
    <dgm:cxn modelId="{3BD08320-B964-4F41-A3E1-6A68AEA8E23E}" type="presParOf" srcId="{1D05025D-8BFE-442F-8289-F16FE7205736}" destId="{6288BDFD-C667-43AB-8C75-647DA4D40228}" srcOrd="7" destOrd="0" presId="urn:microsoft.com/office/officeart/2005/8/layout/default"/>
    <dgm:cxn modelId="{819BFFBF-AA12-4DB9-907E-771CD31D3353}" type="presParOf" srcId="{1D05025D-8BFE-442F-8289-F16FE7205736}" destId="{0C3738D1-7DA3-4AA4-BE48-DDBE8A45C7ED}" srcOrd="8" destOrd="0" presId="urn:microsoft.com/office/officeart/2005/8/layout/default"/>
    <dgm:cxn modelId="{EB57BCED-D59E-4A2C-ABF8-AF81571ECFAE}" type="presParOf" srcId="{1D05025D-8BFE-442F-8289-F16FE7205736}" destId="{E541E4A5-66F0-4E81-8AFE-67BC0224C4D5}" srcOrd="9" destOrd="0" presId="urn:microsoft.com/office/officeart/2005/8/layout/default"/>
    <dgm:cxn modelId="{6299FA6A-508E-4BE9-B496-ECF8DA542039}" type="presParOf" srcId="{1D05025D-8BFE-442F-8289-F16FE7205736}" destId="{1C8A4E51-F63F-426B-B433-1706E8C50EF5}" srcOrd="10" destOrd="0" presId="urn:microsoft.com/office/officeart/2005/8/layout/default"/>
    <dgm:cxn modelId="{74446610-0A9C-4303-9C75-6544197B9D9A}" type="presParOf" srcId="{1D05025D-8BFE-442F-8289-F16FE7205736}" destId="{D86DE638-3FC9-4B2A-A662-937033652D09}" srcOrd="11" destOrd="0" presId="urn:microsoft.com/office/officeart/2005/8/layout/default"/>
    <dgm:cxn modelId="{D85FE7F4-BB60-485F-A051-414B565ED794}" type="presParOf" srcId="{1D05025D-8BFE-442F-8289-F16FE7205736}" destId="{451CF6CB-587B-4219-8CC4-82CC2833B5FC}" srcOrd="12"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035F09-3216-4844-8ADC-2570EBE0F9DD}">
      <dsp:nvSpPr>
        <dsp:cNvPr id="0" name=""/>
        <dsp:cNvSpPr/>
      </dsp:nvSpPr>
      <dsp:spPr>
        <a:xfrm>
          <a:off x="104335" y="29469"/>
          <a:ext cx="1523107" cy="913864"/>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Контролируемое налогооблагаемое лицо (производитель)</a:t>
          </a:r>
        </a:p>
      </dsp:txBody>
      <dsp:txXfrm>
        <a:off x="148946" y="74080"/>
        <a:ext cx="1433885" cy="824642"/>
      </dsp:txXfrm>
    </dsp:sp>
    <dsp:sp modelId="{3B6640C4-D13D-4611-A730-684314753DA2}">
      <dsp:nvSpPr>
        <dsp:cNvPr id="0" name=""/>
        <dsp:cNvSpPr/>
      </dsp:nvSpPr>
      <dsp:spPr>
        <a:xfrm>
          <a:off x="2075053" y="66677"/>
          <a:ext cx="1069632" cy="57026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Сделка Х</a:t>
          </a:r>
        </a:p>
      </dsp:txBody>
      <dsp:txXfrm>
        <a:off x="2102891" y="94515"/>
        <a:ext cx="1013956" cy="514584"/>
      </dsp:txXfrm>
    </dsp:sp>
    <dsp:sp modelId="{69F2B676-21F8-44D2-94B6-23FA8215FBA3}">
      <dsp:nvSpPr>
        <dsp:cNvPr id="0" name=""/>
        <dsp:cNvSpPr/>
      </dsp:nvSpPr>
      <dsp:spPr>
        <a:xfrm>
          <a:off x="3658492" y="0"/>
          <a:ext cx="1523107" cy="913864"/>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Взаимозависимый экономический субъект</a:t>
          </a:r>
        </a:p>
      </dsp:txBody>
      <dsp:txXfrm>
        <a:off x="3703103" y="44611"/>
        <a:ext cx="1433885" cy="824642"/>
      </dsp:txXfrm>
    </dsp:sp>
    <dsp:sp modelId="{26A11F9C-620C-41DA-A3F1-EECC2B729A92}">
      <dsp:nvSpPr>
        <dsp:cNvPr id="0" name=""/>
        <dsp:cNvSpPr/>
      </dsp:nvSpPr>
      <dsp:spPr>
        <a:xfrm>
          <a:off x="2112270" y="1181716"/>
          <a:ext cx="1069632" cy="57026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Сделка </a:t>
          </a:r>
          <a:r>
            <a:rPr lang="en-US" sz="1200" kern="1200"/>
            <a:t>Y</a:t>
          </a:r>
          <a:endParaRPr lang="ru-RU" sz="1200" kern="1200"/>
        </a:p>
      </dsp:txBody>
      <dsp:txXfrm>
        <a:off x="2140108" y="1209554"/>
        <a:ext cx="1013956" cy="514584"/>
      </dsp:txXfrm>
    </dsp:sp>
    <dsp:sp modelId="{0C3738D1-7DA3-4AA4-BE48-DDBE8A45C7ED}">
      <dsp:nvSpPr>
        <dsp:cNvPr id="0" name=""/>
        <dsp:cNvSpPr/>
      </dsp:nvSpPr>
      <dsp:spPr>
        <a:xfrm>
          <a:off x="152853" y="1943363"/>
          <a:ext cx="1523107" cy="913864"/>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Производитель аналогичных товаров (услуг, работ)</a:t>
          </a:r>
        </a:p>
      </dsp:txBody>
      <dsp:txXfrm>
        <a:off x="197464" y="1987974"/>
        <a:ext cx="1433885" cy="824642"/>
      </dsp:txXfrm>
    </dsp:sp>
    <dsp:sp modelId="{1C8A4E51-F63F-426B-B433-1706E8C50EF5}">
      <dsp:nvSpPr>
        <dsp:cNvPr id="0" name=""/>
        <dsp:cNvSpPr/>
      </dsp:nvSpPr>
      <dsp:spPr>
        <a:xfrm>
          <a:off x="2123556" y="2238984"/>
          <a:ext cx="1069632" cy="57026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Сделка </a:t>
          </a:r>
          <a:r>
            <a:rPr lang="en-US" sz="1200" kern="1200"/>
            <a:t>Z</a:t>
          </a:r>
          <a:endParaRPr lang="ru-RU" sz="1200" kern="1200"/>
        </a:p>
      </dsp:txBody>
      <dsp:txXfrm>
        <a:off x="2151394" y="2266822"/>
        <a:ext cx="1013956" cy="514584"/>
      </dsp:txXfrm>
    </dsp:sp>
    <dsp:sp modelId="{451CF6CB-587B-4219-8CC4-82CC2833B5FC}">
      <dsp:nvSpPr>
        <dsp:cNvPr id="0" name=""/>
        <dsp:cNvSpPr/>
      </dsp:nvSpPr>
      <dsp:spPr>
        <a:xfrm>
          <a:off x="3658492" y="1942747"/>
          <a:ext cx="1523107" cy="913864"/>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Не взаимозависимый экономический субъект</a:t>
          </a:r>
        </a:p>
      </dsp:txBody>
      <dsp:txXfrm>
        <a:off x="3703103" y="1987358"/>
        <a:ext cx="1433885" cy="82464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0.58542</cdr:x>
      <cdr:y>0.05382</cdr:y>
    </cdr:from>
    <cdr:to>
      <cdr:x>0.78542</cdr:x>
      <cdr:y>0.18576</cdr:y>
    </cdr:to>
    <cdr:sp macro="" textlink="">
      <cdr:nvSpPr>
        <cdr:cNvPr id="2" name="TextBox 1"/>
        <cdr:cNvSpPr txBox="1"/>
      </cdr:nvSpPr>
      <cdr:spPr>
        <a:xfrm xmlns:a="http://schemas.openxmlformats.org/drawingml/2006/main">
          <a:off x="2676525" y="147638"/>
          <a:ext cx="914400"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t>9%</a:t>
          </a:r>
        </a:p>
      </cdr:txBody>
    </cdr:sp>
  </cdr:relSizeAnchor>
  <cdr:relSizeAnchor xmlns:cdr="http://schemas.openxmlformats.org/drawingml/2006/chartDrawing">
    <cdr:from>
      <cdr:x>0.60625</cdr:x>
      <cdr:y>0.15625</cdr:y>
    </cdr:from>
    <cdr:to>
      <cdr:x>0.64583</cdr:x>
      <cdr:y>0.86458</cdr:y>
    </cdr:to>
    <cdr:sp macro="" textlink="">
      <cdr:nvSpPr>
        <cdr:cNvPr id="3" name="Стрелка вверх 2"/>
        <cdr:cNvSpPr/>
      </cdr:nvSpPr>
      <cdr:spPr>
        <a:xfrm xmlns:a="http://schemas.openxmlformats.org/drawingml/2006/main">
          <a:off x="2771775" y="428625"/>
          <a:ext cx="180975" cy="1943100"/>
        </a:xfrm>
        <a:prstGeom xmlns:a="http://schemas.openxmlformats.org/drawingml/2006/main" prst="upArrow">
          <a:avLst/>
        </a:prstGeom>
        <a:gradFill xmlns:a="http://schemas.openxmlformats.org/drawingml/2006/main" flip="none" rotWithShape="1">
          <a:gsLst>
            <a:gs pos="0">
              <a:schemeClr val="accent6">
                <a:tint val="66000"/>
                <a:satMod val="160000"/>
              </a:schemeClr>
            </a:gs>
            <a:gs pos="50000">
              <a:schemeClr val="accent6">
                <a:tint val="44500"/>
                <a:satMod val="160000"/>
              </a:schemeClr>
            </a:gs>
            <a:gs pos="100000">
              <a:schemeClr val="accent6">
                <a:tint val="23500"/>
                <a:satMod val="160000"/>
              </a:schemeClr>
            </a:gs>
          </a:gsLst>
          <a:lin ang="5400000" scaled="1"/>
          <a:tileRect/>
        </a:gradFill>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70B76-2EA1-4E98-857F-496AA7B2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17297</Words>
  <Characters>98593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Asysha</dc:creator>
  <cp:keywords/>
  <dc:description/>
  <cp:lastModifiedBy>gangsta</cp:lastModifiedBy>
  <cp:revision>3</cp:revision>
  <cp:lastPrinted>2018-05-11T20:54:00Z</cp:lastPrinted>
  <dcterms:created xsi:type="dcterms:W3CDTF">2018-05-13T16:55:00Z</dcterms:created>
  <dcterms:modified xsi:type="dcterms:W3CDTF">2018-05-14T17:57:00Z</dcterms:modified>
</cp:coreProperties>
</file>