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0" w:rsidRDefault="001F464C" w:rsidP="00DE20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ФГОУ ВПО «Санкт-Петербургский государственный университет»</w:t>
      </w:r>
    </w:p>
    <w:p w:rsidR="001F464C" w:rsidRDefault="001F464C" w:rsidP="00FA7F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факультет</w:t>
      </w:r>
    </w:p>
    <w:p w:rsidR="001F464C" w:rsidRDefault="001F464C" w:rsidP="00DE20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патологии</w:t>
      </w:r>
    </w:p>
    <w:p w:rsidR="001F464C" w:rsidRDefault="001F464C" w:rsidP="00DE2003">
      <w:pPr>
        <w:spacing w:line="360" w:lineRule="auto"/>
        <w:jc w:val="center"/>
        <w:rPr>
          <w:sz w:val="28"/>
          <w:szCs w:val="28"/>
        </w:rPr>
      </w:pPr>
    </w:p>
    <w:p w:rsidR="001F464C" w:rsidRDefault="005C43D7" w:rsidP="00DE20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Допускается к защите</w:t>
      </w:r>
    </w:p>
    <w:p w:rsidR="005C43D7" w:rsidRPr="00B168D1" w:rsidRDefault="005C43D7" w:rsidP="00DE2003">
      <w:pPr>
        <w:spacing w:line="360" w:lineRule="auto"/>
        <w:rPr>
          <w:sz w:val="28"/>
          <w:szCs w:val="28"/>
        </w:rPr>
      </w:pPr>
      <w:r w:rsidRPr="00B168D1">
        <w:rPr>
          <w:sz w:val="28"/>
          <w:szCs w:val="28"/>
        </w:rPr>
        <w:t>Заведующий кафедрой</w:t>
      </w:r>
    </w:p>
    <w:p w:rsidR="005C43D7" w:rsidRPr="00B168D1" w:rsidRDefault="005C43D7" w:rsidP="00DE2003">
      <w:pPr>
        <w:spacing w:line="360" w:lineRule="auto"/>
        <w:rPr>
          <w:sz w:val="28"/>
          <w:szCs w:val="28"/>
        </w:rPr>
      </w:pPr>
      <w:r w:rsidRPr="00B168D1">
        <w:rPr>
          <w:sz w:val="28"/>
          <w:szCs w:val="28"/>
        </w:rPr>
        <w:t>Чурилов Л.П.</w:t>
      </w:r>
    </w:p>
    <w:p w:rsidR="005C43D7" w:rsidRDefault="005C43D7" w:rsidP="00DE20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B168D1">
        <w:rPr>
          <w:sz w:val="28"/>
          <w:szCs w:val="28"/>
        </w:rPr>
        <w:t xml:space="preserve">  </w:t>
      </w:r>
      <w:r>
        <w:rPr>
          <w:sz w:val="28"/>
          <w:szCs w:val="28"/>
        </w:rPr>
        <w:t>» _______________</w:t>
      </w:r>
    </w:p>
    <w:p w:rsidR="005C43D7" w:rsidRDefault="005C43D7" w:rsidP="00DE2003">
      <w:pPr>
        <w:spacing w:line="360" w:lineRule="auto"/>
        <w:jc w:val="center"/>
        <w:rPr>
          <w:sz w:val="28"/>
          <w:szCs w:val="28"/>
        </w:rPr>
      </w:pPr>
    </w:p>
    <w:p w:rsidR="005C43D7" w:rsidRDefault="005C43D7" w:rsidP="00DE20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ДИПЛОМНАЯ РАБОТА</w:t>
      </w:r>
    </w:p>
    <w:p w:rsidR="005C43D7" w:rsidRDefault="005C43D7" w:rsidP="00DE20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ТЕМУ: ВАРИАНТЫ ТАНАТОГЕНЕЗА ПРИ ВИЧ-ИНФЕКЦИИ.</w:t>
      </w:r>
    </w:p>
    <w:p w:rsidR="005C43D7" w:rsidRDefault="005C43D7" w:rsidP="00DE2003">
      <w:pPr>
        <w:spacing w:line="360" w:lineRule="auto"/>
        <w:jc w:val="right"/>
        <w:rPr>
          <w:sz w:val="28"/>
          <w:szCs w:val="28"/>
        </w:rPr>
      </w:pPr>
    </w:p>
    <w:p w:rsidR="005C43D7" w:rsidRDefault="005C43D7" w:rsidP="00DE20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студентка</w:t>
      </w:r>
    </w:p>
    <w:p w:rsidR="00517F8F" w:rsidRDefault="005C43D7" w:rsidP="00517F8F">
      <w:pPr>
        <w:spacing w:line="360" w:lineRule="auto"/>
        <w:jc w:val="right"/>
        <w:rPr>
          <w:sz w:val="28"/>
          <w:szCs w:val="28"/>
        </w:rPr>
      </w:pPr>
      <w:r w:rsidRPr="00B168D1">
        <w:rPr>
          <w:sz w:val="28"/>
          <w:szCs w:val="28"/>
        </w:rPr>
        <w:t>609 группы</w:t>
      </w:r>
      <w:r w:rsidR="00517F8F" w:rsidRPr="00517F8F">
        <w:rPr>
          <w:sz w:val="28"/>
          <w:szCs w:val="28"/>
        </w:rPr>
        <w:t xml:space="preserve"> </w:t>
      </w:r>
    </w:p>
    <w:p w:rsidR="005C43D7" w:rsidRPr="00B168D1" w:rsidRDefault="00517F8F" w:rsidP="00DE20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Кошевая Е.Г.</w:t>
      </w:r>
    </w:p>
    <w:p w:rsidR="005C43D7" w:rsidRDefault="005C43D7" w:rsidP="00DE20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5C43D7" w:rsidRDefault="00231355" w:rsidP="00FA7F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д.м.н., проф. Цинзерлинг </w:t>
      </w:r>
      <w:r w:rsidR="005C43D7">
        <w:rPr>
          <w:sz w:val="28"/>
          <w:szCs w:val="28"/>
        </w:rPr>
        <w:t>В.</w:t>
      </w:r>
      <w:r>
        <w:rPr>
          <w:sz w:val="28"/>
          <w:szCs w:val="28"/>
        </w:rPr>
        <w:t>А.</w:t>
      </w:r>
    </w:p>
    <w:p w:rsidR="00FA7F51" w:rsidRDefault="00FA7F51" w:rsidP="00FA7F51">
      <w:pPr>
        <w:spacing w:line="360" w:lineRule="auto"/>
        <w:jc w:val="right"/>
        <w:rPr>
          <w:sz w:val="28"/>
          <w:szCs w:val="28"/>
        </w:rPr>
      </w:pPr>
    </w:p>
    <w:p w:rsidR="005C43D7" w:rsidRDefault="005C43D7" w:rsidP="00DE20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A7F51" w:rsidRDefault="00FA7F51" w:rsidP="004F3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C43D7" w:rsidRDefault="00FA7F51" w:rsidP="00FA7F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003" w:rsidRDefault="00370606" w:rsidP="00DE20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AB78E9" w:rsidRPr="0093759C" w:rsidRDefault="00AB78E9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</w:t>
      </w:r>
      <w:r w:rsidR="0093759C">
        <w:rPr>
          <w:sz w:val="28"/>
          <w:szCs w:val="28"/>
        </w:rPr>
        <w:t>……………………………………………...4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93759C">
        <w:rPr>
          <w:sz w:val="28"/>
          <w:szCs w:val="28"/>
        </w:rPr>
        <w:t>………………………………………………………………………...5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</w:t>
      </w:r>
      <w:r w:rsidR="00590538">
        <w:rPr>
          <w:sz w:val="28"/>
          <w:szCs w:val="28"/>
        </w:rPr>
        <w:t xml:space="preserve"> Литературный обзор</w:t>
      </w:r>
      <w:r w:rsidR="0093759C">
        <w:rPr>
          <w:sz w:val="28"/>
          <w:szCs w:val="28"/>
        </w:rPr>
        <w:t>………………………………………………...11</w:t>
      </w:r>
    </w:p>
    <w:p w:rsidR="00590538" w:rsidRDefault="00590538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361608">
        <w:rPr>
          <w:sz w:val="28"/>
          <w:szCs w:val="28"/>
        </w:rPr>
        <w:t>пределение понятия ВИЧ-инфекция</w:t>
      </w:r>
      <w:r w:rsidR="0093759C">
        <w:rPr>
          <w:sz w:val="28"/>
          <w:szCs w:val="28"/>
        </w:rPr>
        <w:t>…………………………………..11</w:t>
      </w:r>
    </w:p>
    <w:p w:rsidR="00590538" w:rsidRDefault="00590538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61608">
        <w:rPr>
          <w:sz w:val="28"/>
          <w:szCs w:val="28"/>
        </w:rPr>
        <w:t xml:space="preserve"> </w:t>
      </w:r>
      <w:r w:rsidR="00994E05">
        <w:rPr>
          <w:sz w:val="28"/>
          <w:szCs w:val="28"/>
        </w:rPr>
        <w:t>Патогенез ВИЧ-инфекции</w:t>
      </w:r>
      <w:r w:rsidR="0093759C">
        <w:rPr>
          <w:sz w:val="28"/>
          <w:szCs w:val="28"/>
        </w:rPr>
        <w:t>……………………………………………….12</w:t>
      </w:r>
    </w:p>
    <w:p w:rsidR="001974C5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1.3.Естественное течение ВИЧ-инфекции…………………………………..14</w:t>
      </w:r>
    </w:p>
    <w:p w:rsidR="0059053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0538">
        <w:rPr>
          <w:sz w:val="28"/>
          <w:szCs w:val="28"/>
        </w:rPr>
        <w:t>. Пути передачи ВИЧ</w:t>
      </w:r>
      <w:r w:rsidR="0093759C">
        <w:rPr>
          <w:sz w:val="28"/>
          <w:szCs w:val="28"/>
        </w:rPr>
        <w:t>……………………………………………………...15</w:t>
      </w:r>
    </w:p>
    <w:p w:rsidR="0059053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0538">
        <w:rPr>
          <w:sz w:val="28"/>
          <w:szCs w:val="28"/>
        </w:rPr>
        <w:t>. Классификация ВИЧ-инфекции</w:t>
      </w:r>
      <w:r w:rsidR="0093759C">
        <w:rPr>
          <w:sz w:val="28"/>
          <w:szCs w:val="28"/>
        </w:rPr>
        <w:t>…………………………………………16</w:t>
      </w:r>
    </w:p>
    <w:p w:rsidR="00590538" w:rsidRDefault="00620C3C" w:rsidP="005905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1.6</w:t>
      </w:r>
      <w:r w:rsidR="00590538">
        <w:rPr>
          <w:sz w:val="28"/>
          <w:szCs w:val="28"/>
        </w:rPr>
        <w:t xml:space="preserve">. </w:t>
      </w:r>
      <w:r w:rsidR="0099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вторичные заболевания, развивающиеся при</w:t>
      </w:r>
      <w:r w:rsidR="0036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</w:t>
      </w:r>
      <w:r w:rsidR="0093759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………………………………………………………………………21</w:t>
      </w:r>
    </w:p>
    <w:p w:rsidR="0059053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61608">
        <w:rPr>
          <w:sz w:val="28"/>
          <w:szCs w:val="28"/>
        </w:rPr>
        <w:t>.1. Туберкулёз</w:t>
      </w:r>
      <w:r w:rsidR="0093759C">
        <w:rPr>
          <w:sz w:val="28"/>
          <w:szCs w:val="28"/>
        </w:rPr>
        <w:t>………………………………………………………………21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61608">
        <w:rPr>
          <w:sz w:val="28"/>
          <w:szCs w:val="28"/>
        </w:rPr>
        <w:t>.2. Пневмоцистная пневмония</w:t>
      </w:r>
      <w:r w:rsidR="0093759C">
        <w:rPr>
          <w:sz w:val="28"/>
          <w:szCs w:val="28"/>
        </w:rPr>
        <w:t>…………………………………………….22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61608">
        <w:rPr>
          <w:sz w:val="28"/>
          <w:szCs w:val="28"/>
        </w:rPr>
        <w:t>.3. Цитомегаловирусная инфекция</w:t>
      </w:r>
      <w:r w:rsidR="0093759C">
        <w:rPr>
          <w:sz w:val="28"/>
          <w:szCs w:val="28"/>
        </w:rPr>
        <w:t>……………………………………….23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61608">
        <w:rPr>
          <w:sz w:val="28"/>
          <w:szCs w:val="28"/>
        </w:rPr>
        <w:t>.4. Криптококкоз</w:t>
      </w:r>
      <w:r w:rsidR="0093759C">
        <w:rPr>
          <w:sz w:val="28"/>
          <w:szCs w:val="28"/>
        </w:rPr>
        <w:t>………………………………………………………...…24</w:t>
      </w:r>
    </w:p>
    <w:p w:rsidR="003C3E31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.5. Кандидоз</w:t>
      </w:r>
      <w:r w:rsidR="0093759C">
        <w:rPr>
          <w:sz w:val="28"/>
          <w:szCs w:val="28"/>
        </w:rPr>
        <w:t>………………………………………………………………...24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.6</w:t>
      </w:r>
      <w:r w:rsidR="00361608">
        <w:rPr>
          <w:sz w:val="28"/>
          <w:szCs w:val="28"/>
        </w:rPr>
        <w:t>. Токсоплазмоз</w:t>
      </w:r>
      <w:r w:rsidR="0093759C">
        <w:rPr>
          <w:sz w:val="28"/>
          <w:szCs w:val="28"/>
        </w:rPr>
        <w:t>…………………………………………………………...25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.7</w:t>
      </w:r>
      <w:r w:rsidR="00361608">
        <w:rPr>
          <w:sz w:val="28"/>
          <w:szCs w:val="28"/>
        </w:rPr>
        <w:t>. Прогрессирующая многофокусная лейкоэнцефалопатия</w:t>
      </w:r>
      <w:r w:rsidR="0093759C">
        <w:rPr>
          <w:sz w:val="28"/>
          <w:szCs w:val="28"/>
        </w:rPr>
        <w:t>…………...26</w:t>
      </w:r>
    </w:p>
    <w:p w:rsidR="003C3E31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.8. Хронические вирусные гепатиты</w:t>
      </w:r>
      <w:r w:rsidR="0093759C">
        <w:rPr>
          <w:sz w:val="28"/>
          <w:szCs w:val="28"/>
        </w:rPr>
        <w:t>……………………………………..27</w:t>
      </w:r>
    </w:p>
    <w:p w:rsidR="0036160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.9</w:t>
      </w:r>
      <w:r w:rsidR="00361608">
        <w:rPr>
          <w:sz w:val="28"/>
          <w:szCs w:val="28"/>
        </w:rPr>
        <w:t>. Лимфомы</w:t>
      </w:r>
      <w:r w:rsidR="0093759C">
        <w:rPr>
          <w:sz w:val="28"/>
          <w:szCs w:val="28"/>
        </w:rPr>
        <w:t>………………………………………………………………..28</w:t>
      </w:r>
    </w:p>
    <w:p w:rsidR="003C3E31" w:rsidRPr="00590538" w:rsidRDefault="00620C3C" w:rsidP="0059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E31">
        <w:rPr>
          <w:sz w:val="28"/>
          <w:szCs w:val="28"/>
        </w:rPr>
        <w:t>.10. Саркома Капоши</w:t>
      </w:r>
      <w:r w:rsidR="0093759C">
        <w:rPr>
          <w:sz w:val="28"/>
          <w:szCs w:val="28"/>
        </w:rPr>
        <w:t>……………………………………………………....29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</w:t>
      </w:r>
      <w:r w:rsidR="00361608">
        <w:rPr>
          <w:sz w:val="28"/>
          <w:szCs w:val="28"/>
        </w:rPr>
        <w:t>Материалы и методы</w:t>
      </w:r>
      <w:r w:rsidR="0093759C">
        <w:rPr>
          <w:sz w:val="28"/>
          <w:szCs w:val="28"/>
        </w:rPr>
        <w:t>………………………………………………...31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3.</w:t>
      </w:r>
      <w:r w:rsidR="00361608">
        <w:rPr>
          <w:sz w:val="28"/>
          <w:szCs w:val="28"/>
        </w:rPr>
        <w:t xml:space="preserve"> Результаты исследования</w:t>
      </w:r>
      <w:r w:rsidR="0093759C">
        <w:rPr>
          <w:sz w:val="28"/>
          <w:szCs w:val="28"/>
        </w:rPr>
        <w:t>…………………………………………...33</w:t>
      </w:r>
    </w:p>
    <w:p w:rsidR="00345B6B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3.1.Представление сводных данных о пациентах…………………………..33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3.2.Структура основных причин смерти в исследуемые годы…………….38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3.3.Структура дополнительных причин смерти…………………………….42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3.4.Спектр оппортунистических заболеваний………………………………43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3.5.Спектр ВИЧ-ассоциированной патологии вне связи с влиянием на танатогенез…………………………………………………………………….44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3.6.Сопутствующая патология……………………………………………….48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3.7.Обсуждение полученных результатов…………………………………...51</w:t>
      </w:r>
    </w:p>
    <w:p w:rsidR="009C18CE" w:rsidRDefault="009C18CE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3.8.Клинико-анатомические сопоставления………………………………...57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5919F4">
        <w:rPr>
          <w:sz w:val="28"/>
          <w:szCs w:val="28"/>
        </w:rPr>
        <w:t>…………………………………………………………………….63</w:t>
      </w:r>
    </w:p>
    <w:p w:rsidR="00370606" w:rsidRDefault="00370606" w:rsidP="00370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5919F4">
        <w:rPr>
          <w:sz w:val="28"/>
          <w:szCs w:val="28"/>
        </w:rPr>
        <w:t>………………………………………………………………………...64</w:t>
      </w:r>
    </w:p>
    <w:p w:rsidR="004F3723" w:rsidRDefault="00370606" w:rsidP="004F3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93759C">
        <w:rPr>
          <w:sz w:val="28"/>
          <w:szCs w:val="28"/>
        </w:rPr>
        <w:t>…………………………………………</w:t>
      </w:r>
      <w:r w:rsidR="009C18CE">
        <w:rPr>
          <w:sz w:val="28"/>
          <w:szCs w:val="28"/>
        </w:rPr>
        <w:t>………………</w:t>
      </w:r>
      <w:r w:rsidR="005919F4">
        <w:rPr>
          <w:sz w:val="28"/>
          <w:szCs w:val="28"/>
        </w:rPr>
        <w:t>…67</w:t>
      </w:r>
    </w:p>
    <w:p w:rsidR="004F06E9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8E9" w:rsidRDefault="00AB78E9" w:rsidP="00AB78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условных обозначений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ВААРТ – высокоактивная антиретровирусная терапия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ВБЛУ – внутрибрюшные лимфатические узлы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 w:rsidRPr="0044318D">
        <w:rPr>
          <w:sz w:val="28"/>
          <w:szCs w:val="28"/>
        </w:rPr>
        <w:t>В</w:t>
      </w:r>
      <w:r>
        <w:rPr>
          <w:sz w:val="28"/>
          <w:szCs w:val="28"/>
        </w:rPr>
        <w:t>Г</w:t>
      </w:r>
      <w:r w:rsidRPr="0044318D">
        <w:rPr>
          <w:sz w:val="28"/>
          <w:szCs w:val="28"/>
        </w:rPr>
        <w:t>ЛУ</w:t>
      </w:r>
      <w:r>
        <w:rPr>
          <w:sz w:val="28"/>
          <w:szCs w:val="28"/>
        </w:rPr>
        <w:t xml:space="preserve"> – внутригрудные лимфатические узлы</w:t>
      </w:r>
    </w:p>
    <w:p w:rsidR="00AB78E9" w:rsidRDefault="00AB78E9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ВИЧ</w:t>
      </w:r>
      <w:r w:rsidR="00582C11">
        <w:rPr>
          <w:sz w:val="28"/>
          <w:szCs w:val="28"/>
        </w:rPr>
        <w:t xml:space="preserve"> – вирус иммунодефицита человека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ЖКТ – желудочно-кишечный тракт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НТМБ – нетуберкулёзные микобактерии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ПМЛ – прогрессирующая мультифокальная лейкоэнцефалопатия</w:t>
      </w:r>
    </w:p>
    <w:p w:rsidR="003C3E31" w:rsidRDefault="003C3E31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ПЦР – полимеразная цепная реакция</w:t>
      </w:r>
    </w:p>
    <w:p w:rsidR="00AB78E9" w:rsidRDefault="00AB78E9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ПЦП</w:t>
      </w:r>
      <w:r w:rsidR="00582C11">
        <w:rPr>
          <w:sz w:val="28"/>
          <w:szCs w:val="28"/>
        </w:rPr>
        <w:t xml:space="preserve"> – пневмоцистная пневмония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СПИД – синдром приобретённого иммунодефицита</w:t>
      </w:r>
    </w:p>
    <w:p w:rsidR="004F06E9" w:rsidRDefault="004F06E9" w:rsidP="004F0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ХВГ – хронический вирусный гепатит</w:t>
      </w:r>
    </w:p>
    <w:p w:rsidR="004F3723" w:rsidRDefault="00AB78E9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ЦМВИ</w:t>
      </w:r>
      <w:r w:rsidR="00F46F56">
        <w:rPr>
          <w:sz w:val="28"/>
          <w:szCs w:val="28"/>
        </w:rPr>
        <w:t xml:space="preserve"> – цитомегаловирусная инфекция</w:t>
      </w:r>
    </w:p>
    <w:p w:rsidR="00BD6890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606" w:rsidRPr="005E10F0" w:rsidRDefault="00370606" w:rsidP="00370606">
      <w:pPr>
        <w:spacing w:line="360" w:lineRule="auto"/>
        <w:jc w:val="center"/>
        <w:rPr>
          <w:b/>
          <w:sz w:val="32"/>
          <w:szCs w:val="32"/>
        </w:rPr>
      </w:pPr>
      <w:r w:rsidRPr="005E10F0">
        <w:rPr>
          <w:b/>
          <w:sz w:val="32"/>
          <w:szCs w:val="32"/>
        </w:rPr>
        <w:lastRenderedPageBreak/>
        <w:t>Введение</w:t>
      </w:r>
    </w:p>
    <w:p w:rsidR="008115F7" w:rsidRDefault="0044318D" w:rsidP="0044318D">
      <w:pPr>
        <w:pStyle w:val="txt"/>
        <w:spacing w:line="36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Проблема ВИЧ-инфекции многогранна и не теряет своей актуальности, несмотря на все достижения в этой области </w:t>
      </w:r>
      <w:r w:rsidRPr="00774F5D">
        <w:rPr>
          <w:sz w:val="28"/>
          <w:szCs w:val="28"/>
        </w:rPr>
        <w:t>[</w:t>
      </w:r>
      <w:r w:rsidR="00FA05F2">
        <w:rPr>
          <w:sz w:val="28"/>
          <w:szCs w:val="28"/>
        </w:rPr>
        <w:t>4</w:t>
      </w:r>
      <w:r w:rsidRPr="00774F5D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F55E1">
        <w:rPr>
          <w:rFonts w:asciiTheme="minorHAnsi" w:hAnsiTheme="minorHAnsi" w:cstheme="minorHAnsi"/>
          <w:color w:val="000000"/>
          <w:sz w:val="28"/>
          <w:szCs w:val="28"/>
        </w:rPr>
        <w:t>Общемировым трендом является снижение первичной заболеваемости ВИЧ-инфекцией и снижение СПИД-обусловленной смертности</w:t>
      </w:r>
      <w:r w:rsidR="00172207" w:rsidRPr="00172207">
        <w:rPr>
          <w:rFonts w:asciiTheme="minorHAnsi" w:hAnsiTheme="minorHAnsi" w:cstheme="minorHAnsi"/>
          <w:color w:val="000000"/>
          <w:sz w:val="28"/>
          <w:szCs w:val="28"/>
        </w:rPr>
        <w:t xml:space="preserve"> [</w:t>
      </w:r>
      <w:r w:rsidR="00B711DC">
        <w:rPr>
          <w:rFonts w:asciiTheme="minorHAnsi" w:hAnsiTheme="minorHAnsi" w:cstheme="minorHAnsi"/>
          <w:color w:val="000000"/>
          <w:sz w:val="28"/>
          <w:szCs w:val="28"/>
        </w:rPr>
        <w:t>40</w:t>
      </w:r>
      <w:r w:rsidR="00172207" w:rsidRPr="00172207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6F55E1">
        <w:rPr>
          <w:rFonts w:asciiTheme="minorHAnsi" w:hAnsiTheme="minorHAnsi" w:cstheme="minorHAnsi"/>
          <w:color w:val="000000"/>
          <w:sz w:val="28"/>
          <w:szCs w:val="28"/>
        </w:rPr>
        <w:t>. Однако</w:t>
      </w:r>
      <w:r w:rsidR="00F27051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6F55E1">
        <w:rPr>
          <w:rFonts w:asciiTheme="minorHAnsi" w:hAnsiTheme="minorHAnsi" w:cstheme="minorHAnsi"/>
          <w:color w:val="000000"/>
          <w:sz w:val="28"/>
          <w:szCs w:val="28"/>
        </w:rPr>
        <w:t xml:space="preserve">  в ряде регионов наблюдается иная ситуация.  </w:t>
      </w:r>
      <w:r w:rsidR="00F27051">
        <w:rPr>
          <w:rFonts w:asciiTheme="minorHAnsi" w:hAnsiTheme="minorHAnsi" w:cstheme="minorHAnsi"/>
          <w:color w:val="000000"/>
          <w:sz w:val="28"/>
          <w:szCs w:val="28"/>
        </w:rPr>
        <w:t>К основным очагам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 распространения ВИЧ-инфекции можно отнести страны Ближнего Востока и </w:t>
      </w:r>
      <w:r w:rsidR="00F27051">
        <w:rPr>
          <w:rFonts w:asciiTheme="minorHAnsi" w:hAnsiTheme="minorHAnsi" w:cstheme="minorHAnsi"/>
          <w:color w:val="000000"/>
          <w:sz w:val="28"/>
          <w:szCs w:val="28"/>
        </w:rPr>
        <w:t>Африки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>, а также государства Восточной Европы и Центральной Азии. В государствах Западной, Централ</w:t>
      </w:r>
      <w:r w:rsidR="006F55E1">
        <w:rPr>
          <w:rFonts w:asciiTheme="minorHAnsi" w:hAnsiTheme="minorHAnsi" w:cstheme="minorHAnsi"/>
          <w:color w:val="000000"/>
          <w:sz w:val="28"/>
          <w:szCs w:val="28"/>
        </w:rPr>
        <w:t xml:space="preserve">ьной Европы и Северной Америки 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>урове</w:t>
      </w:r>
      <w:r w:rsidR="00A83549">
        <w:rPr>
          <w:rFonts w:asciiTheme="minorHAnsi" w:hAnsiTheme="minorHAnsi" w:cstheme="minorHAnsi"/>
          <w:color w:val="000000"/>
          <w:sz w:val="28"/>
          <w:szCs w:val="28"/>
        </w:rPr>
        <w:t>нь первичной заболеваемости ВИЧ имеет тенденцию к снижению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>, а смертность, обусловленная вирусом имм</w:t>
      </w:r>
      <w:r w:rsidR="00A83549">
        <w:rPr>
          <w:rFonts w:asciiTheme="minorHAnsi" w:hAnsiTheme="minorHAnsi" w:cstheme="minorHAnsi"/>
          <w:color w:val="000000"/>
          <w:sz w:val="28"/>
          <w:szCs w:val="28"/>
        </w:rPr>
        <w:t xml:space="preserve">унодефицита, уменьшилась с 43 000 </w:t>
      </w:r>
      <w:r w:rsidR="00A83549" w:rsidRPr="00A83549">
        <w:rPr>
          <w:rFonts w:asciiTheme="minorHAnsi" w:hAnsiTheme="minorHAnsi" w:cstheme="minorHAnsi"/>
          <w:color w:val="000000"/>
          <w:sz w:val="28"/>
          <w:szCs w:val="28"/>
        </w:rPr>
        <w:t>[</w:t>
      </w:r>
      <w:r w:rsidR="00172207">
        <w:rPr>
          <w:rFonts w:asciiTheme="minorHAnsi" w:hAnsiTheme="minorHAnsi" w:cstheme="minorHAnsi"/>
          <w:color w:val="000000"/>
          <w:sz w:val="28"/>
          <w:szCs w:val="28"/>
        </w:rPr>
        <w:t>36000-52000</w:t>
      </w:r>
      <w:r w:rsidR="00A83549" w:rsidRPr="00A83549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172207">
        <w:rPr>
          <w:rFonts w:asciiTheme="minorHAnsi" w:hAnsiTheme="minorHAnsi" w:cstheme="minorHAnsi"/>
          <w:color w:val="000000"/>
          <w:sz w:val="28"/>
          <w:szCs w:val="28"/>
        </w:rPr>
        <w:t xml:space="preserve"> в 2000 году до 18000 </w:t>
      </w:r>
      <w:r w:rsidR="00172207" w:rsidRPr="00172207">
        <w:rPr>
          <w:rFonts w:asciiTheme="minorHAnsi" w:hAnsiTheme="minorHAnsi" w:cstheme="minorHAnsi"/>
          <w:color w:val="000000"/>
          <w:sz w:val="28"/>
          <w:szCs w:val="28"/>
        </w:rPr>
        <w:t>[</w:t>
      </w:r>
      <w:r w:rsidR="00172207">
        <w:rPr>
          <w:rFonts w:asciiTheme="minorHAnsi" w:hAnsiTheme="minorHAnsi" w:cstheme="minorHAnsi"/>
          <w:color w:val="000000"/>
          <w:sz w:val="28"/>
          <w:szCs w:val="28"/>
        </w:rPr>
        <w:t>15000-20000</w:t>
      </w:r>
      <w:r w:rsidR="00172207" w:rsidRPr="00172207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172207">
        <w:rPr>
          <w:rFonts w:asciiTheme="minorHAnsi" w:hAnsiTheme="minorHAnsi" w:cstheme="minorHAnsi"/>
          <w:color w:val="000000"/>
          <w:sz w:val="28"/>
          <w:szCs w:val="28"/>
        </w:rPr>
        <w:t xml:space="preserve"> в 2016 году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, что позволяет говорить о 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>некоторой стабилизации ситуации и успехах в борьбе с вирусом</w:t>
      </w:r>
      <w:r w:rsidR="00B711DC">
        <w:rPr>
          <w:rFonts w:asciiTheme="minorHAnsi" w:hAnsiTheme="minorHAnsi" w:cstheme="minorHAnsi"/>
          <w:color w:val="000000"/>
          <w:sz w:val="28"/>
          <w:szCs w:val="28"/>
        </w:rPr>
        <w:t xml:space="preserve"> [52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1308AA" w:rsidRPr="00172207">
        <w:rPr>
          <w:rFonts w:ascii="LiberationSerif" w:hAnsi="LiberationSerif"/>
          <w:color w:val="000000"/>
        </w:rPr>
        <w:t xml:space="preserve"> 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>стран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>ах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 xml:space="preserve">региона 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>Восточной Европы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 xml:space="preserve"> и Центральной Азии</w:t>
      </w:r>
      <w:r w:rsidR="001308AA" w:rsidRPr="0017220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>отмечается обратная ситуация как в отношении уровня первичной заболеваемости, так и в отношении смертности, что связано со многими причинами, в числе которых низкий охват антиретровирусной терапией</w:t>
      </w:r>
      <w:r w:rsidR="00B711DC">
        <w:rPr>
          <w:rFonts w:asciiTheme="minorHAnsi" w:hAnsiTheme="minorHAnsi" w:cstheme="minorHAnsi"/>
          <w:color w:val="000000"/>
          <w:sz w:val="28"/>
          <w:szCs w:val="28"/>
        </w:rPr>
        <w:t xml:space="preserve"> [40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AF2F20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1308AA"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2F20" w:rsidRPr="0044318D">
        <w:rPr>
          <w:rFonts w:asciiTheme="minorHAnsi" w:hAnsiTheme="minorHAnsi" w:cstheme="minorHAnsi"/>
          <w:sz w:val="28"/>
          <w:szCs w:val="28"/>
        </w:rPr>
        <w:t>C начала эпидемии б</w:t>
      </w:r>
      <w:r w:rsidR="00AF2F20" w:rsidRPr="0044318D">
        <w:rPr>
          <w:rFonts w:cstheme="minorHAnsi"/>
          <w:sz w:val="28"/>
          <w:szCs w:val="28"/>
        </w:rPr>
        <w:t>олее 60 млн. людей в мире зара</w:t>
      </w:r>
      <w:r w:rsidR="00AF2F20" w:rsidRPr="0044318D">
        <w:rPr>
          <w:rFonts w:asciiTheme="minorHAnsi" w:hAnsiTheme="minorHAnsi" w:cstheme="minorHAnsi"/>
          <w:sz w:val="28"/>
          <w:szCs w:val="28"/>
        </w:rPr>
        <w:t>зились ВИЧ и около 30 млн.</w:t>
      </w:r>
      <w:r w:rsidR="00AF2F20" w:rsidRPr="0044318D">
        <w:rPr>
          <w:rFonts w:cstheme="minorHAnsi"/>
          <w:sz w:val="28"/>
          <w:szCs w:val="28"/>
        </w:rPr>
        <w:t xml:space="preserve"> из них умерли от заболева</w:t>
      </w:r>
      <w:r w:rsidR="00AF2F20" w:rsidRPr="0044318D">
        <w:rPr>
          <w:rFonts w:asciiTheme="minorHAnsi" w:hAnsiTheme="minorHAnsi" w:cstheme="minorHAnsi"/>
          <w:sz w:val="28"/>
          <w:szCs w:val="28"/>
        </w:rPr>
        <w:t>ний, обусловлен</w:t>
      </w:r>
      <w:r w:rsidR="00AF2F20" w:rsidRPr="0044318D">
        <w:rPr>
          <w:rFonts w:cstheme="minorHAnsi"/>
          <w:sz w:val="28"/>
          <w:szCs w:val="28"/>
        </w:rPr>
        <w:t>ных ВИЧ. По данным ЮНЭЙДС в мире в 2016</w:t>
      </w:r>
      <w:r w:rsidR="00AF2F20" w:rsidRPr="0044318D">
        <w:rPr>
          <w:rFonts w:asciiTheme="minorHAnsi" w:hAnsiTheme="minorHAnsi" w:cstheme="minorHAnsi"/>
          <w:sz w:val="28"/>
          <w:szCs w:val="28"/>
        </w:rPr>
        <w:t xml:space="preserve"> году число лю</w:t>
      </w:r>
      <w:r w:rsidR="002B7F2E">
        <w:rPr>
          <w:rFonts w:cstheme="minorHAnsi"/>
          <w:sz w:val="28"/>
          <w:szCs w:val="28"/>
        </w:rPr>
        <w:t>дей, живущих с ВИЧ, составило</w:t>
      </w:r>
      <w:r w:rsidR="002B7F2E" w:rsidRPr="002B7F2E">
        <w:rPr>
          <w:rFonts w:cstheme="minorHAnsi"/>
          <w:sz w:val="28"/>
          <w:szCs w:val="28"/>
        </w:rPr>
        <w:t xml:space="preserve"> </w:t>
      </w:r>
      <w:r w:rsidR="005E10F0">
        <w:rPr>
          <w:rFonts w:cstheme="minorHAnsi"/>
          <w:sz w:val="28"/>
          <w:szCs w:val="28"/>
        </w:rPr>
        <w:t>36,7 млн [30,8 млн-42,9 млн</w:t>
      </w:r>
      <w:r w:rsidR="00AF2F20" w:rsidRPr="0044318D">
        <w:rPr>
          <w:rFonts w:cstheme="minorHAnsi"/>
          <w:sz w:val="28"/>
          <w:szCs w:val="28"/>
        </w:rPr>
        <w:t>]</w:t>
      </w:r>
      <w:r w:rsidR="00AF2F20" w:rsidRPr="0044318D">
        <w:rPr>
          <w:rFonts w:asciiTheme="minorHAnsi" w:hAnsiTheme="minorHAnsi" w:cstheme="minorHAnsi"/>
          <w:sz w:val="28"/>
          <w:szCs w:val="28"/>
        </w:rPr>
        <w:t xml:space="preserve"> челов</w:t>
      </w:r>
      <w:r w:rsidR="00AF2F20" w:rsidRPr="0044318D">
        <w:rPr>
          <w:rFonts w:cstheme="minorHAnsi"/>
          <w:sz w:val="28"/>
          <w:szCs w:val="28"/>
        </w:rPr>
        <w:t>ек, число новых случаев было 1,8 млн [1,6 млн-2,1 млн] и умерших — 1 млн человек [830000-1,2 млн] [</w:t>
      </w:r>
      <w:r w:rsidR="00B711DC">
        <w:rPr>
          <w:rFonts w:cstheme="minorHAnsi"/>
          <w:sz w:val="28"/>
          <w:szCs w:val="28"/>
        </w:rPr>
        <w:t>52</w:t>
      </w:r>
      <w:r w:rsidR="00AF2F20" w:rsidRPr="0044318D">
        <w:rPr>
          <w:rFonts w:cstheme="minorHAnsi"/>
          <w:sz w:val="28"/>
          <w:szCs w:val="28"/>
        </w:rPr>
        <w:t>].</w:t>
      </w:r>
    </w:p>
    <w:p w:rsidR="00BD6890" w:rsidRDefault="001308AA" w:rsidP="00BD6890">
      <w:pPr>
        <w:pStyle w:val="txt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4318D">
        <w:rPr>
          <w:rFonts w:asciiTheme="minorHAnsi" w:hAnsiTheme="minorHAnsi" w:cstheme="minorHAnsi"/>
          <w:sz w:val="28"/>
          <w:szCs w:val="28"/>
        </w:rPr>
        <w:t xml:space="preserve">По данным Федерального научно-методического Центра по профилактике и борьбе со СПИДом кумулятивное количество зарегистрированных случаев ВИЧ-инфекции среди граждан РФ </w:t>
      </w:r>
      <w:r w:rsidR="00463D17">
        <w:rPr>
          <w:rFonts w:asciiTheme="minorHAnsi" w:hAnsiTheme="minorHAnsi" w:cstheme="minorHAnsi"/>
          <w:sz w:val="28"/>
          <w:szCs w:val="28"/>
        </w:rPr>
        <w:t>на 30 июня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t xml:space="preserve"> 2017 года составило 1167581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 человек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t xml:space="preserve">Из них умерло по разным причинам 259156 человек по данным формы мониторинга Роспотребнадзора «Сведения о мероприятиях по профилактике ВИЧ-инфекции, гепатитов В и С, выявлению и лечению 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больных с ВИЧ». 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>В настоящее время поражённость ВИЧ-инфекцией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>на т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t>ерритории страны достигает 618,8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 в расчёте на 100 тыс. чел. населения</w:t>
      </w:r>
      <w:r w:rsidR="00FA05F2">
        <w:rPr>
          <w:rFonts w:asciiTheme="minorHAnsi" w:hAnsiTheme="minorHAnsi" w:cstheme="minorHAnsi"/>
          <w:color w:val="000000"/>
          <w:sz w:val="28"/>
          <w:szCs w:val="28"/>
        </w:rPr>
        <w:t xml:space="preserve"> [29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463D1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B82E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>На протяжении последних лет эпидемиологическая ситуация по ВИЧ-</w:t>
      </w:r>
      <w:r w:rsidRPr="008115F7">
        <w:rPr>
          <w:rFonts w:asciiTheme="minorHAnsi" w:hAnsiTheme="minorHAnsi" w:cstheme="minorHAnsi"/>
          <w:color w:val="000000"/>
          <w:sz w:val="28"/>
          <w:szCs w:val="28"/>
        </w:rPr>
        <w:t>инфекции в России характеризуется ежегодным приростом первичной</w:t>
      </w:r>
      <w:r w:rsidRPr="0044318D">
        <w:rPr>
          <w:rFonts w:asciiTheme="minorHAnsi" w:hAnsiTheme="minorHAnsi" w:cstheme="minorHAnsi"/>
          <w:color w:val="000000"/>
          <w:sz w:val="28"/>
          <w:szCs w:val="28"/>
        </w:rPr>
        <w:t xml:space="preserve"> заболеваемости, расширением её распространённости среди разных групп населения, а также ростом смертности вследствие ВИЧ и заболеваний, ассоциированных с ней (туберкулёз, гепатиты B и С)</w:t>
      </w:r>
      <w:r w:rsidR="002B7F2E" w:rsidRPr="005443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>[</w:t>
      </w:r>
      <w:r w:rsidR="00B711DC">
        <w:rPr>
          <w:rFonts w:asciiTheme="minorHAnsi" w:hAnsiTheme="minorHAnsi" w:cstheme="minorHAnsi"/>
          <w:color w:val="000000"/>
          <w:sz w:val="28"/>
          <w:szCs w:val="28"/>
        </w:rPr>
        <w:t>40</w:t>
      </w:r>
      <w:r w:rsidR="002B7F2E" w:rsidRPr="002B7F2E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44318D" w:rsidRPr="006273C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B82E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4318D" w:rsidRPr="006273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Выявляется тенденция к увеличению возраста ВИЧ-инфицированных.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В 2000 г. 87% больных получали диагноз ВИЧ-инфекции до 30 лет. На долю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подростков и молодежи в возрасте 15-20 лет в 2000 г. приходилось 25% вновь выявленных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случаев ВИЧ-инфекции, в 2017 году эта группа составила лишь 1 %. В 2017 г. ВИЧ-инфекция преимущественно выявлялась у россиян в возрасте 30-40 лет (47%) и 40-50 лет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(22%), доля молодежи в возрасте 20-30 лет сократилась до 20%. Увеличение доли новых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выявленных случаев наблюдалось и в более старших возрастных группах, участились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случаи заражения ВИЧ-инфекцией половым путем в преклонном возрасте</w:t>
      </w:r>
      <w:r w:rsidR="00FA05F2">
        <w:rPr>
          <w:rFonts w:asciiTheme="minorHAnsi" w:hAnsiTheme="minorHAnsi" w:cstheme="minorHAnsi"/>
          <w:color w:val="000000"/>
          <w:sz w:val="28"/>
          <w:szCs w:val="28"/>
        </w:rPr>
        <w:t xml:space="preserve"> [29</w:t>
      </w:r>
      <w:r w:rsidR="00544309" w:rsidRPr="00544309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Также отмечаются изменения в путях заражения ВИЧ-инфекцией.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>На первом этапе эпидемии ВИЧ в России преимущественным путём заражения был половой</w:t>
      </w:r>
      <w:r w:rsidR="000E66F7">
        <w:rPr>
          <w:rFonts w:asciiTheme="minorHAnsi" w:hAnsiTheme="minorHAnsi" w:cstheme="minorHAnsi"/>
          <w:color w:val="000000"/>
          <w:sz w:val="28"/>
          <w:szCs w:val="28"/>
        </w:rPr>
        <w:t xml:space="preserve"> (гомосексуальный)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>, что ограничивало быстрое распространение инфекции среди населения. Второй этап охарактеризовался тем, что ВИЧ-инфекция попала в среду инъекционных наркоманов, что привело к резкому увеличению первичной заболеваемости. На современном этапе вновь отмечается преобладание полового, преимущественно гетеросексуального, пути заражения</w:t>
      </w:r>
      <w:r w:rsidR="00FA05F2">
        <w:rPr>
          <w:rFonts w:asciiTheme="minorHAnsi" w:hAnsiTheme="minorHAnsi" w:cstheme="minorHAnsi"/>
          <w:color w:val="000000"/>
          <w:sz w:val="28"/>
          <w:szCs w:val="28"/>
        </w:rPr>
        <w:t xml:space="preserve"> [1, 16</w:t>
      </w:r>
      <w:r w:rsidR="00544309" w:rsidRPr="00544309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По предварительным данным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среди впервые выявленных в 201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7 г. ВИЧ-позитивных с установленными факторами риска заражения 50,3% инфицировались при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гетеросексуальных контактах, 1,9% – при гомосексуальных контактах, 46,6% – при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 xml:space="preserve">употреблении наркотиков нестерильным инструментарием. 382 детям, рожденным ВИЧ-инфицированными матерями, в 2017 г. был впервые поставлен диагноз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lastRenderedPageBreak/>
        <w:t>ВИЧ-инфекции.</w:t>
      </w:r>
      <w:r w:rsidR="0044318D" w:rsidRPr="00A02A7A">
        <w:rPr>
          <w:sz w:val="28"/>
          <w:szCs w:val="28"/>
        </w:rPr>
        <w:t xml:space="preserve"> </w:t>
      </w:r>
      <w:r w:rsidR="0044318D">
        <w:rPr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В первом полугодии 2017 г. в Российской Федерации умерло 14 631 больных ВИЧ-инфекцией (на 13,6% больше, чем за аналогичный период 2016 г. – 12 878) по данным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формы мониторинга Роспотребнадзора «Сведения о мероприятиях по профилактике ВИЧ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BD6890" w:rsidRPr="00BD6890">
        <w:rPr>
          <w:rFonts w:asciiTheme="minorHAnsi" w:hAnsiTheme="minorHAnsi" w:cstheme="minorHAnsi"/>
          <w:color w:val="000000"/>
          <w:sz w:val="28"/>
          <w:szCs w:val="28"/>
        </w:rPr>
        <w:t>инфекции, гепатитов В и С, вы</w:t>
      </w:r>
      <w:r w:rsidR="00544309">
        <w:rPr>
          <w:rFonts w:asciiTheme="minorHAnsi" w:hAnsiTheme="minorHAnsi" w:cstheme="minorHAnsi"/>
          <w:color w:val="000000"/>
          <w:sz w:val="28"/>
          <w:szCs w:val="28"/>
        </w:rPr>
        <w:t>явлению и лечению больных ВИЧ»</w:t>
      </w:r>
      <w:r w:rsidR="00FA05F2">
        <w:rPr>
          <w:rFonts w:asciiTheme="minorHAnsi" w:hAnsiTheme="minorHAnsi" w:cstheme="minorHAnsi"/>
          <w:color w:val="000000"/>
          <w:sz w:val="28"/>
          <w:szCs w:val="28"/>
        </w:rPr>
        <w:t xml:space="preserve"> [29</w:t>
      </w:r>
      <w:r w:rsidR="00544309" w:rsidRPr="00544309">
        <w:rPr>
          <w:rFonts w:asciiTheme="minorHAnsi" w:hAnsiTheme="minorHAnsi" w:cstheme="minorHAnsi"/>
          <w:color w:val="000000"/>
          <w:sz w:val="28"/>
          <w:szCs w:val="28"/>
        </w:rPr>
        <w:t>].</w:t>
      </w:r>
      <w:r w:rsidR="00BD68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BD6890" w:rsidRDefault="00BD6890" w:rsidP="00BD6890">
      <w:pPr>
        <w:pStyle w:val="txt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6890">
        <w:rPr>
          <w:rFonts w:asciiTheme="minorHAnsi" w:hAnsiTheme="minorHAnsi" w:cstheme="minorHAnsi"/>
          <w:color w:val="000000"/>
          <w:sz w:val="28"/>
          <w:szCs w:val="28"/>
        </w:rPr>
        <w:t>В первом полугодии 2017 г. в России получали антиретровирусную терапию 298</w:t>
      </w: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888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пациентов (включая больных, находившихся в местах лишения свободы), из них прервали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ВА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АРТ в 2017 г. 12 280 пациентов. Охват лечением в 201 7 году в Российской Федерации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составил 32,9% от числа зарегистрированных лиц с диагнозом ВИЧ-инфекция; среди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состоявших на диспансерном наблюдении было охвачено антиретровирусной терапией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43,9% больных. Достигнутый охват лечением не выполняет роль профилактического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мероприятия и не позволяет радикально снизить темпы распространения заболевания</w:t>
      </w:r>
      <w:r w:rsidR="00544309" w:rsidRPr="00544309">
        <w:rPr>
          <w:rFonts w:asciiTheme="minorHAnsi" w:hAnsiTheme="minorHAnsi" w:cstheme="minorHAnsi"/>
          <w:color w:val="000000"/>
          <w:sz w:val="28"/>
          <w:szCs w:val="28"/>
        </w:rPr>
        <w:t xml:space="preserve"> [</w:t>
      </w:r>
      <w:r w:rsidR="00FA707C" w:rsidRPr="00FA707C">
        <w:rPr>
          <w:rFonts w:asciiTheme="minorHAnsi" w:hAnsiTheme="minorHAnsi" w:cstheme="minorHAnsi"/>
          <w:color w:val="000000"/>
          <w:sz w:val="28"/>
          <w:szCs w:val="28"/>
        </w:rPr>
        <w:t>1,</w:t>
      </w:r>
      <w:r w:rsidR="00FA05F2">
        <w:rPr>
          <w:rFonts w:asciiTheme="minorHAnsi" w:hAnsiTheme="minorHAnsi" w:cstheme="minorHAnsi"/>
          <w:color w:val="000000"/>
          <w:sz w:val="28"/>
          <w:szCs w:val="28"/>
        </w:rPr>
        <w:t>29</w:t>
      </w:r>
      <w:r w:rsidR="00544309" w:rsidRPr="00544309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Pr="00BD6890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BD6890" w:rsidRDefault="00BD6890" w:rsidP="00BD68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Полноценный охват ВААРТ влияет не только на скорость распространения ВИЧ-инфекции, но и изменяет структуру заболеваемости</w:t>
      </w:r>
      <w:r w:rsidR="008D1C61">
        <w:rPr>
          <w:sz w:val="28"/>
          <w:szCs w:val="28"/>
        </w:rPr>
        <w:t xml:space="preserve"> и смертности</w:t>
      </w:r>
      <w:r>
        <w:rPr>
          <w:sz w:val="28"/>
          <w:szCs w:val="28"/>
        </w:rPr>
        <w:t xml:space="preserve"> </w:t>
      </w:r>
      <w:r w:rsidR="008D1C61">
        <w:rPr>
          <w:sz w:val="28"/>
          <w:szCs w:val="28"/>
        </w:rPr>
        <w:t>среди пациентов с ВИЧ</w:t>
      </w:r>
      <w:r>
        <w:rPr>
          <w:sz w:val="28"/>
          <w:szCs w:val="28"/>
        </w:rPr>
        <w:t>. В странах, где антиретровир</w:t>
      </w:r>
      <w:r w:rsidR="00774F5D">
        <w:rPr>
          <w:sz w:val="28"/>
          <w:szCs w:val="28"/>
        </w:rPr>
        <w:t>усная терапия проводится большому числу</w:t>
      </w:r>
      <w:r>
        <w:rPr>
          <w:sz w:val="28"/>
          <w:szCs w:val="28"/>
        </w:rPr>
        <w:t xml:space="preserve"> больным,  в структуре </w:t>
      </w:r>
      <w:r w:rsidR="008D1C61">
        <w:rPr>
          <w:sz w:val="28"/>
          <w:szCs w:val="28"/>
        </w:rPr>
        <w:t>смертности ВИЧ-инфицированных больных</w:t>
      </w:r>
      <w:r>
        <w:rPr>
          <w:sz w:val="28"/>
          <w:szCs w:val="28"/>
        </w:rPr>
        <w:t xml:space="preserve"> преобладают</w:t>
      </w:r>
      <w:r w:rsidR="00774F5D">
        <w:rPr>
          <w:sz w:val="28"/>
          <w:szCs w:val="28"/>
        </w:rPr>
        <w:t xml:space="preserve"> кардиоваскулярная патология,</w:t>
      </w:r>
      <w:r>
        <w:rPr>
          <w:sz w:val="28"/>
          <w:szCs w:val="28"/>
        </w:rPr>
        <w:t xml:space="preserve"> </w:t>
      </w:r>
      <w:r w:rsidR="008D1C61">
        <w:rPr>
          <w:sz w:val="28"/>
          <w:szCs w:val="28"/>
        </w:rPr>
        <w:t>бактериальные пневмонии, злокачественные новообразования, не связанные с ВИЧ</w:t>
      </w:r>
      <w:r w:rsidR="00FA05F2">
        <w:rPr>
          <w:sz w:val="28"/>
          <w:szCs w:val="28"/>
        </w:rPr>
        <w:t xml:space="preserve"> [4</w:t>
      </w:r>
      <w:r w:rsidR="00B711DC">
        <w:rPr>
          <w:sz w:val="28"/>
          <w:szCs w:val="28"/>
        </w:rPr>
        <w:t>,46</w:t>
      </w:r>
      <w:r w:rsidR="00A905F7" w:rsidRPr="00A905F7">
        <w:rPr>
          <w:sz w:val="28"/>
          <w:szCs w:val="28"/>
        </w:rPr>
        <w:t>]</w:t>
      </w:r>
      <w:r>
        <w:rPr>
          <w:sz w:val="28"/>
          <w:szCs w:val="28"/>
        </w:rPr>
        <w:t xml:space="preserve">. В странах, где </w:t>
      </w:r>
      <w:r w:rsidRPr="00774F5D">
        <w:rPr>
          <w:sz w:val="28"/>
          <w:szCs w:val="28"/>
        </w:rPr>
        <w:t>охват ВААРТ ниже порогового</w:t>
      </w:r>
      <w:r>
        <w:rPr>
          <w:sz w:val="28"/>
          <w:szCs w:val="28"/>
        </w:rPr>
        <w:t>, наблюдается иная картина ВИЧ-ассоциированной заболеваемости и смертности – отмечается более ч</w:t>
      </w:r>
      <w:r w:rsidR="008D1C61">
        <w:rPr>
          <w:sz w:val="28"/>
          <w:szCs w:val="28"/>
        </w:rPr>
        <w:t xml:space="preserve">астое развитие СПИДа и разнообразных </w:t>
      </w:r>
      <w:r>
        <w:rPr>
          <w:sz w:val="28"/>
          <w:szCs w:val="28"/>
        </w:rPr>
        <w:t>оппортунистических инфекций</w:t>
      </w:r>
      <w:r w:rsidR="00B711DC">
        <w:rPr>
          <w:sz w:val="28"/>
          <w:szCs w:val="28"/>
        </w:rPr>
        <w:t xml:space="preserve"> [48</w:t>
      </w:r>
      <w:r w:rsidR="00A905F7" w:rsidRPr="00A905F7">
        <w:rPr>
          <w:sz w:val="28"/>
          <w:szCs w:val="28"/>
        </w:rPr>
        <w:t>]</w:t>
      </w:r>
      <w:r>
        <w:rPr>
          <w:sz w:val="28"/>
          <w:szCs w:val="28"/>
        </w:rPr>
        <w:t xml:space="preserve">. По данным некоторых </w:t>
      </w:r>
      <w:r w:rsidR="001F1FA9">
        <w:rPr>
          <w:sz w:val="28"/>
          <w:szCs w:val="28"/>
        </w:rPr>
        <w:t xml:space="preserve">зарубежных </w:t>
      </w:r>
      <w:r>
        <w:rPr>
          <w:sz w:val="28"/>
          <w:szCs w:val="28"/>
        </w:rPr>
        <w:t>исследований, наиболее частыми патологиями являются кандидоз слизистой полости рта (19,1%), туберкулёз (10%) и герпетические поражения, вызванные герпес зостер (9,4%) либо вирусом простого герпеса (6,1%)</w:t>
      </w:r>
      <w:r w:rsidR="00B711DC">
        <w:rPr>
          <w:sz w:val="28"/>
          <w:szCs w:val="28"/>
        </w:rPr>
        <w:t xml:space="preserve"> [47</w:t>
      </w:r>
      <w:r w:rsidR="00A905F7" w:rsidRPr="00A905F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BD6890">
        <w:rPr>
          <w:sz w:val="28"/>
          <w:szCs w:val="28"/>
        </w:rPr>
        <w:t xml:space="preserve">Ведущими оппортунистическими поражениями у больных СПИДом в России являются туберкулез (более, чем в 60% </w:t>
      </w:r>
      <w:r w:rsidRPr="00BD6890">
        <w:rPr>
          <w:sz w:val="28"/>
          <w:szCs w:val="28"/>
        </w:rPr>
        <w:lastRenderedPageBreak/>
        <w:t>случаев, причина смерти более 50% больных); цитомегаловирусная инфекция (в 13–15%, причина смерти 10–15% больных); церебральный токсоплазмоз (5–7%, причина смерти 16–17% больных); пневмоцистная</w:t>
      </w:r>
      <w:r>
        <w:rPr>
          <w:sz w:val="28"/>
          <w:szCs w:val="28"/>
        </w:rPr>
        <w:t xml:space="preserve"> </w:t>
      </w:r>
      <w:r w:rsidRPr="00BD6890">
        <w:rPr>
          <w:sz w:val="28"/>
          <w:szCs w:val="28"/>
        </w:rPr>
        <w:t>пневмония (7–9%, причина смерти 16–17% больных); кандидозный эзофагит/висцеральный кандидоз (25–30%, причина смерти 10–13% больных)</w:t>
      </w:r>
      <w:r w:rsidR="00A905F7" w:rsidRPr="00A905F7">
        <w:rPr>
          <w:sz w:val="28"/>
          <w:szCs w:val="28"/>
        </w:rPr>
        <w:t xml:space="preserve"> [</w:t>
      </w:r>
      <w:r w:rsidR="00E1477A">
        <w:rPr>
          <w:sz w:val="28"/>
          <w:szCs w:val="28"/>
        </w:rPr>
        <w:t>18</w:t>
      </w:r>
      <w:r w:rsidR="00A905F7" w:rsidRPr="000B601A">
        <w:rPr>
          <w:sz w:val="28"/>
          <w:szCs w:val="28"/>
        </w:rPr>
        <w:t>]</w:t>
      </w:r>
      <w:r>
        <w:rPr>
          <w:sz w:val="28"/>
          <w:szCs w:val="28"/>
        </w:rPr>
        <w:t>. Спектр наиболее значимых ВИЧ-ассоциированных заболеван</w:t>
      </w:r>
      <w:r w:rsidR="000E66F7">
        <w:rPr>
          <w:sz w:val="28"/>
          <w:szCs w:val="28"/>
        </w:rPr>
        <w:t>ий несколько отличается в</w:t>
      </w:r>
      <w:r>
        <w:rPr>
          <w:sz w:val="28"/>
          <w:szCs w:val="28"/>
        </w:rPr>
        <w:t xml:space="preserve"> регионах страны и в разные годы наблюдения вследствие </w:t>
      </w:r>
      <w:r w:rsidR="000E66F7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причин</w:t>
      </w:r>
      <w:r w:rsidR="00E1477A">
        <w:rPr>
          <w:sz w:val="28"/>
          <w:szCs w:val="28"/>
        </w:rPr>
        <w:t xml:space="preserve"> [15</w:t>
      </w:r>
      <w:r w:rsidR="000B601A" w:rsidRPr="000B601A">
        <w:rPr>
          <w:sz w:val="28"/>
          <w:szCs w:val="28"/>
        </w:rPr>
        <w:t>,</w:t>
      </w:r>
      <w:r w:rsidR="00E1477A">
        <w:rPr>
          <w:sz w:val="28"/>
          <w:szCs w:val="28"/>
        </w:rPr>
        <w:t>18,27</w:t>
      </w:r>
      <w:r w:rsidR="000B601A" w:rsidRPr="000B601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941BE" w:rsidRDefault="00825262" w:rsidP="00E26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важной проблемой ВИЧ-инфекции является коморбидная патология, в частности – туберкулёз и хронические вирусные гепатиты. </w:t>
      </w:r>
      <w:r w:rsidR="00BD6890">
        <w:rPr>
          <w:sz w:val="28"/>
          <w:szCs w:val="28"/>
        </w:rPr>
        <w:t xml:space="preserve"> </w:t>
      </w:r>
      <w:r w:rsidRPr="00825262">
        <w:rPr>
          <w:sz w:val="28"/>
          <w:szCs w:val="28"/>
        </w:rPr>
        <w:t>Благодаря общим п</w:t>
      </w:r>
      <w:r>
        <w:rPr>
          <w:sz w:val="28"/>
          <w:szCs w:val="28"/>
        </w:rPr>
        <w:t>утям передачи, сочетанное инфи</w:t>
      </w:r>
      <w:r w:rsidRPr="00825262">
        <w:rPr>
          <w:sz w:val="28"/>
          <w:szCs w:val="28"/>
        </w:rPr>
        <w:t>цирование ВИЧ и</w:t>
      </w:r>
      <w:r>
        <w:rPr>
          <w:sz w:val="28"/>
          <w:szCs w:val="28"/>
        </w:rPr>
        <w:t xml:space="preserve"> </w:t>
      </w:r>
      <w:r w:rsidR="005E10F0">
        <w:rPr>
          <w:sz w:val="28"/>
          <w:szCs w:val="28"/>
        </w:rPr>
        <w:t>другими возбудителями</w:t>
      </w:r>
      <w:r>
        <w:rPr>
          <w:sz w:val="28"/>
          <w:szCs w:val="28"/>
        </w:rPr>
        <w:t>, передающими</w:t>
      </w:r>
      <w:r w:rsidRPr="00825262">
        <w:rPr>
          <w:sz w:val="28"/>
          <w:szCs w:val="28"/>
        </w:rPr>
        <w:t>ся половым и па</w:t>
      </w:r>
      <w:r>
        <w:rPr>
          <w:sz w:val="28"/>
          <w:szCs w:val="28"/>
        </w:rPr>
        <w:t xml:space="preserve">рентеральным путями, отмечается </w:t>
      </w:r>
      <w:r w:rsidRPr="00825262">
        <w:rPr>
          <w:sz w:val="28"/>
          <w:szCs w:val="28"/>
        </w:rPr>
        <w:t>часто</w:t>
      </w:r>
      <w:r w:rsidR="00E1477A">
        <w:rPr>
          <w:sz w:val="28"/>
          <w:szCs w:val="28"/>
        </w:rPr>
        <w:t xml:space="preserve"> [21,32,33</w:t>
      </w:r>
      <w:r w:rsidR="00513AD0" w:rsidRPr="00513AD0">
        <w:rPr>
          <w:sz w:val="28"/>
          <w:szCs w:val="28"/>
        </w:rPr>
        <w:t>]</w:t>
      </w:r>
      <w:r w:rsidRPr="00825262">
        <w:rPr>
          <w:sz w:val="28"/>
          <w:szCs w:val="28"/>
        </w:rPr>
        <w:t xml:space="preserve">. </w:t>
      </w:r>
      <w:r w:rsidR="00E2657E">
        <w:rPr>
          <w:sz w:val="28"/>
          <w:szCs w:val="28"/>
        </w:rPr>
        <w:t>Данные исследований свидетельствуют о росте за</w:t>
      </w:r>
      <w:r w:rsidR="00E2657E" w:rsidRPr="00E2657E">
        <w:rPr>
          <w:sz w:val="28"/>
          <w:szCs w:val="28"/>
        </w:rPr>
        <w:t xml:space="preserve">болеваемости </w:t>
      </w:r>
      <w:r w:rsidR="00E2657E">
        <w:rPr>
          <w:sz w:val="28"/>
          <w:szCs w:val="28"/>
        </w:rPr>
        <w:t xml:space="preserve">сочетанными инфекциями, которые </w:t>
      </w:r>
      <w:r w:rsidR="00E2657E" w:rsidRPr="00E2657E">
        <w:rPr>
          <w:sz w:val="28"/>
          <w:szCs w:val="28"/>
        </w:rPr>
        <w:t>характеризуют</w:t>
      </w:r>
      <w:r w:rsidR="00E2657E">
        <w:rPr>
          <w:sz w:val="28"/>
          <w:szCs w:val="28"/>
        </w:rPr>
        <w:t>ся высокой летальностью, значи</w:t>
      </w:r>
      <w:r w:rsidR="00E2657E" w:rsidRPr="00E2657E">
        <w:rPr>
          <w:sz w:val="28"/>
          <w:szCs w:val="28"/>
        </w:rPr>
        <w:t>тельно превы</w:t>
      </w:r>
      <w:r w:rsidR="00E2657E">
        <w:rPr>
          <w:sz w:val="28"/>
          <w:szCs w:val="28"/>
        </w:rPr>
        <w:t>шающей таковую при моноинфекци</w:t>
      </w:r>
      <w:r w:rsidR="00E2657E" w:rsidRPr="00E2657E">
        <w:rPr>
          <w:sz w:val="28"/>
          <w:szCs w:val="28"/>
        </w:rPr>
        <w:t>ях, в частности, в 2,</w:t>
      </w:r>
      <w:r w:rsidR="00E2657E">
        <w:rPr>
          <w:sz w:val="28"/>
          <w:szCs w:val="28"/>
        </w:rPr>
        <w:t xml:space="preserve">4 раза (туберкулез) и в 7,5 раз </w:t>
      </w:r>
      <w:r w:rsidR="00E2657E" w:rsidRPr="00E2657E">
        <w:rPr>
          <w:sz w:val="28"/>
          <w:szCs w:val="28"/>
        </w:rPr>
        <w:t>(хронические гепа</w:t>
      </w:r>
      <w:r w:rsidR="00E2657E">
        <w:rPr>
          <w:sz w:val="28"/>
          <w:szCs w:val="28"/>
        </w:rPr>
        <w:t>титы)</w:t>
      </w:r>
      <w:r w:rsidR="00E1477A">
        <w:rPr>
          <w:sz w:val="28"/>
          <w:szCs w:val="28"/>
        </w:rPr>
        <w:t xml:space="preserve"> [21</w:t>
      </w:r>
      <w:r w:rsidR="00513AD0" w:rsidRPr="00513AD0">
        <w:rPr>
          <w:sz w:val="28"/>
          <w:szCs w:val="28"/>
        </w:rPr>
        <w:t>]</w:t>
      </w:r>
      <w:r w:rsidR="00E2657E">
        <w:rPr>
          <w:sz w:val="28"/>
          <w:szCs w:val="28"/>
        </w:rPr>
        <w:t>. Вместе с тем, установле</w:t>
      </w:r>
      <w:r w:rsidR="00E2657E" w:rsidRPr="00E2657E">
        <w:rPr>
          <w:sz w:val="28"/>
          <w:szCs w:val="28"/>
        </w:rPr>
        <w:t>ние причин вы</w:t>
      </w:r>
      <w:r w:rsidR="00E2657E">
        <w:rPr>
          <w:sz w:val="28"/>
          <w:szCs w:val="28"/>
        </w:rPr>
        <w:t xml:space="preserve">сокой летальности от сочетанных </w:t>
      </w:r>
      <w:r w:rsidR="00E2657E" w:rsidRPr="00E2657E">
        <w:rPr>
          <w:sz w:val="28"/>
          <w:szCs w:val="28"/>
        </w:rPr>
        <w:t>инфекций нуждается в прове</w:t>
      </w:r>
      <w:r w:rsidR="00E2657E">
        <w:rPr>
          <w:sz w:val="28"/>
          <w:szCs w:val="28"/>
        </w:rPr>
        <w:t>дении популяци</w:t>
      </w:r>
      <w:r w:rsidR="00E2657E" w:rsidRPr="00E2657E">
        <w:rPr>
          <w:sz w:val="28"/>
          <w:szCs w:val="28"/>
        </w:rPr>
        <w:t>онных и спец</w:t>
      </w:r>
      <w:r w:rsidR="00E2657E">
        <w:rPr>
          <w:sz w:val="28"/>
          <w:szCs w:val="28"/>
        </w:rPr>
        <w:t>иальных патоморфологических ис</w:t>
      </w:r>
      <w:r w:rsidR="00E2657E" w:rsidRPr="00E2657E">
        <w:rPr>
          <w:sz w:val="28"/>
          <w:szCs w:val="28"/>
        </w:rPr>
        <w:t>следований. Тру</w:t>
      </w:r>
      <w:r w:rsidR="005E10F0">
        <w:rPr>
          <w:sz w:val="28"/>
          <w:szCs w:val="28"/>
        </w:rPr>
        <w:t xml:space="preserve">дности </w:t>
      </w:r>
      <w:r w:rsidR="000E66F7">
        <w:rPr>
          <w:sz w:val="28"/>
          <w:szCs w:val="28"/>
        </w:rPr>
        <w:t>определения истинных</w:t>
      </w:r>
      <w:r w:rsidR="005E10F0">
        <w:rPr>
          <w:sz w:val="28"/>
          <w:szCs w:val="28"/>
        </w:rPr>
        <w:t xml:space="preserve"> причин смерти</w:t>
      </w:r>
      <w:r w:rsidR="00E2657E" w:rsidRPr="00E2657E">
        <w:rPr>
          <w:sz w:val="28"/>
          <w:szCs w:val="28"/>
        </w:rPr>
        <w:t xml:space="preserve"> при х</w:t>
      </w:r>
      <w:r w:rsidR="00E2657E">
        <w:rPr>
          <w:sz w:val="28"/>
          <w:szCs w:val="28"/>
        </w:rPr>
        <w:t xml:space="preserve">ронических сочетанных инфекциях </w:t>
      </w:r>
      <w:r w:rsidR="00E2657E" w:rsidRPr="00E2657E">
        <w:rPr>
          <w:sz w:val="28"/>
          <w:szCs w:val="28"/>
        </w:rPr>
        <w:t>весьма велики</w:t>
      </w:r>
      <w:r w:rsidR="000E66F7">
        <w:rPr>
          <w:sz w:val="28"/>
          <w:szCs w:val="28"/>
        </w:rPr>
        <w:t>, тем более, что они могут быть комбинированными</w:t>
      </w:r>
      <w:r w:rsidR="00E2657E" w:rsidRPr="00E2657E">
        <w:rPr>
          <w:sz w:val="28"/>
          <w:szCs w:val="28"/>
        </w:rPr>
        <w:t>.</w:t>
      </w:r>
      <w:r w:rsidR="00E2657E">
        <w:rPr>
          <w:sz w:val="28"/>
          <w:szCs w:val="28"/>
        </w:rPr>
        <w:t xml:space="preserve"> </w:t>
      </w:r>
      <w:r w:rsidR="00C70FC4">
        <w:rPr>
          <w:sz w:val="28"/>
          <w:szCs w:val="28"/>
        </w:rPr>
        <w:t xml:space="preserve">В современных условиях в России </w:t>
      </w:r>
      <w:r w:rsidR="00C70FC4" w:rsidRPr="00C70FC4">
        <w:rPr>
          <w:sz w:val="28"/>
          <w:szCs w:val="28"/>
        </w:rPr>
        <w:t>эпидемиолог</w:t>
      </w:r>
      <w:r w:rsidR="00C70FC4">
        <w:rPr>
          <w:sz w:val="28"/>
          <w:szCs w:val="28"/>
        </w:rPr>
        <w:t xml:space="preserve">ическая ситуация по туберкулезу </w:t>
      </w:r>
      <w:r w:rsidR="00C70FC4" w:rsidRPr="00C70FC4">
        <w:rPr>
          <w:sz w:val="28"/>
          <w:szCs w:val="28"/>
        </w:rPr>
        <w:t>остается дост</w:t>
      </w:r>
      <w:r w:rsidR="00C70FC4">
        <w:rPr>
          <w:sz w:val="28"/>
          <w:szCs w:val="28"/>
        </w:rPr>
        <w:t xml:space="preserve">аточно напряженной, несмотря на </w:t>
      </w:r>
      <w:r w:rsidR="00C70FC4" w:rsidRPr="00C70FC4">
        <w:rPr>
          <w:sz w:val="28"/>
          <w:szCs w:val="28"/>
        </w:rPr>
        <w:t>то, что основны</w:t>
      </w:r>
      <w:r w:rsidR="00C70FC4">
        <w:rPr>
          <w:sz w:val="28"/>
          <w:szCs w:val="28"/>
        </w:rPr>
        <w:t xml:space="preserve">е эпидемиологические показатели </w:t>
      </w:r>
      <w:r w:rsidR="00C70FC4" w:rsidRPr="00C70FC4">
        <w:rPr>
          <w:sz w:val="28"/>
          <w:szCs w:val="28"/>
        </w:rPr>
        <w:t xml:space="preserve">в последние </w:t>
      </w:r>
      <w:r w:rsidR="00C70FC4">
        <w:rPr>
          <w:sz w:val="28"/>
          <w:szCs w:val="28"/>
        </w:rPr>
        <w:t xml:space="preserve">несколько лет имеют тенденцию к </w:t>
      </w:r>
      <w:r w:rsidR="00C70FC4" w:rsidRPr="00C70FC4">
        <w:rPr>
          <w:sz w:val="28"/>
          <w:szCs w:val="28"/>
        </w:rPr>
        <w:t>снижению</w:t>
      </w:r>
      <w:r w:rsidR="00513AD0" w:rsidRPr="00513AD0">
        <w:rPr>
          <w:sz w:val="28"/>
          <w:szCs w:val="28"/>
        </w:rPr>
        <w:t xml:space="preserve"> </w:t>
      </w:r>
      <w:r w:rsidR="00E1477A" w:rsidRPr="00D95C41">
        <w:rPr>
          <w:sz w:val="28"/>
          <w:szCs w:val="28"/>
        </w:rPr>
        <w:t>[</w:t>
      </w:r>
      <w:r w:rsidR="00E1477A">
        <w:rPr>
          <w:sz w:val="28"/>
          <w:szCs w:val="28"/>
        </w:rPr>
        <w:t>8</w:t>
      </w:r>
      <w:r w:rsidR="00513AD0" w:rsidRPr="00D95C41">
        <w:rPr>
          <w:sz w:val="28"/>
          <w:szCs w:val="28"/>
        </w:rPr>
        <w:t>]</w:t>
      </w:r>
      <w:r w:rsidR="00C70FC4" w:rsidRPr="00C70FC4">
        <w:rPr>
          <w:sz w:val="28"/>
          <w:szCs w:val="28"/>
        </w:rPr>
        <w:t>. Эт</w:t>
      </w:r>
      <w:r w:rsidR="00C70FC4">
        <w:rPr>
          <w:sz w:val="28"/>
          <w:szCs w:val="28"/>
        </w:rPr>
        <w:t xml:space="preserve">о положение обусловлено многими </w:t>
      </w:r>
      <w:r w:rsidR="00C70FC4" w:rsidRPr="00C70FC4">
        <w:rPr>
          <w:sz w:val="28"/>
          <w:szCs w:val="28"/>
        </w:rPr>
        <w:t>причинам</w:t>
      </w:r>
      <w:r w:rsidR="00C70FC4">
        <w:rPr>
          <w:sz w:val="28"/>
          <w:szCs w:val="28"/>
        </w:rPr>
        <w:t xml:space="preserve">и, среди которых можно выделить </w:t>
      </w:r>
      <w:r w:rsidR="00C70FC4" w:rsidRPr="00C70FC4">
        <w:rPr>
          <w:sz w:val="28"/>
          <w:szCs w:val="28"/>
        </w:rPr>
        <w:t>две основные</w:t>
      </w:r>
      <w:r w:rsidR="00C70FC4">
        <w:rPr>
          <w:sz w:val="28"/>
          <w:szCs w:val="28"/>
        </w:rPr>
        <w:t xml:space="preserve"> позиции. Во-первых, отмечается </w:t>
      </w:r>
      <w:r w:rsidR="00C70FC4" w:rsidRPr="00C70FC4">
        <w:rPr>
          <w:sz w:val="28"/>
          <w:szCs w:val="28"/>
        </w:rPr>
        <w:t>прогрессирующий ро</w:t>
      </w:r>
      <w:r w:rsidR="00C70FC4">
        <w:rPr>
          <w:sz w:val="28"/>
          <w:szCs w:val="28"/>
        </w:rPr>
        <w:t xml:space="preserve">ст заболеваемости и смертности, </w:t>
      </w:r>
      <w:r w:rsidR="00C70FC4" w:rsidRPr="00C70FC4">
        <w:rPr>
          <w:sz w:val="28"/>
          <w:szCs w:val="28"/>
        </w:rPr>
        <w:t>ассоциированны</w:t>
      </w:r>
      <w:r w:rsidR="00C70FC4">
        <w:rPr>
          <w:sz w:val="28"/>
          <w:szCs w:val="28"/>
        </w:rPr>
        <w:t xml:space="preserve">й с ВИЧ-инфекцией, алкоголизмом </w:t>
      </w:r>
      <w:r w:rsidR="00C70FC4" w:rsidRPr="00C70FC4">
        <w:rPr>
          <w:sz w:val="28"/>
          <w:szCs w:val="28"/>
        </w:rPr>
        <w:t>и наркоман</w:t>
      </w:r>
      <w:r w:rsidR="00C70FC4">
        <w:rPr>
          <w:sz w:val="28"/>
          <w:szCs w:val="28"/>
        </w:rPr>
        <w:t xml:space="preserve">ией, </w:t>
      </w:r>
      <w:r w:rsidR="00C70FC4">
        <w:rPr>
          <w:sz w:val="28"/>
          <w:szCs w:val="28"/>
        </w:rPr>
        <w:lastRenderedPageBreak/>
        <w:t xml:space="preserve">которые являются социально </w:t>
      </w:r>
      <w:r w:rsidR="00C70FC4" w:rsidRPr="00C70FC4">
        <w:rPr>
          <w:sz w:val="28"/>
          <w:szCs w:val="28"/>
        </w:rPr>
        <w:t xml:space="preserve">обусловленными заболеваниями. </w:t>
      </w:r>
      <w:r w:rsidR="00C70FC4">
        <w:rPr>
          <w:sz w:val="28"/>
          <w:szCs w:val="28"/>
        </w:rPr>
        <w:t xml:space="preserve">Во-вторых, имеет место </w:t>
      </w:r>
      <w:r w:rsidR="00C70FC4" w:rsidRPr="00C70FC4">
        <w:rPr>
          <w:sz w:val="28"/>
          <w:szCs w:val="28"/>
        </w:rPr>
        <w:t>продолжающее</w:t>
      </w:r>
      <w:r w:rsidR="00C70FC4">
        <w:rPr>
          <w:sz w:val="28"/>
          <w:szCs w:val="28"/>
        </w:rPr>
        <w:t xml:space="preserve">ся увеличение доли туберкулеза, </w:t>
      </w:r>
      <w:r w:rsidR="00C70FC4" w:rsidRPr="00C70FC4">
        <w:rPr>
          <w:sz w:val="28"/>
          <w:szCs w:val="28"/>
        </w:rPr>
        <w:t>вызванного устойч</w:t>
      </w:r>
      <w:r w:rsidR="00C70FC4">
        <w:rPr>
          <w:sz w:val="28"/>
          <w:szCs w:val="28"/>
        </w:rPr>
        <w:t xml:space="preserve">ивыми формами микобактерий, что </w:t>
      </w:r>
      <w:r w:rsidR="00C70FC4" w:rsidRPr="00C70FC4">
        <w:rPr>
          <w:sz w:val="28"/>
          <w:szCs w:val="28"/>
        </w:rPr>
        <w:t>определяет суще</w:t>
      </w:r>
      <w:r w:rsidR="00C70FC4">
        <w:rPr>
          <w:sz w:val="28"/>
          <w:szCs w:val="28"/>
        </w:rPr>
        <w:t xml:space="preserve">ственные трудности в проведении </w:t>
      </w:r>
      <w:r w:rsidR="00C70FC4" w:rsidRPr="00C70FC4">
        <w:rPr>
          <w:sz w:val="28"/>
          <w:szCs w:val="28"/>
        </w:rPr>
        <w:t>адекватной терап</w:t>
      </w:r>
      <w:r w:rsidR="00C70FC4">
        <w:rPr>
          <w:sz w:val="28"/>
          <w:szCs w:val="28"/>
        </w:rPr>
        <w:t>ии и ухудшает прогноз</w:t>
      </w:r>
      <w:r w:rsidR="00E1477A">
        <w:rPr>
          <w:sz w:val="28"/>
          <w:szCs w:val="28"/>
        </w:rPr>
        <w:t xml:space="preserve"> [10,21,26</w:t>
      </w:r>
      <w:r w:rsidR="00F851B5">
        <w:rPr>
          <w:sz w:val="28"/>
          <w:szCs w:val="28"/>
        </w:rPr>
        <w:t>,28</w:t>
      </w:r>
      <w:r w:rsidR="00513AD0" w:rsidRPr="00513AD0">
        <w:rPr>
          <w:sz w:val="28"/>
          <w:szCs w:val="28"/>
        </w:rPr>
        <w:t>]</w:t>
      </w:r>
      <w:r w:rsidR="00C70FC4">
        <w:rPr>
          <w:sz w:val="28"/>
          <w:szCs w:val="28"/>
        </w:rPr>
        <w:t>.</w:t>
      </w:r>
    </w:p>
    <w:p w:rsidR="00332279" w:rsidRDefault="004941BE" w:rsidP="00E26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 заметить, что большинство исследований, посвящённых анализу причин смерти при ВИЧ-инфекции, основываются </w:t>
      </w:r>
      <w:r w:rsidR="00F15A8A">
        <w:rPr>
          <w:sz w:val="28"/>
          <w:szCs w:val="28"/>
        </w:rPr>
        <w:t>либо на данных медицинских свидетельств о смерти (</w:t>
      </w:r>
      <w:r w:rsidR="001C69CC">
        <w:rPr>
          <w:sz w:val="28"/>
          <w:szCs w:val="28"/>
        </w:rPr>
        <w:t>коды МКБ-10</w:t>
      </w:r>
      <w:r w:rsidR="00F15A8A">
        <w:rPr>
          <w:sz w:val="28"/>
          <w:szCs w:val="28"/>
        </w:rPr>
        <w:t>)</w:t>
      </w:r>
      <w:r w:rsidR="00F851B5" w:rsidRPr="00F851B5">
        <w:rPr>
          <w:sz w:val="28"/>
          <w:szCs w:val="28"/>
        </w:rPr>
        <w:t xml:space="preserve"> [6]</w:t>
      </w:r>
      <w:r w:rsidR="001C69CC">
        <w:rPr>
          <w:sz w:val="28"/>
          <w:szCs w:val="28"/>
        </w:rPr>
        <w:t>, либо, в лучшем случае, на патологоанатомических диагнозах, формулируемых, как правило, после вскрытия</w:t>
      </w:r>
      <w:r w:rsidR="00B711DC">
        <w:rPr>
          <w:sz w:val="28"/>
          <w:szCs w:val="28"/>
        </w:rPr>
        <w:t xml:space="preserve"> [7,42,43</w:t>
      </w:r>
      <w:r w:rsidR="00F851B5" w:rsidRPr="00F851B5">
        <w:rPr>
          <w:sz w:val="28"/>
          <w:szCs w:val="28"/>
        </w:rPr>
        <w:t>]</w:t>
      </w:r>
      <w:r w:rsidR="001C69CC">
        <w:rPr>
          <w:sz w:val="28"/>
          <w:szCs w:val="28"/>
        </w:rPr>
        <w:t xml:space="preserve">. </w:t>
      </w:r>
      <w:r w:rsidR="00B837E6">
        <w:rPr>
          <w:sz w:val="28"/>
          <w:szCs w:val="28"/>
        </w:rPr>
        <w:t>Также следует отметить и то, что полнота патологоанатомических и судебно-медицинских исследований значительно варьирует как в разных регионах, так и в разн</w:t>
      </w:r>
      <w:r w:rsidR="00332279">
        <w:rPr>
          <w:sz w:val="28"/>
          <w:szCs w:val="28"/>
        </w:rPr>
        <w:t>ых</w:t>
      </w:r>
      <w:r w:rsidR="00714370">
        <w:rPr>
          <w:sz w:val="28"/>
          <w:szCs w:val="28"/>
        </w:rPr>
        <w:t xml:space="preserve"> учреждениях. П</w:t>
      </w:r>
      <w:r w:rsidR="00332279">
        <w:rPr>
          <w:sz w:val="28"/>
          <w:szCs w:val="28"/>
        </w:rPr>
        <w:t xml:space="preserve">олучение </w:t>
      </w:r>
      <w:r w:rsidR="00714370">
        <w:rPr>
          <w:sz w:val="28"/>
          <w:szCs w:val="28"/>
        </w:rPr>
        <w:t>достоверных</w:t>
      </w:r>
      <w:r w:rsidR="00332279">
        <w:rPr>
          <w:sz w:val="28"/>
          <w:szCs w:val="28"/>
        </w:rPr>
        <w:t xml:space="preserve"> </w:t>
      </w:r>
      <w:r w:rsidR="00DC040B">
        <w:rPr>
          <w:sz w:val="28"/>
          <w:szCs w:val="28"/>
        </w:rPr>
        <w:t xml:space="preserve">представлений о летальных исходах при ВИЧ-инфекции, </w:t>
      </w:r>
      <w:r w:rsidR="00714370">
        <w:rPr>
          <w:sz w:val="28"/>
          <w:szCs w:val="28"/>
        </w:rPr>
        <w:t xml:space="preserve">без учёта </w:t>
      </w:r>
      <w:r w:rsidR="000E66F7">
        <w:rPr>
          <w:sz w:val="28"/>
          <w:szCs w:val="28"/>
        </w:rPr>
        <w:t>всего комплекса посмертных исследований невозможно.</w:t>
      </w:r>
    </w:p>
    <w:p w:rsidR="00981717" w:rsidRDefault="00347240" w:rsidP="0058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работы. </w:t>
      </w:r>
      <w:r w:rsidR="000E66F7">
        <w:rPr>
          <w:sz w:val="28"/>
          <w:szCs w:val="28"/>
        </w:rPr>
        <w:t>Общая характеристика летальных исходов и у</w:t>
      </w:r>
      <w:r w:rsidR="005E10F0">
        <w:rPr>
          <w:sz w:val="28"/>
          <w:szCs w:val="28"/>
        </w:rPr>
        <w:t>становление непосредственных причин смерти и ведущих осложнений у умерших от ВИЧ-инфекции в интервале 1996-2016 на основании детального анализа протоколов патологоанатомических вскрытий.</w:t>
      </w:r>
    </w:p>
    <w:p w:rsidR="00347240" w:rsidRDefault="00347240" w:rsidP="0058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121E97">
        <w:rPr>
          <w:sz w:val="28"/>
          <w:szCs w:val="28"/>
        </w:rPr>
        <w:t>.</w:t>
      </w:r>
    </w:p>
    <w:p w:rsidR="003C257D" w:rsidRDefault="003C257D" w:rsidP="003C2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клинических, макро- и микроскопических, прижизненных и посмертных лабораторных данных из патологоанатомических протоколов КИБ им. С.П. Боткина за 1996/97, 2006 и 2016 гг. </w:t>
      </w:r>
    </w:p>
    <w:p w:rsidR="003C257D" w:rsidRDefault="003C257D" w:rsidP="003C2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значимости разных вариантов течения ВИЧ и вторичных заболеваний в танатогенезе каждого наблюдения, принимая во внимание результаты подробного гистологического исследования.</w:t>
      </w:r>
    </w:p>
    <w:p w:rsidR="003C257D" w:rsidRDefault="003C257D" w:rsidP="003C2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частоты ВИЧ-энцефалитов и вторичных заболеваний в структуре смертности соответственно рангу значимости в исследуемые годы.</w:t>
      </w:r>
    </w:p>
    <w:p w:rsidR="003C257D" w:rsidRDefault="003C257D" w:rsidP="003C2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сравнительного анализа между выборками разных лет.</w:t>
      </w:r>
    </w:p>
    <w:p w:rsidR="003C257D" w:rsidRDefault="003C257D" w:rsidP="003C2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клинико-анатомических сопоставлений по туберкулёзу в выборках разных лет.</w:t>
      </w:r>
    </w:p>
    <w:p w:rsidR="003C257D" w:rsidRPr="003C257D" w:rsidRDefault="003C257D" w:rsidP="003C257D">
      <w:pPr>
        <w:spacing w:line="360" w:lineRule="auto"/>
        <w:jc w:val="both"/>
        <w:rPr>
          <w:sz w:val="28"/>
          <w:szCs w:val="28"/>
        </w:rPr>
      </w:pPr>
      <w:r w:rsidRPr="00B60734">
        <w:rPr>
          <w:sz w:val="28"/>
          <w:szCs w:val="28"/>
        </w:rPr>
        <w:t>Практическая и теоретическая значимость.</w:t>
      </w:r>
      <w:r w:rsidRPr="003C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впервые </w:t>
      </w:r>
      <w:r w:rsidRPr="003C257D">
        <w:rPr>
          <w:sz w:val="28"/>
          <w:szCs w:val="28"/>
        </w:rPr>
        <w:t>показана детализированная структура летальных исходов и вторичных заболеваний при ВИЧ-инфекции с учётом углубленных ги</w:t>
      </w:r>
      <w:r w:rsidR="00B60734">
        <w:rPr>
          <w:sz w:val="28"/>
          <w:szCs w:val="28"/>
        </w:rPr>
        <w:t>стологических исследований в трё</w:t>
      </w:r>
      <w:r w:rsidRPr="003C257D">
        <w:rPr>
          <w:sz w:val="28"/>
          <w:szCs w:val="28"/>
        </w:rPr>
        <w:t xml:space="preserve">х временных периодах (1996/97, 2006, 2016). Часть из полученных данных подтверждает факты известные из литературы, а часть является новыми и нуждается в специальном анализе. </w:t>
      </w:r>
    </w:p>
    <w:p w:rsidR="004F3723" w:rsidRDefault="003C257D" w:rsidP="004F3723">
      <w:pPr>
        <w:spacing w:line="360" w:lineRule="auto"/>
        <w:jc w:val="both"/>
        <w:rPr>
          <w:sz w:val="28"/>
          <w:szCs w:val="28"/>
        </w:rPr>
      </w:pPr>
      <w:r w:rsidRPr="003C257D">
        <w:rPr>
          <w:sz w:val="28"/>
          <w:szCs w:val="28"/>
        </w:rPr>
        <w:t>В настоящем исследовании разработана</w:t>
      </w:r>
      <w:r>
        <w:rPr>
          <w:sz w:val="28"/>
          <w:szCs w:val="28"/>
        </w:rPr>
        <w:t xml:space="preserve"> </w:t>
      </w:r>
      <w:r w:rsidRPr="003C257D">
        <w:rPr>
          <w:sz w:val="28"/>
          <w:szCs w:val="28"/>
        </w:rPr>
        <w:t>методология изучения летальных исходов</w:t>
      </w:r>
      <w:r>
        <w:rPr>
          <w:sz w:val="28"/>
          <w:szCs w:val="28"/>
        </w:rPr>
        <w:t xml:space="preserve"> при ВИЧ-</w:t>
      </w:r>
      <w:r w:rsidRPr="003C257D">
        <w:rPr>
          <w:sz w:val="28"/>
          <w:szCs w:val="28"/>
        </w:rPr>
        <w:t>инфекции, которая может быть использована и при других заболеваниях. Полученные данные могут быть полезны для улучшения как прижизненной,</w:t>
      </w:r>
      <w:r>
        <w:rPr>
          <w:sz w:val="28"/>
          <w:szCs w:val="28"/>
        </w:rPr>
        <w:t xml:space="preserve"> </w:t>
      </w:r>
      <w:r w:rsidRPr="003C257D">
        <w:rPr>
          <w:sz w:val="28"/>
          <w:szCs w:val="28"/>
        </w:rPr>
        <w:t>так и посмертной диагностики вторичных заболеваний при ВИЧ-инфекции и оптимизации их лечения</w:t>
      </w:r>
      <w:r w:rsidR="0093759C" w:rsidRPr="0093759C">
        <w:rPr>
          <w:sz w:val="28"/>
          <w:szCs w:val="28"/>
        </w:rPr>
        <w:t xml:space="preserve"> [3,24,35]</w:t>
      </w:r>
      <w:r w:rsidRPr="003C257D">
        <w:rPr>
          <w:sz w:val="28"/>
          <w:szCs w:val="28"/>
        </w:rPr>
        <w:t>.</w:t>
      </w:r>
    </w:p>
    <w:p w:rsidR="00370606" w:rsidRDefault="00714370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884" w:rsidRPr="009206D0" w:rsidRDefault="00AC7884" w:rsidP="00AC7884">
      <w:pPr>
        <w:spacing w:line="360" w:lineRule="auto"/>
        <w:jc w:val="center"/>
        <w:rPr>
          <w:b/>
          <w:sz w:val="32"/>
          <w:szCs w:val="32"/>
        </w:rPr>
      </w:pPr>
      <w:r w:rsidRPr="009206D0">
        <w:rPr>
          <w:b/>
          <w:sz w:val="32"/>
          <w:szCs w:val="32"/>
        </w:rPr>
        <w:lastRenderedPageBreak/>
        <w:t>Глава 1</w:t>
      </w:r>
      <w:r w:rsidR="001F5020" w:rsidRPr="009206D0">
        <w:rPr>
          <w:b/>
          <w:sz w:val="32"/>
          <w:szCs w:val="32"/>
        </w:rPr>
        <w:t>. Обзор литературы</w:t>
      </w:r>
    </w:p>
    <w:p w:rsidR="001F5020" w:rsidRDefault="001F5020" w:rsidP="001F50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Определение понятия ВИЧ-инфекция и общее представление о возбудителе.</w:t>
      </w:r>
    </w:p>
    <w:p w:rsidR="0044318D" w:rsidRP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ВИЧ-инфекция – это </w:t>
      </w:r>
      <w:r w:rsidRPr="0044318D">
        <w:rPr>
          <w:sz w:val="28"/>
          <w:szCs w:val="28"/>
        </w:rPr>
        <w:t>медленно прогрессирующее антропонозное заболевание с контактным путём передачи, характеризующее поражением иммунной системы с развитием синдрома приоб</w:t>
      </w:r>
      <w:r w:rsidR="001F1FA9">
        <w:rPr>
          <w:sz w:val="28"/>
          <w:szCs w:val="28"/>
        </w:rPr>
        <w:t>ретённого иммунодефицита</w:t>
      </w:r>
      <w:r w:rsidR="007B47C2">
        <w:rPr>
          <w:sz w:val="28"/>
          <w:szCs w:val="28"/>
        </w:rPr>
        <w:t xml:space="preserve"> (СПИД)</w:t>
      </w:r>
      <w:r w:rsidR="006D3EB7">
        <w:rPr>
          <w:sz w:val="28"/>
          <w:szCs w:val="28"/>
        </w:rPr>
        <w:t xml:space="preserve"> [5,9</w:t>
      </w:r>
      <w:r w:rsidR="000C3D91" w:rsidRPr="000C3D91">
        <w:rPr>
          <w:sz w:val="28"/>
          <w:szCs w:val="28"/>
        </w:rPr>
        <w:t>]</w:t>
      </w:r>
      <w:r w:rsidRPr="0044318D">
        <w:rPr>
          <w:sz w:val="28"/>
          <w:szCs w:val="28"/>
        </w:rPr>
        <w:t xml:space="preserve">. Впервые как клиническое понятие СПИД был описан 1981 году, а в 1983 году был </w:t>
      </w:r>
      <w:r w:rsidR="00D8235B">
        <w:rPr>
          <w:sz w:val="28"/>
          <w:szCs w:val="28"/>
        </w:rPr>
        <w:t>описан ВИЧ-1, в 1986 – ВИЧ-2</w:t>
      </w:r>
      <w:r w:rsidRPr="0044318D">
        <w:rPr>
          <w:sz w:val="28"/>
          <w:szCs w:val="28"/>
        </w:rPr>
        <w:t xml:space="preserve">. </w:t>
      </w:r>
    </w:p>
    <w:p w:rsidR="001F5020" w:rsidRDefault="0044318D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относит</w:t>
      </w:r>
      <w:r w:rsidR="00D8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семейству ретровирусов, </w:t>
      </w:r>
      <w:r w:rsidR="00920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лентивирусов. Лентивирусы вызывают хронические инфекции с </w:t>
      </w:r>
      <w:r w:rsidR="00D8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продолжительной латентной фазой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персистирующей репродукцией вируса и поражением ЦНС. Выделяют 2 серотипа ВИЧ: ВИЧ-1 и ВИЧ-2, считается, что ВИЧ-2 менее патогенен. С помощью электронной микроскопии показано, что ВИЧ-1 и ВИЧ-2 имеют сходную структуру. В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время у них есть и отличия молекулярной массе белков и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</w:t>
      </w:r>
      <w:r w:rsid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[4,9]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18D" w:rsidRDefault="00D8235B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Вирусная частица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диаметр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нм. Снаружи вирус окружен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липопротеиновой оболочкой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встроены 72 гликопротеи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комплекса. Каждый из этих комплексов образован поверхностным (gp120) и трансмембранным гликопротеидом (gp41). Связь между gp120 и gp41 довольно слабая, и поверхностный гликопротеид может спонтанно отсоединяться от вируса. При 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отпочковывании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от клетки 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организма-хозяина мембранные белки, такие как HLA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молекулы адгезии, в частности ICAM-1, встраиваются в липидную мембрану вируса. Эти белки облегчают адгезию вируса к клеткам-мишеням. Внутри к липопрот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еидной оболочке прилежит матрич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белок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p17. Сердцевину вируса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капсидный белок p24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(«ядерный антиген»)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окружает белковонуклеиновый комплекс: две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молекулы вир</w:t>
      </w:r>
      <w:r w:rsidR="00C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усной РНК, связанные с нуклеопротеином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p7 и обратной транскриптазой p66. Вирус содержит все необходимые ферменты для репликации: обратную транскриптазу</w:t>
      </w:r>
      <w:r w:rsid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интегразу p32 и протеазу p11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[4,5,9]</w:t>
      </w:r>
      <w:r w:rsid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18D" w:rsidRDefault="0044318D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105150"/>
            <wp:effectExtent l="19050" t="0" r="9525" b="0"/>
            <wp:docPr id="13" name="Рисунок 2" descr="http://medznate.ru/tw_refs/28/27130/27130_html_6fe98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znate.ru/tw_refs/28/27130/27130_html_6fe98c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956" w:rsidRDefault="0044318D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строения ВИЧ</w:t>
      </w:r>
      <w:r w:rsidR="006D3EB7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20" w:rsidRDefault="001F5020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956" w:rsidRDefault="001F5020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99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Патогенез ВИЧ-инфекции</w:t>
      </w:r>
    </w:p>
    <w:p w:rsidR="00850956" w:rsidRDefault="0044318D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ВИЧ после проникновения в организм имеет последовательный характер, выделяют несколько этапов репликации ВИЧ в восприимчивых клетках инфицированного человека. </w:t>
      </w:r>
    </w:p>
    <w:p w:rsidR="00D60DCA" w:rsidRDefault="00C631C3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Проникновение ВИЧ в клетку-мишень связано с наличием рецептора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C631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мономерный гликопротеид массой 58 кДа, который обнаруживается на поверхности примерно 60% T-лимфоцитов, предшественников T-лимфоцитов в костном мозге и тимусе, а также моноцитов, макрофагов, эозинофилов, дендритных клеток и клеток микроглии ЦНС. В зависимости от тропизма к различным клет</w:t>
      </w:r>
      <w:r w:rsid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имеющих на себе рецептор С</w:t>
      </w:r>
      <w:r w:rsidR="00D6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4+ </w:t>
      </w:r>
      <w:r w:rsid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выделяют T-клеточные (Т-тропные)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штаммы ВИ</w:t>
      </w:r>
      <w:r w:rsid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Ч и моноцитотропные (М-тропные)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штаммы. T-тропные штаммы ВИЧ заражают преимущественно активированные лимфоциты CD4 крови и клеточные линии, исполь</w:t>
      </w:r>
      <w:r w:rsid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для входа в клетку рецептор</w:t>
      </w:r>
      <w:r w:rsid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CD4</w:t>
      </w:r>
      <w:r w:rsidR="00850956" w:rsidRP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56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CXCR4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M-тропные штаммы способны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заражать лимфоциты CD4, моноциты и макрофаги и используют для входа в клетку CD4</w:t>
      </w:r>
      <w:r w:rsid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корецептор</w:t>
      </w:r>
      <w:r w:rsidR="00850956" w:rsidRP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56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CCR5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[4,5]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0956" w:rsidRDefault="00D60DCA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белков оболочки вируса и рецепторов клетки можно представить следующим образом: г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ликопротеид gp120 сначала связы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 определенными участками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CD4. После этого gp120 претерпевает конформационные изменения, благодаря которым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способность </w:t>
      </w:r>
      <w:r w:rsidR="0080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корецептором</w:t>
      </w:r>
      <w:r w:rsidR="0080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обеспечивает слияние с клеточной мембраной.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Трансмембранный гликопротеид gp41 играет ключевую роль в слиянии внешней оболочки вируса и клеточной мембраны подобно гемагглютинину вируса гриппа. После связывания gp120 с рецептором CD4, в gp41 происходят конформационные изменения, в результате которых гидрофобный N-концевой фрагмент gp41 внедря</w:t>
      </w:r>
      <w:r w:rsidR="008509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мембрану клетки-мишени.</w:t>
      </w:r>
    </w:p>
    <w:p w:rsidR="00667569" w:rsidRDefault="00805E2D" w:rsidP="00FC58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слияния вирусной оболочки и клеточной мембраны происходит «раздевание</w:t>
      </w:r>
      <w:r w:rsidR="004F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4F7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проникновение</w:t>
      </w:r>
      <w:r w:rsidR="0044318D" w:rsidRPr="00850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внутрь клетки</w:t>
      </w:r>
      <w:r w:rsidR="0044318D" w:rsidRPr="00443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нуклеотида и геномной РНК вируса</w:t>
      </w:r>
      <w:r w:rsidR="004F7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наступает критический этап в жизненном цикле вируса – превращение провирусной РНК в ДНК </w:t>
      </w:r>
      <w:r w:rsidR="006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обратной транскриптазы.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проникает как в активированные T-лимфоциты, так и в покоящиеся, однако в покоящихся клетках не з</w:t>
      </w:r>
      <w:r w:rsidR="00FC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авершается синтез вирусной ДНК и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образованная в результате обратной транскрипции провирусная ДНК не встраивается в геном клетки хозяина. Для того, чтобы клеточная ДНК встроилась в ДНК клетки-хозяина необходима активация клетки и перемещение вирусного преинтеграционного комплекса из цитоплазмы в ядро. In vitro активация клеток происходит, например, после стимуляции антигенами или митогенами, in vivo активация иммунной системы наблюдается после контакта с антигеном </w:t>
      </w:r>
      <w:r w:rsidR="0066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оппортунистической инфекции. </w:t>
      </w:r>
    </w:p>
    <w:p w:rsidR="0044318D" w:rsidRPr="00FC58B7" w:rsidRDefault="00667569" w:rsidP="00FC58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провирусной ДНК в ядро клетки предрасполагает к синтезу новых вирионов, для осуществления этого процесса необходим фермент интеграза. </w:t>
      </w:r>
      <w:r w:rsidR="009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при </w:t>
      </w:r>
      <w:r w:rsidR="0092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1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ктивации</w:t>
      </w:r>
      <w:r w:rsidR="0044318D" w:rsidRPr="00667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транскрипции с ДНК провируса и </w:t>
      </w:r>
      <w:r w:rsidR="0092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образования </w:t>
      </w:r>
      <w:r w:rsidR="0071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РНК вируса, происходит синтез</w:t>
      </w:r>
      <w:r w:rsidR="0092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всех необходимых белков-предшественников</w:t>
      </w:r>
      <w:r w:rsidR="004A5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2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5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Сборка вирионов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следующим образом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вирусной РНК, белков Gag и ферментов Pol образуется нуклеокапсид, который перемещается к клеточной мембране. Крупные молекулы-предше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ственники расщепляются ВИЧ-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протеазой, после чего завершается сборка зрелых вирусов и они 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отпочковываются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клетки. При отпочковывании в липидную оболочку вируса могут встраиваться различные белки клетки-хозяина, фосфолипиды и холестер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В отличие от T-лимфоцитов,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отпочковывание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которых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 поверхности клеток и приводит к выделению вирусов в межклеточное пространство, в</w:t>
      </w:r>
      <w:r w:rsidR="0071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моноцитах и макрофагах 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встраивается в клеточную мембрану и накапливается в вакуолях. </w:t>
      </w:r>
    </w:p>
    <w:p w:rsidR="00FA5BB0" w:rsidRDefault="0044318D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Репликация ре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тровирусов подвержена ошибкам, из-за чего высока частота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спонтанных мутаций. В среднем при обратной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транскрипции происходит приблизительно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ошибок </w:t>
      </w:r>
      <w:r w:rsidR="004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цикле репликации генома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появляться и накапливаться мутации, в результате которых вирус приобретает устойчивость к антивирусным препаратам</w:t>
      </w:r>
      <w:r w:rsidR="008B420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также селекция мутантных видов происходит и под влиянием иммунной системы (цитотоксические Т-лимфоциты, нейтрализующие антитела).</w:t>
      </w:r>
    </w:p>
    <w:p w:rsidR="00994E05" w:rsidRDefault="00F27051" w:rsidP="00994E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94E05" w:rsidRPr="001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течение ВИЧ-инфекции.</w:t>
      </w:r>
      <w:r w:rsidR="00994E05" w:rsidRPr="0099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E05" w:rsidRDefault="00994E05" w:rsidP="00994E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ВИЧ-инфекции выделяют следующие стадии разной продолжительности: инкубационный период (от 2 недель до 6 месяцев), острая фаза или стадия первичных проявлений (обычно менее 4 недель), латентный период (может быть до 8-10 лет) и стадия вторичных проявлений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[5,9]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Острая фаза ВИЧ-инфекции может протекать бессимптомно, проявляться неспецифическими симптомами (мононуклеозоподобный синдром, включающий в себя лихорадку, лимфаденопатию, эритематозно-папулёзную сыпь и др.) либо с появлением вторичных заболеваний, связанных с ВИЧ-инфекцией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обусловленных нарушением клеточного иммунитета (кандидоз полости рта, волосатая лейкоплакия полости рта). Также эта стадия характеризуется высоким уровнем вирусной нагрузки, снижающейся с появлением антител к ВИЧ</w:t>
      </w:r>
      <w:r w:rsidR="000C3D91" w:rsidRPr="000C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E05" w:rsidRDefault="00994E05" w:rsidP="00994E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41023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2. Естественное течение ВИЧ–инфекции</w:t>
      </w:r>
      <w:r w:rsid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D3EB7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838" w:rsidRPr="000C3D9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E05" w:rsidRDefault="00994E05" w:rsidP="00994E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стадия – латентный период – может не иметь клинических проявлений, кроме персистирующей генерализованной лимфаденопатии. В этот период происходит постепенное снижение числа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2C7575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лимфоцитов. Стадия вторичных проявлений характеризуется развитием различных СПИД-индикаторных заболеваний вследствие выраженных дефектов иммунной защиты</w:t>
      </w:r>
      <w:r w:rsid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18D" w:rsidRDefault="00F27051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1F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Пути передачи ВИЧ-инфекции. </w:t>
      </w:r>
    </w:p>
    <w:p w:rsidR="00FA5BB0" w:rsidRDefault="007B47C2" w:rsidP="007B47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ВИЧ-инфекции являются ВИЧ-инфицированные люди, вне зависимости от стадии заболевания, в том числе в инкубационный период.</w:t>
      </w:r>
      <w:r w:rsidR="0096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передачи ВИЧ является контактный механизм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D3EB7" w:rsidRP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механизма возможна несколькими путями:</w:t>
      </w:r>
    </w:p>
    <w:p w:rsidR="00965A34" w:rsidRDefault="00965A34" w:rsidP="00B9214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незащищённых половых контактах, особенно в тех случаях, когда ВИЧ-инфицированный партнёр имеет определяемую вирусную нагрузку;</w:t>
      </w:r>
    </w:p>
    <w:p w:rsidR="00965A34" w:rsidRDefault="00965A34" w:rsidP="00B9214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путь передачи от ВИЧ-инфицированной матери ребёнку в период беременности, родов или вскармливания;</w:t>
      </w:r>
    </w:p>
    <w:p w:rsidR="00965A34" w:rsidRDefault="00965A34" w:rsidP="00B9214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артифициальный или парентеральный путь передачи – проникновение вируса в кровь при различных манипуляциях, приводящих к повреждениям кожного покрова или слизистых</w:t>
      </w:r>
      <w:r w:rsidR="001C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2DF" w:rsidRDefault="00F27051" w:rsidP="004431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18D" w:rsidRPr="004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r w:rsidR="004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сификации ВИЧ-инфекции.</w:t>
      </w:r>
    </w:p>
    <w:p w:rsidR="006A0BBA" w:rsidRPr="005B12DF" w:rsidRDefault="0044318D" w:rsidP="004431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международной клинической практике повсеместно используется классификация разработанная центром по контролю за заболеваниями (CDC, Атланта, США, 1993) </w:t>
      </w:r>
      <w:r w:rsidR="006A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учитываются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и иммунологические (уровень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="006A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лимфоцитов</w:t>
      </w:r>
      <w:r w:rsidR="001F50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критерии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0CAA" w:rsidRDefault="001F5020" w:rsidP="00960CA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18D" w:rsidRDefault="006A0BBA" w:rsidP="00F41B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r w:rsidR="0044318D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ВИЧ-инфекции у взрослых и детей старше 13 лет (CDC,1993)</w:t>
      </w:r>
      <w:r w:rsidR="006D3EB7" w:rsidRPr="006D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="00F41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BBA" w:rsidRDefault="006A0BBA" w:rsidP="004431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82730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03" w:rsidRPr="0044318D" w:rsidRDefault="00756203" w:rsidP="00756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категории А</w:t>
      </w:r>
      <w:r w:rsidRPr="00443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пациенты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лабораторно подтверждённой ВИЧ-инфекцией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симптомов или заболеваний, характерных для стадий В и С, однако могут определяться следующие состояния в случае если это не бессимптомное носительство ВИЧ:</w:t>
      </w:r>
    </w:p>
    <w:p w:rsidR="00756203" w:rsidRPr="0044318D" w:rsidRDefault="00756203" w:rsidP="00B9214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(первичная) ВИЧ-инфекция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03" w:rsidRDefault="00756203" w:rsidP="00B9214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персистирующая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генерализованная лимфаденопатия.</w:t>
      </w:r>
    </w:p>
    <w:p w:rsidR="00756203" w:rsidRPr="00FA5BB0" w:rsidRDefault="00082145" w:rsidP="007562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Пациенты в категории В, характеризуются наличием симптомов или заболеваний, не относящихся к СПИД-индикаторным (категория С), но этиологически обусловленных ВИЧ-инфекцией или указывающих на нарушения в клеточном иммунитете</w:t>
      </w:r>
      <w:r w:rsidR="00756203" w:rsidRPr="00FA5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203" w:rsidRPr="0044318D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бациллярный ангиоматоз;</w:t>
      </w:r>
    </w:p>
    <w:p w:rsidR="00756203" w:rsidRPr="0044318D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</w:t>
      </w:r>
      <w:r w:rsidR="005B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рта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Pr="0044318D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кандидозный вульвовагинит, </w:t>
      </w:r>
      <w:r w:rsidR="005B12D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(больше 1 месяца) или резистентный к проводимому лечению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Pr="0044318D" w:rsidRDefault="005B12DF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&gt;38,5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°С, или диарея пр</w:t>
      </w:r>
      <w:r w:rsidR="0071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одолжительностью более 1 месяца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Pr="0044318D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волосатая лейкоплакия языка;</w:t>
      </w:r>
    </w:p>
    <w:p w:rsidR="00756203" w:rsidRPr="0044318D" w:rsidRDefault="005B12DF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опоясывающий герпес, если поражено несколько дерматомных зон или есть рецидив в одном дерматоме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Pr="0044318D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идиопатическая тромбоцитопеническая пурпура;</w:t>
      </w:r>
    </w:p>
    <w:p w:rsidR="00756203" w:rsidRPr="005B12DF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листериоз;</w:t>
      </w:r>
    </w:p>
    <w:p w:rsidR="00756203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воспалительные заболевания </w:t>
      </w:r>
      <w:r w:rsidR="005B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таза, особенно осложненные тубоовариальным абсцессом;</w:t>
      </w:r>
    </w:p>
    <w:p w:rsidR="005B12DF" w:rsidRPr="0044318D" w:rsidRDefault="005B12DF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 шейки матки;</w:t>
      </w:r>
    </w:p>
    <w:p w:rsidR="005B12DF" w:rsidRDefault="00756203" w:rsidP="00B9214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периферическая нейропатия.</w:t>
      </w:r>
    </w:p>
    <w:p w:rsidR="00756203" w:rsidRPr="005B12DF" w:rsidRDefault="00756203" w:rsidP="005B12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1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</w:t>
      </w:r>
      <w:r w:rsidRPr="005B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относятся пациенты, у которых выявляются следующие заболевания и состояния:</w:t>
      </w:r>
    </w:p>
    <w:p w:rsidR="00756203" w:rsidRPr="0044318D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 бронхов, трахеи или легких;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кандидозный эзофагит;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инвазивный рак шейки матки;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кокцидиоидомикоз</w:t>
      </w:r>
      <w:r w:rsidR="00933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диссемини</w:t>
      </w:r>
      <w:r w:rsidR="0093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или внелёгочный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93376A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внелёгочный криптококкоз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93376A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ЦМВИ 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поражением различных органов, кроме 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печени,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лезенки или лимфатических узлов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цитомегаловирусный ретинит (с потерей зрения);</w:t>
      </w:r>
    </w:p>
    <w:p w:rsidR="00756203" w:rsidRDefault="0093376A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ВИЧ-ассоциированная энцефалопатия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1B4F46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опоясывающий герпес с развитием хронических язв (существующие более 1 месяца); герпетические бронхит, пневмонит, эзофагит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гистоплазмоз</w:t>
      </w:r>
      <w:r w:rsidR="001B4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диссеминированный или </w:t>
      </w:r>
      <w:r w:rsidR="001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внелёгочный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1B4F46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изоспороз/криптоспоридиоз, кишечная форма, более 1 месяца;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саркома Капоши;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 Беркитта;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иммунобластная лимфома;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лимфома</w:t>
      </w:r>
      <w:r w:rsidR="001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мозга;</w:t>
      </w:r>
    </w:p>
    <w:p w:rsidR="00756203" w:rsidRDefault="001B4F46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микобактериозы, вызываемые нетуберкулёзными микобактриями, диссеминированные или внелёгочные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Default="001B4F46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 пневмония;</w:t>
      </w:r>
    </w:p>
    <w:p w:rsidR="00756203" w:rsidRDefault="001B4F46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рецидивирующие бактериальные пневмонии – больше 2 в течение 1 года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03" w:rsidRPr="00D95C41" w:rsidRDefault="00756203" w:rsidP="00D95C41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прогрессирующая мультифокальная лейкоэнцефалопатия;</w:t>
      </w:r>
    </w:p>
    <w:p w:rsidR="00756203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токсоплазмоз </w:t>
      </w:r>
      <w:r w:rsidR="001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</w:t>
      </w: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мозга;</w:t>
      </w:r>
    </w:p>
    <w:p w:rsidR="00756203" w:rsidRPr="0044318D" w:rsidRDefault="00756203" w:rsidP="00B9214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кахексия.</w:t>
      </w:r>
    </w:p>
    <w:p w:rsidR="00820403" w:rsidRDefault="00820403" w:rsidP="00756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правилам, классификационная категория должна пересматриваться в случае прогрессирования заболевания, однако понижение стадии при проведении адекватной терапии невозможно. 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пациенты в группах A3, ВЗ, С1-3 расценива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как пациенты, потенциально нуждающие</w:t>
      </w:r>
      <w:r w:rsidR="00756203" w:rsidRPr="004431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ВААРТ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FC2" w:rsidRDefault="00F86FC2" w:rsidP="0075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2008 году появилась изменённая классификация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делению ВИЧ/СПИД на стадии с целью упрощения эпидемиологического мониторинга. Помимо 3 стадии, отдельно выделена четвёртая категория, к которой относятся пациенты, в отношении которых по тем или иным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причинам невозможно получить данные о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F8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4+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клеток или данных анамнеза.</w:t>
      </w:r>
    </w:p>
    <w:p w:rsidR="00960CAA" w:rsidRDefault="001F5020" w:rsidP="00960CA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Табл. 2</w:t>
      </w:r>
      <w:r w:rsidR="00F4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6FC2" w:rsidRDefault="00F86FC2" w:rsidP="00F41B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 ВИЧ-инфекции на стадии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CDC</w:t>
      </w:r>
      <w:r w:rsidR="009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2008)</w:t>
      </w:r>
      <w:r w:rsidR="000D0D62" w:rsidRPr="000D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[4]</w:t>
      </w:r>
      <w:r w:rsidR="00F4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6FC2" w:rsidRDefault="00F86FC2" w:rsidP="00443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60085" cy="1019837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1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64" w:rsidRDefault="00FF4364" w:rsidP="00FF4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используется классификаци</w:t>
      </w:r>
      <w:r w:rsidR="0092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разработанная  </w:t>
      </w:r>
      <w:r w:rsidR="00D95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В.И. </w:t>
      </w:r>
      <w:r w:rsidR="0092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Покровским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(2001 г.)</w:t>
      </w:r>
      <w:r w:rsidR="008B6838" w:rsidRPr="008B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0D0D62" w:rsidRPr="00D95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6838" w:rsidRPr="005E1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Стадии и фазы заболевания определяются клиническими критериями без учёта вирусной нагрузки или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4+ клеток.</w:t>
      </w:r>
    </w:p>
    <w:p w:rsidR="00FF4364" w:rsidRPr="00FF4364" w:rsidRDefault="00FF4364" w:rsidP="00B9214C">
      <w:pPr>
        <w:pStyle w:val="a3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инкубации.</w:t>
      </w:r>
    </w:p>
    <w:p w:rsidR="00FF4364" w:rsidRPr="0061352F" w:rsidRDefault="00FF4364" w:rsidP="00B9214C">
      <w:pPr>
        <w:pStyle w:val="a3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первичных проявлений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течения: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 (б</w:t>
      </w:r>
      <w:r w:rsidRP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ессимптомная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ВИЧ-инфекция), 2Б (о</w:t>
      </w:r>
      <w:r w:rsidRP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страя ВИЧ-инфекция без вторичных заболеваний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), 2В (о</w:t>
      </w:r>
      <w:r w:rsidRP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страя ВИЧ-инфе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с вторичными заболеваниями).</w:t>
      </w:r>
    </w:p>
    <w:p w:rsidR="0061352F" w:rsidRPr="0061352F" w:rsidRDefault="00FF4364" w:rsidP="00B9214C">
      <w:pPr>
        <w:pStyle w:val="a3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Субклиническая стадия.</w:t>
      </w:r>
    </w:p>
    <w:p w:rsidR="00713A9B" w:rsidRPr="00713A9B" w:rsidRDefault="00FF4364" w:rsidP="00B9214C">
      <w:pPr>
        <w:pStyle w:val="a3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вторичных заболеваний.</w:t>
      </w:r>
    </w:p>
    <w:p w:rsidR="00713A9B" w:rsidRDefault="00713A9B" w:rsidP="00FF4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4А. Потеря массы тела &lt;</w:t>
      </w:r>
      <w:r w:rsidR="00FF4364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10%; гри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бковые, вирусные, бактериальные </w:t>
      </w:r>
      <w:r w:rsidR="00FF4364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кожи и слизистых оболочек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опоясывающий лишай; повторные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фарингиты, синуситы. Фазы течения:</w:t>
      </w:r>
    </w:p>
    <w:p w:rsidR="00713A9B" w:rsidRPr="00713A9B" w:rsidRDefault="00FF4364" w:rsidP="00B9214C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прогрессирования (на фоне отсутствия АРТ, на фоне АРТ);</w:t>
      </w:r>
    </w:p>
    <w:p w:rsidR="00713A9B" w:rsidRPr="00713A9B" w:rsidRDefault="00FF4364" w:rsidP="00B9214C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ремиссии (спонтанная, п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ранее проводимой АРТ, на </w:t>
      </w:r>
      <w:r w:rsidR="00713A9B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АРТ).</w:t>
      </w:r>
    </w:p>
    <w:p w:rsidR="00713A9B" w:rsidRDefault="00FF4364" w:rsidP="00FF4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4Б. Потеря массы тела &gt; 10%; не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объяснимые диарея или лихорадка 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мес</w:t>
      </w:r>
      <w:r w:rsid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яца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повторные стойкие виру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сные, бактериальные, грибковые, 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протозойные поражения внутренних органов; локализованная саркома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Капоши; повторный или диссе</w:t>
      </w:r>
      <w:r w:rsid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минированный опоясывающий лишай. Фазы течения:</w:t>
      </w:r>
    </w:p>
    <w:p w:rsidR="00713A9B" w:rsidRDefault="00FF4364" w:rsidP="00B9214C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прогрессирования (на фоне отсутствия АРТ, на фоне АРТ);</w:t>
      </w:r>
    </w:p>
    <w:p w:rsidR="00FF4364" w:rsidRPr="00713A9B" w:rsidRDefault="00FF4364" w:rsidP="00B9214C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ремиссии (спонтанная, после ранее проводимой АРТ, на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АРТ).</w:t>
      </w:r>
    </w:p>
    <w:p w:rsidR="00713A9B" w:rsidRDefault="00713A9B" w:rsidP="00FF43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4В.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Кахексия; генерализо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вирусные, бактериальные,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микобактериальные, грибковые, протозо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йные, паразитарные заболевания;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 пневмония; кандидоз пищ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евода, бронхов, трахеи, легких;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опухоли; пораже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центральной нервной системы. Фазы течения:</w:t>
      </w:r>
    </w:p>
    <w:p w:rsidR="00713A9B" w:rsidRDefault="00FF4364" w:rsidP="00B9214C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прогрессирования (на фоне отсутствия АРТ, на фоне АРТ);</w:t>
      </w:r>
    </w:p>
    <w:p w:rsidR="00FF4364" w:rsidRPr="00713A9B" w:rsidRDefault="00FF4364" w:rsidP="00B9214C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ремиссии (спонтанная, после ранее проводимой АРТ, на</w:t>
      </w:r>
      <w:r w:rsidR="0061352F"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АРТ).</w:t>
      </w:r>
    </w:p>
    <w:p w:rsidR="00F46F56" w:rsidRPr="00AA227C" w:rsidRDefault="00D95C41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8B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ификации, утвержденной Приказом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 России от 17 марта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006 г. № 166, предусматривается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стадия 5 – «терминальная». Однако в настоящее время, в с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появлением эффективной 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АРТ, постановка этой стадии не рекомендуется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F4364" w:rsidRPr="00FF4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EAA" w:rsidRDefault="00F27051" w:rsidP="00772E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ряда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</w:t>
      </w:r>
      <w:r w:rsid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 w:rsid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</w:t>
      </w:r>
      <w:r w:rsid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ВИЧ-инфекции</w:t>
      </w:r>
    </w:p>
    <w:p w:rsidR="001B3EE1" w:rsidRDefault="00772EAA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характере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изменений при ВИЧ-инфекции приводятся как в многочисленных журнальных публикациях, так и руководствах </w:t>
      </w:r>
      <w:r w:rsidRPr="008B266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4,5,10,24,34,48</w:t>
      </w:r>
      <w:r w:rsidRPr="008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отметить, что данные приводимые отечественными исследователями в ряде случаев оказываются более полными. Вместе с тем особенности морфологических изменений, обусловленных разными генотипами вируса, подходы к гистологической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диагностике ВИЧ-обусловленных поражений в различных тканях и другие важные вопросы почти не обсуждаются.</w:t>
      </w:r>
    </w:p>
    <w:p w:rsidR="001C640B" w:rsidRDefault="00F27051" w:rsidP="001C64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</w:t>
      </w:r>
    </w:p>
    <w:p w:rsidR="00712A4C" w:rsidRDefault="001C640B" w:rsidP="001C64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диагно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стируемых заболеваний у ВИЧ-ин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фицированных пациентов и </w:t>
      </w:r>
      <w:r w:rsidR="0092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наибольший вклад в заболеваемость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летальность среди всех остальных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оппортунистических инфекций при 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СПИДе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6838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развития туберкулезного процесса в 8 раз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 ВИЧ</w:t>
      </w:r>
      <w:r w:rsidR="00920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по сравнению с ВИЧ</w:t>
      </w:r>
      <w:r w:rsidR="00920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людьми и поэтому не прихо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ожидать тенденции к сни</w:t>
      </w:r>
      <w:r w:rsidR="00826B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коинфекции ВИЧ/туберкулёз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продолжающегося роста выявления новых случаев заражения ВИЧ</w:t>
      </w:r>
      <w:r w:rsidR="00603A17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A17" w:rsidRPr="008B68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C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отметить, что ВИЧ-инфекция способствует распространению штаммов с множественной и широкой лекарственной устойчивостью.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 может развиться на любой стадии ВИЧ-инфекции вне зависимости от уровня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4+ клеток и уровня вирусной нагрузки.</w:t>
      </w:r>
      <w:r w:rsidR="0082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случаев легочного туберкулеза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у пациентов с уровнем CD4 &gt;200 клеток</w:t>
      </w:r>
      <w:r w:rsid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/мкл, 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прогрессирующего иммунодефицита риск возрастает. ВИЧ и туберкул</w:t>
      </w:r>
      <w:r w:rsidR="00826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взаимно отягощают друг друга</w:t>
      </w:r>
      <w:r w:rsidR="0060333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механизм их взаимодействия не до конца изучен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D0D62" w:rsidRPr="000D0D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A17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0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33D" w:rsidRDefault="0060333D" w:rsidP="001C64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чертами туберкулёзного процесса при ВИЧ-инфекции являются: большая частота развития генерализованных форм, быстрое прогрессирование, преобладание альтеративного компонента воспаления над продуктивным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03A17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подчеркнуть, что </w:t>
      </w:r>
      <w:r w:rsidR="005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выражен иммунодефицит – тем </w:t>
      </w:r>
      <w:r w:rsidR="0045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выраженными становятся выше перечисленные особенности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3A17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F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9D6" w:rsidRDefault="004543DB" w:rsidP="001C64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и то, что нередко наблюдаются различные сочетания туберкулёза и иных оппортунистических инфекций, таких как пневмоцистная пневмония, ЦМВИ, криптококкоз и др.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92807" w:rsidRP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A92807" w:rsidRP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A17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2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подобных случаях значительно затруднена морфологическая верификация патологических изменений, могут возникать сложности с оценкой активности протекающих процессов.</w:t>
      </w:r>
      <w:r w:rsid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сочетанного поражения на фоне туберкулёза зачастую является находкой при аутопсии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7FDC" w:rsidRPr="00603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D4" w:rsidRDefault="00F27051" w:rsidP="00790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D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 пневмония</w:t>
      </w:r>
    </w:p>
    <w:p w:rsidR="00790D50" w:rsidRDefault="00790D50" w:rsidP="00790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интерстициальная пневмония, возбудител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данного заболевания являются 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пневмоцисты</w:t>
      </w:r>
      <w:r w:rsidR="000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5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Pneumocystis</w:t>
      </w:r>
      <w:r w:rsidR="000E5AD4" w:rsidRPr="000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jiroveci</w:t>
      </w:r>
      <w:r w:rsidR="000E5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92807" w:rsidRPr="00A9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встречаемости данной патологии среди ВИЧ-инфицированных колеблется в больших пределах в разных регионах мира (3,2%-7,1% в Рос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до 60% в Европе и США)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22F71">
        <w:rPr>
          <w:rFonts w:ascii="Times New Roman" w:eastAsia="Times New Roman" w:hAnsi="Times New Roman" w:cs="Times New Roman"/>
          <w:sz w:val="28"/>
          <w:szCs w:val="28"/>
          <w:lang w:eastAsia="ru-RU"/>
        </w:rPr>
        <w:t>11,51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3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Внелегочная 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 инфекция встречается крайне редко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учаев диагностируется только на 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вскрытии</w:t>
      </w:r>
      <w:r w:rsidR="0092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[4,11,24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Прижизненная диагностика пневмоцистоза базируется на результатах радиологических и цитологических исследований, которые не всегда дают абсолютно надежные результаты.</w:t>
      </w:r>
    </w:p>
    <w:p w:rsidR="00D95C41" w:rsidRDefault="00630A44" w:rsidP="00790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диагностике связаны 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числом </w:t>
      </w:r>
      <w:r w:rsidR="005B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сочетаний с другими инфекциями, такими как ЦМВИ, туберкулёз, бактериальные пневмонии</w:t>
      </w:r>
      <w:r w:rsidR="0064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5B1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22F71">
        <w:rPr>
          <w:rFonts w:ascii="Times New Roman" w:eastAsia="Times New Roman" w:hAnsi="Times New Roman" w:cs="Times New Roman"/>
          <w:sz w:val="28"/>
          <w:szCs w:val="28"/>
          <w:lang w:eastAsia="ru-RU"/>
        </w:rPr>
        <w:t>11,24,42,53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этого морфологическая 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="005B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</w:t>
      </w:r>
      <w:r w:rsidR="00A1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</w:t>
      </w:r>
      <w:r w:rsidR="00642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виду наличия признаков различных инфекций, так и по причине патоморфоза на фоне выраженного иммунодефицита</w:t>
      </w:r>
      <w:r w:rsidR="0092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[11,31</w:t>
      </w:r>
      <w:r w:rsidR="00B77FDC" w:rsidRPr="00B77F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4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A44" w:rsidRDefault="00D95C41" w:rsidP="00D9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287D" w:rsidRDefault="00F27051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</w:t>
      </w:r>
      <w:r w:rsidR="00642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инфекция</w:t>
      </w:r>
      <w:r w:rsid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(ЦМВИ)</w:t>
      </w:r>
    </w:p>
    <w:p w:rsidR="00501CB0" w:rsidRDefault="00501CB0" w:rsidP="00501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русная инфекция является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встречающихся оппортунисти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заболеван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 больных с ВИЧ-инфекцией на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иммунодефи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</w:t>
      </w:r>
      <w:r w:rsidR="0092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 генерализованные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болезни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поражением внутренних органов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центральной нервн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системы, которые развиваются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CD4+лимфоцитов менее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кл/мкл, не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или недавно начавших ВААРТ.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выраженная ЦМВИ наблюдается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 10–40% больных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СПИДом, вызывая при этом поли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органные поражения.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установить истин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частоту и клинический облик манифестны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форм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ЦМВИ чрезвычайно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 так как многие клиничес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признаки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инфекции неспецифичны и часто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ЦМВИ протекает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маской других нозологических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сочетании с ними.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с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Ч-инфекцией наблюдаются следую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формы ЦМВИ: пораж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ЦНС (энцефалит), по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глаз (ретинит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хориоретинит), язвенное пора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слизистой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оболочки полости рта, поражение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пищевода (эзофагит), хроническая диарея (энтероколит, колит), поражени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легких (пневмонит), поражение 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печени, почек, поражение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дпочечников, генерализо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форма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[31,41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F56" w:rsidRDefault="00A1695D" w:rsidP="00501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Репликативная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цитомегалии характеризуется появлением в пораженных клетках характерных внутриядерных включений ( по типу «совиного глаза»), что существенно облегчает её морфологическую диагностику [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B62" w:rsidRDefault="00F27051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D6B62" w:rsidRP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Криптококкоз</w:t>
      </w:r>
    </w:p>
    <w:p w:rsidR="00622E21" w:rsidRDefault="00622E21" w:rsidP="00BD65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Криптококкоз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жизнеугрожающий микоз</w:t>
      </w: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приводящий к тяжелому менинго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энцефалиту и </w:t>
      </w:r>
      <w:r w:rsidR="00B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генерализованным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поражениям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[4,14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Возбудит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являются базидиомицетовые </w:t>
      </w: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капсулированные дрожжи рода Cryptococcus двух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идов: Cryptococcus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neoformаns и C.gattii</w:t>
      </w: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Заражение происходит преимущественно аэрог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путем с первичным проник</w:t>
      </w:r>
      <w:r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новением возбудителя в ткань легких. 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легких С.neoformans попадает в кровеносное русло, откуда проис</w:t>
      </w:r>
      <w:r w:rsidR="00BD65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его гема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тогенная диссеминация. Наиболее часто отмечается поражение </w:t>
      </w:r>
      <w:r w:rsidR="00BD6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ЦНС</w:t>
      </w:r>
      <w:r w:rsidR="00F46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возбудитель проникает, используя различные механизмы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[14,45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криптококкоза определя</w:t>
      </w:r>
      <w:r w:rsid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степенью выраженности имму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нодефицита. </w:t>
      </w:r>
      <w:r w:rsid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Криптококкоз редко наблюдается у пациентов с уровнем СD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лимфоцитов выш</w:t>
      </w:r>
      <w:r w:rsid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100 клеток в мкл. 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 момента выявления ВИЧ-инфекции до смерти пацие</w:t>
      </w:r>
      <w:r w:rsid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проходит несколько лет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</w:t>
      </w:r>
      <w:r w:rsidR="001C63B7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31FF2" w:rsidRPr="0093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95D" w:rsidRDefault="00A1695D" w:rsidP="00BD65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криптококкоза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базироваться как на результатах лабораторных (бактериологических/микологических, серологических, ПЦР) так и морфологических (цитологических и морфологических) исследований. При этом в тканях и мазке из спинномозговой жидкости могут в значительном количестве выявляться дрожжеподобные формы с отчетливой капсулой</w:t>
      </w:r>
      <w:r w:rsid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64C" w:rsidRP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>[4,9,14]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8A" w:rsidRDefault="00F27051" w:rsidP="00BD65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81B8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Кандидоз</w:t>
      </w:r>
    </w:p>
    <w:p w:rsidR="00280F83" w:rsidRDefault="007A6BD1" w:rsidP="003A07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Кандидоз 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инфекция, вызванная дрож</w:t>
      </w:r>
      <w:r w:rsid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жевыми грибками</w:t>
      </w:r>
      <w:r w:rsid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</w:t>
      </w:r>
      <w:r w:rsidR="001F4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Candida</w:t>
      </w:r>
      <w:r w:rsidR="0093264C" w:rsidRPr="009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="001F44E1" w:rsidRP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известных к </w:t>
      </w:r>
      <w:r w:rsidR="007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времени 1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видов патогенным</w:t>
      </w:r>
      <w:r w:rsid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являются лишь около 20 видов. 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наиболее часто встречаемым видом является C.</w:t>
      </w:r>
      <w:r w:rsid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albicans. Такие штаммы, как C. 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tropicalis, C. glabrata и C. krusei, встречаются </w:t>
      </w:r>
      <w:r w:rsid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</w:t>
      </w:r>
      <w:r w:rsid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дидоз – это важнейший индикатор 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иммунодефицита, ко</w:t>
      </w:r>
      <w:r w:rsid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часто сопровождает другие </w:t>
      </w:r>
      <w:r w:rsidR="0077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оппортунистические инфекции. 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Кандидозный эзофагит – это СПИ</w:t>
      </w:r>
      <w:r w:rsid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Д-индикаторное заболевание. При </w:t>
      </w:r>
      <w:r w:rsidR="001C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сохранном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иммунном статусе с</w:t>
      </w:r>
      <w:r w:rsidR="001C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</w:t>
      </w:r>
      <w:r w:rsidR="001F4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иные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кандидоза, </w:t>
      </w:r>
      <w:r w:rsidR="001C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алкоголизм, приём глюкокортикостероидов</w:t>
      </w:r>
      <w:r w:rsidR="003A07D1" w:rsidRPr="003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7D1" w:rsidRDefault="00280F83" w:rsidP="003A07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Диссеминированное кандидозное поражение развивается только в случаях крайне тяжёлого иммунодефицита; нередко отмечается наличие ассоциированной бактериальной или вирусной инфекций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[39]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FE" w:rsidRDefault="006769FE" w:rsidP="006769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постановки диагноза является выявление микроорганизма. Дрожжеподобные и псевдомицелиальные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лучше выявляются с помощью реактива Шиффа</w:t>
      </w:r>
      <w:r w:rsidRPr="0067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регнации серебром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[37,39]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A4C" w:rsidRDefault="00F27051" w:rsidP="00622E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81B8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B62" w:rsidRP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Токсоплазмоз</w:t>
      </w:r>
    </w:p>
    <w:p w:rsidR="0041306C" w:rsidRDefault="0041306C" w:rsidP="0041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Возбудителем этого заболевания </w:t>
      </w:r>
      <w:r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игатный внутриклеточный паразит </w:t>
      </w:r>
      <w:r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Toxoplasma gondii. </w:t>
      </w:r>
      <w:r w:rsidR="001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для токсоплазмоза показана возможность поражения различных органов, у ВИЧ-инфицированных пациентов наиболее часто отмечаются поражения ЦНС. Помимо ЦНС, </w:t>
      </w:r>
      <w:r w:rsid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поражаемыми органами являются: глаза с развитием хориоретинита, сердце, лёгкие (может протекать как ассимптомно, так и с быстро прогрессирующей дыхательной недостаточностью)</w:t>
      </w:r>
      <w:r w:rsidR="00565DBB" w:rsidRPr="001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170B5" w:rsidRP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1C63B7" w:rsidRPr="005E10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C2B" w:rsidRDefault="00172C2B" w:rsidP="00172C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широкое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спространение </w:t>
      </w:r>
      <w:r w:rsid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последних 15 лет,</w:t>
      </w:r>
      <w:r w:rsid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больных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токсоплазменным энцефалитом су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 не измени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 хотя показатели выживаемо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стали выше</w:t>
      </w:r>
      <w:r w:rsid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литературы в эру ВААР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83% пациентов с 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соплазменным энцефалитом не по</w:t>
      </w:r>
      <w:r w:rsidR="00622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лучают ВААР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манифестации токсоплазмоза 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17% получают ее неадекватно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95D" w:rsidRPr="0041306C" w:rsidRDefault="00A1695D" w:rsidP="00172C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токсоплазмоза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</w:t>
      </w:r>
      <w:r w:rsidR="00E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результатах серо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и ПЦР-исследования. Вместе с тем, очаговые некротические токсоплазменные энцефалиты имеют характерные как макро- , так и микроскопические черты, позволяющие их надежную морфологическую идентификацию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[24,37,41]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B62" w:rsidRDefault="00F27051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781B8A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Прогрессирующая мультифокальная лейкоэнцефалопатия (ПМЛ)</w:t>
      </w:r>
    </w:p>
    <w:p w:rsidR="008E33B7" w:rsidRDefault="00712A4C" w:rsidP="00712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ПМЛ – это тяжелое демиелинизирующее заболевание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ентральной нервной системы. Оно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JC-вирусом (JCV), который представляет собой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лиомавирус простого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распространенный по всему миру. JCV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 свое название по инициалам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 John Cunningham, из организма которого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1971 году был выделен этот ДНК-</w:t>
      </w:r>
      <w:r w:rsidR="00C4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вирус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Ввиду высокой распространенности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серопозитивности частота латентной персисти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рующей инфекции достигает 80 %.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резервуарами являются почки и кости.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клеточного иммунного ответа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реактивации JCV и манифестации заболевани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C4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ряда авторов, показано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JCV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лейкоцитами достигает ЦНС, преимущественно 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игодендроцитов, поражая клетки,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образующие миелиновую оболочку. Макроскопически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выглядит как мультифокальная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демиелинизация. При этом поражается преимущ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 белое вещество больших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полушарий мозга, а также мозж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ечок и частично серое вещество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A4C" w:rsidRDefault="008E33B7" w:rsidP="00712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Тяжёлый иммунодефицит не является обязательным условием для развития ПМЛ, однако в большей части случаев на момент манифестации уровень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составляет 100 кл/мкл и меньше.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внедрения в 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прогноз заболева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был крайне неблагоприятным: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промежуток времени от появления первых симптомов до 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составлял 3-6 месяцев. В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большинстве случаев в течение нескольких недель 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смерти пациенты находились в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лежачем состоянии,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приводило к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сложнения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заболевания. На фоне 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течение заболевания приобрело в значительной мере замедленный,</w:t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712A4C"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диентный характер, даже с возможностью полной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(но это не является типичным исходом)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0B5" w:rsidRPr="004170B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B7" w:rsidRDefault="00A74F41" w:rsidP="00712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же, как и для других оппортунистических заболеваний при ВИЧ-инфекции, возможны случаи сочетанного поражения головного мозга </w:t>
      </w:r>
      <w:r w:rsidRP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JCV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инфекциями. Вследствие этого исключительную важность для постановки диагноза имеют гистологическое исследование и ПЦР для идентификации возможных возбудителей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2A" w:rsidRDefault="00D95C41" w:rsidP="00712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вторичные инфекции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развивающихся </w:t>
      </w:r>
      <w:r w:rsidR="0072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ВИЧ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в Северо-Западном федеральном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редко </w:t>
      </w:r>
      <w:r w:rsidR="00C416E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(кокцидиомикоз, гистоплазмоз, аспергиллёз)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[15,16,27]</w:t>
      </w:r>
      <w:r w:rsidR="00726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некоторых других инфекций</w:t>
      </w:r>
      <w:r w:rsidR="0072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чья роль в танатогенезе </w:t>
      </w:r>
      <w:r w:rsid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ВИЧ-инфекции </w:t>
      </w:r>
      <w:r w:rsidR="0072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конца изучена</w:t>
      </w:r>
      <w:r w:rsidR="00C41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не проводится (хламидиоз, микоплазмоз)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[38]</w:t>
      </w:r>
      <w:r w:rsidR="00C4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B8A" w:rsidRP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B8A" w:rsidRDefault="00F27051" w:rsidP="00712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81B8A">
        <w:rPr>
          <w:rFonts w:ascii="Times New Roman" w:eastAsia="Times New Roman" w:hAnsi="Times New Roman" w:cs="Times New Roman"/>
          <w:sz w:val="28"/>
          <w:szCs w:val="28"/>
          <w:lang w:eastAsia="ru-RU"/>
        </w:rPr>
        <w:t>.8. Хронические вирусные гепатиты</w:t>
      </w:r>
    </w:p>
    <w:p w:rsidR="00E866AE" w:rsidRDefault="00B612D3" w:rsidP="00B612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ВОЗ, в 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в мире насчиты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около 350–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миллионов человек – носите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вирусного гепат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В и более 170 миллио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– вирусного геп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атита С</w:t>
      </w:r>
      <w:r w:rsidR="00D9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Общность 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путей 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ажения вирусными гепатитами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ВИЧ-инфекцией 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08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вероятности сочетания </w:t>
      </w:r>
      <w:r w:rsidRPr="00B612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инфекций у паци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д</w:t>
      </w:r>
      <w:r w:rsidR="004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потребителей инъекционных наркотиков 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частота распространённости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ВИЧ-инфекции и вирусного гепатита С – до 70-75%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[4,32]</w:t>
      </w:r>
      <w:r w:rsidR="00D5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важно отметить и широкую распространённость алкоголизма среди 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группы больных</w:t>
      </w:r>
      <w:r w:rsidR="00A7746C" w:rsidRP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[22,27,44]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Поражение печени может быть обусловлено </w:t>
      </w:r>
      <w:r w:rsidR="00A7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 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оппортунистических инфекций и опухолевых заболеваний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[7,22,33]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поражение печени у ВИЧ-инфицированных пациентов </w:t>
      </w:r>
      <w:r w:rsidR="00EF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обусловлено действием одновременно нескольких биологических и токсических факторов, каждый из которых может при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к фатальным последствиям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[32,44]</w:t>
      </w:r>
      <w:r w:rsidR="00C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механизмы взаимодействия и особенности сочетанного поражения не до конца изучены.  </w:t>
      </w:r>
      <w:r w:rsidR="00EF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3B8" w:rsidRDefault="00956852" w:rsidP="009568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влияние ВИЧ-инфекции на течение 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вирусного гепатита С 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(ХВГ 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неоднозначно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 от степени иммуносупрессии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зарубежных исследователей для пациентов с сочетанной инфекцией характерны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выраженная гистологическая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степень фиброза печени по сравнению с боль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ХВГ С без В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ИЧ-инфекции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[4,32]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низкую активность ХВГ С у </w:t>
      </w:r>
      <w:r w:rsidRPr="00956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наркозависимых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[32,33]</w:t>
      </w:r>
      <w:r w:rsidR="00323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и то, что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 на большую распространённость вирусных гепатитов среди пациентов в стадии СПИД, в относительно малом числе случаев (11%) летальный исход был следствием обострением </w:t>
      </w:r>
      <w:r w:rsid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ХВГ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[33]</w:t>
      </w:r>
      <w:r w:rsid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B62" w:rsidRDefault="00F27051" w:rsidP="006135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81B8A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9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</w:p>
    <w:p w:rsidR="00B054CA" w:rsidRDefault="004A58C7" w:rsidP="004A58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ассоциированные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 — гетерогенная группа лимфоидных опухолей, различающихся гистологическим строением, первичной локализацией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[25]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Подавляющее большинство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составляют В-клеточные </w:t>
      </w:r>
      <w:r w:rsidR="00D95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[2,25]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ВИЧ напрямую не участвует в опухолевой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 лимфоидных клеток. Нуклеотидные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довательности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 не обнаружены в составе генома клеток лимфом. Среди патогенетических 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лимфом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СПИДе наиболее существенными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хроническая антигенная стимуляция,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r w:rsidR="00C4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цитокиновой регуляции и герпетическая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Эпштейн-Барр, вирус герпеса 8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Риск развития лимфом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ВИЧ-инфицированных пациентов увеличивается по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лимфоцитов CD4+ в крови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ВИЧ-лимфомы в большинстве случаев локализуются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экстранодально: в органах ЖКТ, в ЦНС (особенно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широкого внедрения ВAAРT), в печени и костном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мозге. Первичная локализация в лимфатических узлах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примерно у 1/3 больных. Среди специфических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ВИЧ-лимфом указывают на первичную локализацию в серозных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полостях и ротовой полости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авторов,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ВИЧ-лимфом от начала эпидемии ВИЧ-инфекции увеличилась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100 раз у ВИЧ-инфицированных лиц в сравне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общей популяцией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по частоте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ВИЧ-лимфомы являются второй опухолью в мире, составляют 3 % больных с ВИЧ/СПИДом в США и до 6 %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Европе. При сопоставлении данных регистров СПИДа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рака в некоторых районах США показано 165-кратное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риска развития лимфом в течение 3 лет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диагноза СПИДа по сравнению с обычной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популяцией</w:t>
      </w:r>
      <w:r w:rsidR="00565DBB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0E5" w:rsidRPr="0056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C7B" w:rsidRPr="007B3C7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940E5" w:rsidRPr="007940E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8C7" w:rsidRDefault="00B054CA" w:rsidP="004A58C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частоте </w:t>
      </w:r>
      <w:r w:rsidRPr="00B054CA">
        <w:rPr>
          <w:rFonts w:cstheme="minorHAnsi"/>
          <w:sz w:val="28"/>
          <w:szCs w:val="28"/>
        </w:rPr>
        <w:t>иммуноморфологич</w:t>
      </w:r>
      <w:r w:rsidR="00C412D7">
        <w:rPr>
          <w:rFonts w:cstheme="minorHAnsi"/>
          <w:sz w:val="28"/>
          <w:szCs w:val="28"/>
        </w:rPr>
        <w:t xml:space="preserve">еских вариантов ВИЧ-лимфом </w:t>
      </w:r>
      <w:r>
        <w:rPr>
          <w:rFonts w:cstheme="minorHAnsi"/>
          <w:sz w:val="28"/>
          <w:szCs w:val="28"/>
        </w:rPr>
        <w:t xml:space="preserve">распределение оказалось следующим: лимфома Беркитта, диффузная В-клеточная лимфома, первичная лимфома ЦНС, </w:t>
      </w:r>
      <w:r w:rsidRPr="00B054CA">
        <w:rPr>
          <w:rFonts w:cstheme="minorHAnsi"/>
          <w:sz w:val="28"/>
          <w:szCs w:val="28"/>
        </w:rPr>
        <w:t>первичная лимфома</w:t>
      </w:r>
      <w:r>
        <w:rPr>
          <w:rFonts w:cstheme="minorHAnsi"/>
          <w:sz w:val="28"/>
          <w:szCs w:val="28"/>
        </w:rPr>
        <w:t xml:space="preserve"> полостей, плазмобластная лимфома</w:t>
      </w:r>
      <w:r w:rsidRPr="00B054CA">
        <w:rPr>
          <w:rFonts w:cstheme="minorHAnsi"/>
          <w:sz w:val="28"/>
          <w:szCs w:val="28"/>
        </w:rPr>
        <w:t xml:space="preserve"> полости</w:t>
      </w:r>
      <w:r w:rsidR="007940E5">
        <w:rPr>
          <w:rFonts w:cstheme="minorHAnsi"/>
          <w:sz w:val="28"/>
          <w:szCs w:val="28"/>
        </w:rPr>
        <w:t xml:space="preserve"> рта, Т</w:t>
      </w:r>
      <w:r w:rsidR="007940E5" w:rsidRPr="007940E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клеточные лимфомы, лим</w:t>
      </w:r>
      <w:r w:rsidRPr="00B054CA">
        <w:rPr>
          <w:rFonts w:cstheme="minorHAnsi"/>
          <w:sz w:val="28"/>
          <w:szCs w:val="28"/>
        </w:rPr>
        <w:t>фома Ходжкина</w:t>
      </w:r>
      <w:r w:rsidR="007B3C7B">
        <w:rPr>
          <w:rFonts w:cstheme="minorHAnsi"/>
          <w:sz w:val="28"/>
          <w:szCs w:val="28"/>
        </w:rPr>
        <w:t xml:space="preserve"> [2</w:t>
      </w:r>
      <w:r w:rsidR="007B3C7B" w:rsidRPr="007B3C7B">
        <w:rPr>
          <w:rFonts w:cstheme="minorHAnsi"/>
          <w:sz w:val="28"/>
          <w:szCs w:val="28"/>
        </w:rPr>
        <w:t>5]</w:t>
      </w:r>
      <w:r w:rsidRPr="00B054CA">
        <w:rPr>
          <w:rFonts w:cstheme="minorHAnsi"/>
          <w:sz w:val="28"/>
          <w:szCs w:val="28"/>
        </w:rPr>
        <w:t>.</w:t>
      </w:r>
    </w:p>
    <w:p w:rsidR="00781B8A" w:rsidRDefault="00781B8A" w:rsidP="00781B8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Точная диагностика лимфом базируется на прижизненных или посмертных морфологических исследованиях, с использованием панели сывороток для иммуногистохимического исследования</w:t>
      </w:r>
      <w:r w:rsidR="00E63806" w:rsidRPr="00E63806">
        <w:rPr>
          <w:rFonts w:cstheme="minorHAnsi"/>
          <w:sz w:val="28"/>
          <w:szCs w:val="28"/>
        </w:rPr>
        <w:t xml:space="preserve"> [2,25]</w:t>
      </w:r>
      <w:r>
        <w:rPr>
          <w:rFonts w:cstheme="minorHAnsi"/>
          <w:sz w:val="28"/>
          <w:szCs w:val="28"/>
        </w:rPr>
        <w:t>.</w:t>
      </w:r>
    </w:p>
    <w:p w:rsidR="00781B8A" w:rsidRDefault="00F27051" w:rsidP="004A58C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1.6</w:t>
      </w:r>
      <w:r w:rsidR="00781B8A">
        <w:rPr>
          <w:rFonts w:cstheme="minorHAnsi"/>
          <w:sz w:val="28"/>
          <w:szCs w:val="28"/>
        </w:rPr>
        <w:t>.10. Саркома Капоши</w:t>
      </w:r>
    </w:p>
    <w:p w:rsidR="003A07D1" w:rsidRDefault="003A07D1" w:rsidP="003A07D1">
      <w:pPr>
        <w:spacing w:line="360" w:lineRule="auto"/>
        <w:jc w:val="both"/>
        <w:rPr>
          <w:rFonts w:cstheme="minorHAnsi"/>
          <w:sz w:val="28"/>
          <w:szCs w:val="28"/>
        </w:rPr>
      </w:pPr>
      <w:r w:rsidRPr="003A07D1">
        <w:rPr>
          <w:rFonts w:cstheme="minorHAnsi"/>
          <w:sz w:val="28"/>
          <w:szCs w:val="28"/>
        </w:rPr>
        <w:t xml:space="preserve">Саркома Капоши (СК) – это </w:t>
      </w:r>
      <w:r w:rsidR="00450C88">
        <w:rPr>
          <w:rFonts w:cstheme="minorHAnsi"/>
          <w:sz w:val="28"/>
          <w:szCs w:val="28"/>
        </w:rPr>
        <w:t xml:space="preserve">одно из </w:t>
      </w:r>
      <w:r w:rsidRPr="003A07D1">
        <w:rPr>
          <w:rFonts w:cstheme="minorHAnsi"/>
          <w:sz w:val="28"/>
          <w:szCs w:val="28"/>
        </w:rPr>
        <w:t>наиболее част</w:t>
      </w:r>
      <w:r w:rsidR="00450C88">
        <w:rPr>
          <w:rFonts w:cstheme="minorHAnsi"/>
          <w:sz w:val="28"/>
          <w:szCs w:val="28"/>
        </w:rPr>
        <w:t>о встречаемых СПИД-индикаторных</w:t>
      </w:r>
      <w:r>
        <w:rPr>
          <w:rFonts w:cstheme="minorHAnsi"/>
          <w:sz w:val="28"/>
          <w:szCs w:val="28"/>
        </w:rPr>
        <w:t xml:space="preserve"> </w:t>
      </w:r>
      <w:r w:rsidR="00450C88">
        <w:rPr>
          <w:rFonts w:cstheme="minorHAnsi"/>
          <w:sz w:val="28"/>
          <w:szCs w:val="28"/>
        </w:rPr>
        <w:t>злокачественных новообразований</w:t>
      </w:r>
      <w:r w:rsidR="00E63806" w:rsidRPr="00E63806">
        <w:rPr>
          <w:rFonts w:cstheme="minorHAnsi"/>
          <w:sz w:val="28"/>
          <w:szCs w:val="28"/>
        </w:rPr>
        <w:t xml:space="preserve"> [4]</w:t>
      </w:r>
      <w:r w:rsidRPr="003A07D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«Классическая» </w:t>
      </w:r>
      <w:r w:rsidR="00E866AE">
        <w:rPr>
          <w:rFonts w:cstheme="minorHAnsi"/>
          <w:sz w:val="28"/>
          <w:szCs w:val="28"/>
        </w:rPr>
        <w:t>форма саркомы Капоши</w:t>
      </w:r>
      <w:r w:rsidRPr="003A07D1">
        <w:rPr>
          <w:rFonts w:cstheme="minorHAnsi"/>
          <w:sz w:val="28"/>
          <w:szCs w:val="28"/>
        </w:rPr>
        <w:t xml:space="preserve"> характеризуется относительно доброкачест</w:t>
      </w:r>
      <w:r>
        <w:rPr>
          <w:rFonts w:cstheme="minorHAnsi"/>
          <w:sz w:val="28"/>
          <w:szCs w:val="28"/>
        </w:rPr>
        <w:t xml:space="preserve">венным течением, часто поражает </w:t>
      </w:r>
      <w:r w:rsidRPr="003A07D1">
        <w:rPr>
          <w:rFonts w:cstheme="minorHAnsi"/>
          <w:sz w:val="28"/>
          <w:szCs w:val="28"/>
        </w:rPr>
        <w:t xml:space="preserve">только кожу нижних конечностей и четко отличается </w:t>
      </w:r>
      <w:r>
        <w:rPr>
          <w:rFonts w:cstheme="minorHAnsi"/>
          <w:sz w:val="28"/>
          <w:szCs w:val="28"/>
        </w:rPr>
        <w:t>в клиническом отношении от ВИЧ-</w:t>
      </w:r>
      <w:r w:rsidR="00E866AE">
        <w:rPr>
          <w:rFonts w:cstheme="minorHAnsi"/>
          <w:sz w:val="28"/>
          <w:szCs w:val="28"/>
        </w:rPr>
        <w:t>ассоциированной саркома Капоши.</w:t>
      </w:r>
      <w:r>
        <w:rPr>
          <w:rFonts w:cstheme="minorHAnsi"/>
          <w:sz w:val="28"/>
          <w:szCs w:val="28"/>
        </w:rPr>
        <w:t xml:space="preserve"> </w:t>
      </w:r>
      <w:r w:rsidR="00E866AE">
        <w:rPr>
          <w:rFonts w:cstheme="minorHAnsi"/>
          <w:sz w:val="28"/>
          <w:szCs w:val="28"/>
        </w:rPr>
        <w:t xml:space="preserve">Для неё характерно поражение преимущественно кожи </w:t>
      </w:r>
      <w:r w:rsidR="00450C88">
        <w:rPr>
          <w:rFonts w:cstheme="minorHAnsi"/>
          <w:sz w:val="28"/>
          <w:szCs w:val="28"/>
        </w:rPr>
        <w:t xml:space="preserve">верхних конечностей </w:t>
      </w:r>
      <w:r w:rsidR="00E866AE">
        <w:rPr>
          <w:rFonts w:cstheme="minorHAnsi"/>
          <w:sz w:val="28"/>
          <w:szCs w:val="28"/>
        </w:rPr>
        <w:t>и слизистых оболочек</w:t>
      </w:r>
      <w:r w:rsidR="00E63806" w:rsidRPr="00E63806">
        <w:rPr>
          <w:rFonts w:cstheme="minorHAnsi"/>
          <w:sz w:val="28"/>
          <w:szCs w:val="28"/>
        </w:rPr>
        <w:t xml:space="preserve"> [4,20]</w:t>
      </w:r>
      <w:r w:rsidR="00450C88">
        <w:rPr>
          <w:rFonts w:cstheme="minorHAnsi"/>
          <w:sz w:val="28"/>
          <w:szCs w:val="28"/>
        </w:rPr>
        <w:t>. Также</w:t>
      </w:r>
      <w:r w:rsidRPr="003A07D1">
        <w:rPr>
          <w:rFonts w:cstheme="minorHAnsi"/>
          <w:sz w:val="28"/>
          <w:szCs w:val="28"/>
        </w:rPr>
        <w:t>, в патологический процесс часто вовлека</w:t>
      </w:r>
      <w:r w:rsidR="00450C88">
        <w:rPr>
          <w:rFonts w:cstheme="minorHAnsi"/>
          <w:sz w:val="28"/>
          <w:szCs w:val="28"/>
        </w:rPr>
        <w:t>ются</w:t>
      </w:r>
      <w:r>
        <w:rPr>
          <w:rFonts w:cstheme="minorHAnsi"/>
          <w:sz w:val="28"/>
          <w:szCs w:val="28"/>
        </w:rPr>
        <w:t xml:space="preserve"> лимфатические узлы и </w:t>
      </w:r>
      <w:r w:rsidRPr="003A07D1">
        <w:rPr>
          <w:rFonts w:cstheme="minorHAnsi"/>
          <w:sz w:val="28"/>
          <w:szCs w:val="28"/>
        </w:rPr>
        <w:t>внутренние органы, к примеру, органы ЖКТ, л</w:t>
      </w:r>
      <w:r>
        <w:rPr>
          <w:rFonts w:cstheme="minorHAnsi"/>
          <w:sz w:val="28"/>
          <w:szCs w:val="28"/>
        </w:rPr>
        <w:t xml:space="preserve">егкие и печень. Лимфатическое и </w:t>
      </w:r>
      <w:r w:rsidR="00450C88">
        <w:rPr>
          <w:rFonts w:cstheme="minorHAnsi"/>
          <w:sz w:val="28"/>
          <w:szCs w:val="28"/>
        </w:rPr>
        <w:t xml:space="preserve">висцеральное поражение может быть </w:t>
      </w:r>
      <w:r w:rsidRPr="003A07D1">
        <w:rPr>
          <w:rFonts w:cstheme="minorHAnsi"/>
          <w:sz w:val="28"/>
          <w:szCs w:val="28"/>
        </w:rPr>
        <w:t>изолированным, б</w:t>
      </w:r>
      <w:r>
        <w:rPr>
          <w:rFonts w:cstheme="minorHAnsi"/>
          <w:sz w:val="28"/>
          <w:szCs w:val="28"/>
        </w:rPr>
        <w:t xml:space="preserve">ез первичного кожного процесса. </w:t>
      </w:r>
      <w:r w:rsidR="00E866AE">
        <w:rPr>
          <w:rFonts w:cstheme="minorHAnsi"/>
          <w:sz w:val="28"/>
          <w:szCs w:val="28"/>
        </w:rPr>
        <w:t xml:space="preserve">Течение заболевания </w:t>
      </w:r>
      <w:r w:rsidRPr="003A07D1">
        <w:rPr>
          <w:rFonts w:cstheme="minorHAnsi"/>
          <w:sz w:val="28"/>
          <w:szCs w:val="28"/>
        </w:rPr>
        <w:t xml:space="preserve">крайне </w:t>
      </w:r>
      <w:r w:rsidRPr="003A07D1">
        <w:rPr>
          <w:rFonts w:cstheme="minorHAnsi"/>
          <w:sz w:val="28"/>
          <w:szCs w:val="28"/>
        </w:rPr>
        <w:lastRenderedPageBreak/>
        <w:t>вариабельно, данное заболевание м</w:t>
      </w:r>
      <w:r>
        <w:rPr>
          <w:rFonts w:cstheme="minorHAnsi"/>
          <w:sz w:val="28"/>
          <w:szCs w:val="28"/>
        </w:rPr>
        <w:t xml:space="preserve">ожет проявляться как единичными </w:t>
      </w:r>
      <w:r w:rsidRPr="003A07D1">
        <w:rPr>
          <w:rFonts w:cstheme="minorHAnsi"/>
          <w:sz w:val="28"/>
          <w:szCs w:val="28"/>
        </w:rPr>
        <w:t>поражениями, сохраняющими стабильность на п</w:t>
      </w:r>
      <w:r>
        <w:rPr>
          <w:rFonts w:cstheme="minorHAnsi"/>
          <w:sz w:val="28"/>
          <w:szCs w:val="28"/>
        </w:rPr>
        <w:t xml:space="preserve">ротяжении нескольких лет, так и </w:t>
      </w:r>
      <w:r w:rsidRPr="003A07D1">
        <w:rPr>
          <w:rFonts w:cstheme="minorHAnsi"/>
          <w:sz w:val="28"/>
          <w:szCs w:val="28"/>
        </w:rPr>
        <w:t>исключительно агрессивным патологическим проце</w:t>
      </w:r>
      <w:r>
        <w:rPr>
          <w:rFonts w:cstheme="minorHAnsi"/>
          <w:sz w:val="28"/>
          <w:szCs w:val="28"/>
        </w:rPr>
        <w:t xml:space="preserve">ссом, который приводит к смерти </w:t>
      </w:r>
      <w:r w:rsidRPr="003A07D1">
        <w:rPr>
          <w:rFonts w:cstheme="minorHAnsi"/>
          <w:sz w:val="28"/>
          <w:szCs w:val="28"/>
        </w:rPr>
        <w:t>пациента в течение нескольких недель.</w:t>
      </w:r>
      <w:r w:rsidR="00450C88">
        <w:rPr>
          <w:rFonts w:cstheme="minorHAnsi"/>
          <w:sz w:val="28"/>
          <w:szCs w:val="28"/>
        </w:rPr>
        <w:t xml:space="preserve"> На фоне ВААРТ заболевание чаще всего протекает в лёгкой форме</w:t>
      </w:r>
      <w:r w:rsidRPr="003A07D1">
        <w:rPr>
          <w:rFonts w:cstheme="minorHAnsi"/>
          <w:sz w:val="28"/>
          <w:szCs w:val="28"/>
        </w:rPr>
        <w:t>; ранее часто</w:t>
      </w:r>
      <w:r>
        <w:rPr>
          <w:rFonts w:cstheme="minorHAnsi"/>
          <w:sz w:val="28"/>
          <w:szCs w:val="28"/>
        </w:rPr>
        <w:t xml:space="preserve"> </w:t>
      </w:r>
      <w:r w:rsidRPr="003A07D1">
        <w:rPr>
          <w:rFonts w:cstheme="minorHAnsi"/>
          <w:sz w:val="28"/>
          <w:szCs w:val="28"/>
        </w:rPr>
        <w:t xml:space="preserve">наблюдаемое тяжелое, молниеносное течение с </w:t>
      </w:r>
      <w:r>
        <w:rPr>
          <w:rFonts w:cstheme="minorHAnsi"/>
          <w:sz w:val="28"/>
          <w:szCs w:val="28"/>
        </w:rPr>
        <w:t xml:space="preserve">летальным исходом сегодня стало </w:t>
      </w:r>
      <w:r w:rsidRPr="003A07D1">
        <w:rPr>
          <w:rFonts w:cstheme="minorHAnsi"/>
          <w:sz w:val="28"/>
          <w:szCs w:val="28"/>
        </w:rPr>
        <w:t>редкостью.</w:t>
      </w:r>
    </w:p>
    <w:p w:rsidR="00450C88" w:rsidRDefault="00450C88" w:rsidP="003A07D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Диагностика основывается на клинико-анамнестических данных и результатах гистологического исследования</w:t>
      </w:r>
      <w:r w:rsidR="00E63806" w:rsidRPr="00E63806">
        <w:rPr>
          <w:rFonts w:cstheme="minorHAnsi"/>
          <w:sz w:val="28"/>
          <w:szCs w:val="28"/>
        </w:rPr>
        <w:t xml:space="preserve"> [2,20,50]</w:t>
      </w:r>
      <w:r>
        <w:rPr>
          <w:rFonts w:cstheme="minorHAnsi"/>
          <w:sz w:val="28"/>
          <w:szCs w:val="28"/>
        </w:rPr>
        <w:t xml:space="preserve">. </w:t>
      </w:r>
    </w:p>
    <w:p w:rsidR="004F3723" w:rsidRDefault="00B51F13" w:rsidP="004A58C7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целом, д</w:t>
      </w:r>
      <w:r w:rsidR="00D961BE" w:rsidRPr="00D961BE">
        <w:rPr>
          <w:rFonts w:cstheme="minorHAnsi"/>
          <w:sz w:val="28"/>
          <w:szCs w:val="28"/>
        </w:rPr>
        <w:t>ля ВИЧ-инфицированных пациентов характерно повы</w:t>
      </w:r>
      <w:r w:rsidR="00D961BE">
        <w:rPr>
          <w:rFonts w:cstheme="minorHAnsi"/>
          <w:sz w:val="28"/>
          <w:szCs w:val="28"/>
        </w:rPr>
        <w:t xml:space="preserve">шение риска развития опухолевых </w:t>
      </w:r>
      <w:r>
        <w:rPr>
          <w:rFonts w:cstheme="minorHAnsi"/>
          <w:sz w:val="28"/>
          <w:szCs w:val="28"/>
        </w:rPr>
        <w:t>заболеваний, как СПИД-индикаторных (неходжкинские лимфомы, саркома Капоши, рак шейки матки), так и не связанных со СПИДом</w:t>
      </w:r>
      <w:r w:rsidR="00E63806" w:rsidRPr="00E63806">
        <w:rPr>
          <w:rFonts w:cstheme="minorHAnsi"/>
          <w:sz w:val="28"/>
          <w:szCs w:val="28"/>
        </w:rPr>
        <w:t xml:space="preserve"> [4,50]</w:t>
      </w:r>
      <w:r>
        <w:rPr>
          <w:rFonts w:cstheme="minorHAnsi"/>
          <w:sz w:val="28"/>
          <w:szCs w:val="28"/>
        </w:rPr>
        <w:t xml:space="preserve">. </w:t>
      </w:r>
      <w:r w:rsidR="00D961BE" w:rsidRPr="00D961BE">
        <w:rPr>
          <w:rFonts w:cstheme="minorHAnsi"/>
          <w:sz w:val="28"/>
          <w:szCs w:val="28"/>
        </w:rPr>
        <w:t>Для некоторых заболеваний, таких как болезнь Ходжкина и анальная карцинома, повышени</w:t>
      </w:r>
      <w:r w:rsidR="00D961BE">
        <w:rPr>
          <w:rFonts w:cstheme="minorHAnsi"/>
          <w:sz w:val="28"/>
          <w:szCs w:val="28"/>
        </w:rPr>
        <w:t xml:space="preserve">е риска в связи с ВИЧ-инфекцией </w:t>
      </w:r>
      <w:r w:rsidR="00D961BE" w:rsidRPr="00D961BE">
        <w:rPr>
          <w:rFonts w:cstheme="minorHAnsi"/>
          <w:sz w:val="28"/>
          <w:szCs w:val="28"/>
        </w:rPr>
        <w:t>настолько очевидно, что некоторые ученые тр</w:t>
      </w:r>
      <w:r w:rsidR="00D961BE">
        <w:rPr>
          <w:rFonts w:cstheme="minorHAnsi"/>
          <w:sz w:val="28"/>
          <w:szCs w:val="28"/>
        </w:rPr>
        <w:t xml:space="preserve">ебуют отнести эти заболевания к </w:t>
      </w:r>
      <w:r w:rsidR="00D961BE" w:rsidRPr="00D961BE">
        <w:rPr>
          <w:rFonts w:cstheme="minorHAnsi"/>
          <w:sz w:val="28"/>
          <w:szCs w:val="28"/>
        </w:rPr>
        <w:t xml:space="preserve">СПИД-индикаторным. </w:t>
      </w:r>
      <w:r>
        <w:rPr>
          <w:rFonts w:cstheme="minorHAnsi"/>
          <w:sz w:val="28"/>
          <w:szCs w:val="28"/>
        </w:rPr>
        <w:t>В то же время, для иных злокачественных опухолей не показано существенных изменений в частоте встречаемости</w:t>
      </w:r>
      <w:r w:rsidR="00B845A8">
        <w:rPr>
          <w:rFonts w:cstheme="minorHAnsi"/>
          <w:sz w:val="28"/>
          <w:szCs w:val="28"/>
        </w:rPr>
        <w:t xml:space="preserve"> (рак молочной железы).</w:t>
      </w:r>
    </w:p>
    <w:p w:rsidR="004216E7" w:rsidRPr="004F3723" w:rsidRDefault="004F3723" w:rsidP="004F3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C7884" w:rsidRPr="00781B8A" w:rsidRDefault="00AC7884" w:rsidP="004A58C7">
      <w:pPr>
        <w:spacing w:line="360" w:lineRule="auto"/>
        <w:jc w:val="center"/>
        <w:rPr>
          <w:b/>
          <w:sz w:val="32"/>
          <w:szCs w:val="32"/>
        </w:rPr>
      </w:pPr>
      <w:r w:rsidRPr="00781B8A">
        <w:rPr>
          <w:b/>
          <w:sz w:val="32"/>
          <w:szCs w:val="32"/>
        </w:rPr>
        <w:lastRenderedPageBreak/>
        <w:t>Глава 2</w:t>
      </w:r>
      <w:r w:rsidR="00781B8A">
        <w:rPr>
          <w:b/>
          <w:sz w:val="32"/>
          <w:szCs w:val="32"/>
        </w:rPr>
        <w:t>. Материалы и методы</w:t>
      </w:r>
    </w:p>
    <w:p w:rsidR="00781B8A" w:rsidRDefault="0022262A" w:rsidP="00AB78E9">
      <w:pPr>
        <w:spacing w:line="360" w:lineRule="auto"/>
        <w:jc w:val="both"/>
        <w:rPr>
          <w:sz w:val="28"/>
          <w:szCs w:val="28"/>
        </w:rPr>
      </w:pPr>
      <w:r w:rsidRPr="00781B8A">
        <w:rPr>
          <w:b/>
          <w:i/>
          <w:sz w:val="28"/>
          <w:szCs w:val="28"/>
        </w:rPr>
        <w:t xml:space="preserve">Сбор </w:t>
      </w:r>
      <w:r w:rsidR="00427868" w:rsidRPr="00781B8A">
        <w:rPr>
          <w:b/>
          <w:i/>
          <w:sz w:val="28"/>
          <w:szCs w:val="28"/>
        </w:rPr>
        <w:t xml:space="preserve">исходных </w:t>
      </w:r>
      <w:r w:rsidRPr="00781B8A">
        <w:rPr>
          <w:b/>
          <w:i/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="00427868">
        <w:rPr>
          <w:sz w:val="28"/>
          <w:szCs w:val="28"/>
        </w:rPr>
        <w:t>В ходе данной работы использовались данные протоколов</w:t>
      </w:r>
      <w:r w:rsidR="00FD39E3">
        <w:rPr>
          <w:sz w:val="28"/>
          <w:szCs w:val="28"/>
        </w:rPr>
        <w:t xml:space="preserve"> патологоанатомических вскрытий</w:t>
      </w:r>
      <w:r w:rsidR="00427868">
        <w:rPr>
          <w:sz w:val="28"/>
          <w:szCs w:val="28"/>
        </w:rPr>
        <w:t xml:space="preserve"> </w:t>
      </w:r>
      <w:r w:rsidR="00AB3B0A">
        <w:rPr>
          <w:sz w:val="28"/>
          <w:szCs w:val="28"/>
        </w:rPr>
        <w:t xml:space="preserve">следующих </w:t>
      </w:r>
      <w:r w:rsidR="00FD39E3">
        <w:rPr>
          <w:sz w:val="28"/>
          <w:szCs w:val="28"/>
        </w:rPr>
        <w:t>годов</w:t>
      </w:r>
      <w:r w:rsidR="006A29DA">
        <w:rPr>
          <w:sz w:val="28"/>
          <w:szCs w:val="28"/>
        </w:rPr>
        <w:t>: 1996 (10</w:t>
      </w:r>
      <w:r w:rsidR="00FD39E3">
        <w:rPr>
          <w:sz w:val="28"/>
          <w:szCs w:val="28"/>
        </w:rPr>
        <w:t xml:space="preserve"> из 363 протоколов</w:t>
      </w:r>
      <w:r w:rsidR="006A29DA">
        <w:rPr>
          <w:sz w:val="28"/>
          <w:szCs w:val="28"/>
        </w:rPr>
        <w:t>), 1997 (12</w:t>
      </w:r>
      <w:r w:rsidR="00FD39E3">
        <w:rPr>
          <w:sz w:val="28"/>
          <w:szCs w:val="28"/>
        </w:rPr>
        <w:t xml:space="preserve"> из 350 протоколов</w:t>
      </w:r>
      <w:r w:rsidR="006A29DA">
        <w:rPr>
          <w:sz w:val="28"/>
          <w:szCs w:val="28"/>
        </w:rPr>
        <w:t>), 2006 (61 из</w:t>
      </w:r>
      <w:r w:rsidR="00FD39E3">
        <w:rPr>
          <w:sz w:val="28"/>
          <w:szCs w:val="28"/>
        </w:rPr>
        <w:t xml:space="preserve"> 350 протоколов</w:t>
      </w:r>
      <w:r w:rsidR="006A29DA">
        <w:rPr>
          <w:sz w:val="28"/>
          <w:szCs w:val="28"/>
        </w:rPr>
        <w:t>), 2016 (401</w:t>
      </w:r>
      <w:r w:rsidR="00FD39E3">
        <w:rPr>
          <w:sz w:val="28"/>
          <w:szCs w:val="28"/>
        </w:rPr>
        <w:t xml:space="preserve"> из 665 протоколов</w:t>
      </w:r>
      <w:r w:rsidR="00AB3B0A">
        <w:rPr>
          <w:sz w:val="28"/>
          <w:szCs w:val="28"/>
        </w:rPr>
        <w:t>). В виду</w:t>
      </w:r>
      <w:r w:rsidR="00781B8A">
        <w:rPr>
          <w:sz w:val="28"/>
          <w:szCs w:val="28"/>
        </w:rPr>
        <w:t xml:space="preserve"> сравнительно малого количества наблюдений</w:t>
      </w:r>
      <w:r w:rsidR="00AB3B0A">
        <w:rPr>
          <w:sz w:val="28"/>
          <w:szCs w:val="28"/>
        </w:rPr>
        <w:t xml:space="preserve"> в 1996 и 1997 годах и од</w:t>
      </w:r>
      <w:r w:rsidR="0044318D">
        <w:rPr>
          <w:sz w:val="28"/>
          <w:szCs w:val="28"/>
        </w:rPr>
        <w:t>нородности выборки пациентов</w:t>
      </w:r>
      <w:r w:rsidR="00AB3B0A">
        <w:rPr>
          <w:sz w:val="28"/>
          <w:szCs w:val="28"/>
        </w:rPr>
        <w:t xml:space="preserve">, данные </w:t>
      </w:r>
      <w:r w:rsidR="00FD39E3">
        <w:rPr>
          <w:sz w:val="28"/>
          <w:szCs w:val="28"/>
        </w:rPr>
        <w:t xml:space="preserve">протоколов </w:t>
      </w:r>
      <w:r w:rsidR="00F71E37">
        <w:rPr>
          <w:sz w:val="28"/>
          <w:szCs w:val="28"/>
        </w:rPr>
        <w:t xml:space="preserve">этих лет </w:t>
      </w:r>
      <w:r w:rsidR="0044318D">
        <w:rPr>
          <w:sz w:val="28"/>
          <w:szCs w:val="28"/>
        </w:rPr>
        <w:t>были объединены в одну группу</w:t>
      </w:r>
      <w:r w:rsidR="00FD39E3">
        <w:rPr>
          <w:sz w:val="28"/>
          <w:szCs w:val="28"/>
        </w:rPr>
        <w:t xml:space="preserve">. При изучении каждого протокола фиксировались следующие сведения: пол, возраст, </w:t>
      </w:r>
      <w:r w:rsidR="005D00C7">
        <w:rPr>
          <w:sz w:val="28"/>
          <w:szCs w:val="28"/>
        </w:rPr>
        <w:t xml:space="preserve">употребление инъекционных наркотиков, клиническая стадия ВИЧ-инфекции, количество </w:t>
      </w:r>
      <w:r w:rsidR="005D00C7">
        <w:rPr>
          <w:sz w:val="28"/>
          <w:szCs w:val="28"/>
          <w:lang w:val="en-US"/>
        </w:rPr>
        <w:t>CD</w:t>
      </w:r>
      <w:r w:rsidR="005D00C7" w:rsidRPr="005D00C7">
        <w:rPr>
          <w:sz w:val="28"/>
          <w:szCs w:val="28"/>
        </w:rPr>
        <w:t>4+</w:t>
      </w:r>
      <w:r w:rsidR="005D00C7">
        <w:rPr>
          <w:sz w:val="28"/>
          <w:szCs w:val="28"/>
        </w:rPr>
        <w:t xml:space="preserve"> кл/мкл, проведение ВААРТ, диагноз основного заболевания</w:t>
      </w:r>
      <w:r w:rsidR="008D5059">
        <w:rPr>
          <w:sz w:val="28"/>
          <w:szCs w:val="28"/>
        </w:rPr>
        <w:t xml:space="preserve">, </w:t>
      </w:r>
      <w:r w:rsidR="004C2ED6">
        <w:rPr>
          <w:sz w:val="28"/>
          <w:szCs w:val="28"/>
        </w:rPr>
        <w:t xml:space="preserve">вторичные и </w:t>
      </w:r>
      <w:r w:rsidR="008D5059">
        <w:rPr>
          <w:sz w:val="28"/>
          <w:szCs w:val="28"/>
        </w:rPr>
        <w:t>сопутствующие заболевания</w:t>
      </w:r>
      <w:r w:rsidR="00781B8A">
        <w:rPr>
          <w:sz w:val="28"/>
          <w:szCs w:val="28"/>
        </w:rPr>
        <w:t xml:space="preserve">, </w:t>
      </w:r>
      <w:r w:rsidR="006A29DA">
        <w:rPr>
          <w:sz w:val="28"/>
          <w:szCs w:val="28"/>
        </w:rPr>
        <w:t>выявленные</w:t>
      </w:r>
      <w:r w:rsidR="00781B8A">
        <w:rPr>
          <w:sz w:val="28"/>
          <w:szCs w:val="28"/>
        </w:rPr>
        <w:t xml:space="preserve"> макроскопические и микроскопические измене</w:t>
      </w:r>
      <w:r w:rsidR="006A29DA">
        <w:rPr>
          <w:sz w:val="28"/>
          <w:szCs w:val="28"/>
        </w:rPr>
        <w:t xml:space="preserve">ния, прижизненные и посмертные </w:t>
      </w:r>
      <w:r w:rsidR="00781B8A">
        <w:rPr>
          <w:sz w:val="28"/>
          <w:szCs w:val="28"/>
        </w:rPr>
        <w:t>вир</w:t>
      </w:r>
      <w:r w:rsidR="00E866AE">
        <w:rPr>
          <w:sz w:val="28"/>
          <w:szCs w:val="28"/>
        </w:rPr>
        <w:t>усологические и бактериологичес</w:t>
      </w:r>
      <w:r w:rsidR="006A29DA">
        <w:rPr>
          <w:sz w:val="28"/>
          <w:szCs w:val="28"/>
        </w:rPr>
        <w:t xml:space="preserve">кие </w:t>
      </w:r>
      <w:r w:rsidR="00781B8A">
        <w:rPr>
          <w:sz w:val="28"/>
          <w:szCs w:val="28"/>
        </w:rPr>
        <w:t>данные</w:t>
      </w:r>
      <w:r w:rsidR="0044318D">
        <w:rPr>
          <w:sz w:val="28"/>
          <w:szCs w:val="28"/>
        </w:rPr>
        <w:t>.</w:t>
      </w:r>
      <w:r w:rsidR="001F1FA9">
        <w:rPr>
          <w:sz w:val="28"/>
          <w:szCs w:val="28"/>
        </w:rPr>
        <w:t xml:space="preserve"> </w:t>
      </w:r>
    </w:p>
    <w:p w:rsidR="008D5059" w:rsidRDefault="008D5059" w:rsidP="00AB78E9">
      <w:pPr>
        <w:spacing w:line="360" w:lineRule="auto"/>
        <w:jc w:val="both"/>
        <w:rPr>
          <w:sz w:val="28"/>
          <w:szCs w:val="28"/>
        </w:rPr>
      </w:pPr>
      <w:r w:rsidRPr="00781B8A">
        <w:rPr>
          <w:b/>
          <w:i/>
          <w:sz w:val="28"/>
          <w:szCs w:val="28"/>
        </w:rPr>
        <w:t>При  анализе значимости</w:t>
      </w:r>
      <w:r>
        <w:rPr>
          <w:sz w:val="28"/>
          <w:szCs w:val="28"/>
        </w:rPr>
        <w:t xml:space="preserve"> заболеваний, приведших к летальному исходу, использовались </w:t>
      </w:r>
      <w:r w:rsidRPr="00637005">
        <w:rPr>
          <w:sz w:val="28"/>
          <w:szCs w:val="28"/>
        </w:rPr>
        <w:t xml:space="preserve">следующие </w:t>
      </w:r>
      <w:r w:rsidR="006A29DA">
        <w:rPr>
          <w:sz w:val="28"/>
          <w:szCs w:val="28"/>
        </w:rPr>
        <w:t xml:space="preserve">условные </w:t>
      </w:r>
      <w:r w:rsidRPr="00637005">
        <w:rPr>
          <w:sz w:val="28"/>
          <w:szCs w:val="28"/>
        </w:rPr>
        <w:t>понятия</w:t>
      </w:r>
      <w:r>
        <w:rPr>
          <w:sz w:val="28"/>
          <w:szCs w:val="28"/>
        </w:rPr>
        <w:t>:</w:t>
      </w:r>
    </w:p>
    <w:p w:rsidR="008D5059" w:rsidRDefault="008D5059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причина смерти – наиболее значимое в танатогенезе заболевание;</w:t>
      </w:r>
    </w:p>
    <w:p w:rsidR="008D5059" w:rsidRDefault="008D5059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причины смерти – заболевания, </w:t>
      </w:r>
      <w:r w:rsidR="00637005">
        <w:rPr>
          <w:sz w:val="28"/>
          <w:szCs w:val="28"/>
        </w:rPr>
        <w:t>влиявшие на наступление летального исхода, но их развитие или выраженность проявлений были связаны с прогрессированием ведущего заболевания</w:t>
      </w:r>
      <w:r w:rsidR="00F2734D">
        <w:rPr>
          <w:sz w:val="28"/>
          <w:szCs w:val="28"/>
        </w:rPr>
        <w:t>;</w:t>
      </w:r>
    </w:p>
    <w:p w:rsidR="00F2734D" w:rsidRDefault="00F2734D" w:rsidP="00AB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оппортунистические ин</w:t>
      </w:r>
      <w:r w:rsidR="00637005">
        <w:rPr>
          <w:sz w:val="28"/>
          <w:szCs w:val="28"/>
        </w:rPr>
        <w:t>фекции – заболевания, не оказы</w:t>
      </w:r>
      <w:r>
        <w:rPr>
          <w:sz w:val="28"/>
          <w:szCs w:val="28"/>
        </w:rPr>
        <w:t>в</w:t>
      </w:r>
      <w:r w:rsidR="00637005">
        <w:rPr>
          <w:sz w:val="28"/>
          <w:szCs w:val="28"/>
        </w:rPr>
        <w:t>ав</w:t>
      </w:r>
      <w:r>
        <w:rPr>
          <w:sz w:val="28"/>
          <w:szCs w:val="28"/>
        </w:rPr>
        <w:t>шие существенного вл</w:t>
      </w:r>
      <w:r w:rsidR="00637005">
        <w:rPr>
          <w:sz w:val="28"/>
          <w:szCs w:val="28"/>
        </w:rPr>
        <w:t>ияния на танатогенез, но являвши</w:t>
      </w:r>
      <w:r>
        <w:rPr>
          <w:sz w:val="28"/>
          <w:szCs w:val="28"/>
        </w:rPr>
        <w:t>еся СПИД-маркерами.</w:t>
      </w:r>
    </w:p>
    <w:p w:rsidR="00834B3F" w:rsidRDefault="00834B3F" w:rsidP="00AB78E9">
      <w:pPr>
        <w:spacing w:line="360" w:lineRule="auto"/>
        <w:jc w:val="both"/>
        <w:rPr>
          <w:sz w:val="28"/>
          <w:szCs w:val="28"/>
        </w:rPr>
      </w:pPr>
      <w:r w:rsidRPr="001E0D1A">
        <w:rPr>
          <w:b/>
          <w:i/>
          <w:sz w:val="28"/>
          <w:szCs w:val="28"/>
        </w:rPr>
        <w:t>Клинико-анатомические сопо</w:t>
      </w:r>
      <w:r w:rsidR="00637005" w:rsidRPr="001E0D1A">
        <w:rPr>
          <w:b/>
          <w:i/>
          <w:sz w:val="28"/>
          <w:szCs w:val="28"/>
        </w:rPr>
        <w:t>ставления</w:t>
      </w:r>
      <w:r w:rsidR="00637005">
        <w:rPr>
          <w:sz w:val="28"/>
          <w:szCs w:val="28"/>
        </w:rPr>
        <w:t xml:space="preserve"> проводились на основании</w:t>
      </w:r>
      <w:r>
        <w:rPr>
          <w:sz w:val="28"/>
          <w:szCs w:val="28"/>
        </w:rPr>
        <w:t xml:space="preserve"> сличения клинического и патологоанатомического диагнозов, изучения </w:t>
      </w:r>
      <w:r w:rsidR="00637005">
        <w:rPr>
          <w:sz w:val="28"/>
          <w:szCs w:val="28"/>
        </w:rPr>
        <w:t>данных клинического</w:t>
      </w:r>
      <w:r w:rsidR="006A29DA">
        <w:rPr>
          <w:sz w:val="28"/>
          <w:szCs w:val="28"/>
        </w:rPr>
        <w:t xml:space="preserve"> и патологоанатомического эпикризов</w:t>
      </w:r>
      <w:r w:rsidR="00637005">
        <w:rPr>
          <w:sz w:val="28"/>
          <w:szCs w:val="28"/>
        </w:rPr>
        <w:t xml:space="preserve">  и гистологического исследования.</w:t>
      </w:r>
    </w:p>
    <w:p w:rsidR="004F3723" w:rsidRDefault="00ED1B2A" w:rsidP="004F3723">
      <w:pPr>
        <w:spacing w:line="360" w:lineRule="auto"/>
        <w:jc w:val="both"/>
        <w:rPr>
          <w:sz w:val="28"/>
          <w:szCs w:val="28"/>
        </w:rPr>
      </w:pPr>
      <w:r w:rsidRPr="001E0D1A">
        <w:rPr>
          <w:b/>
          <w:i/>
          <w:sz w:val="28"/>
          <w:szCs w:val="28"/>
        </w:rPr>
        <w:lastRenderedPageBreak/>
        <w:t>Статистическая обработка</w:t>
      </w:r>
      <w:r>
        <w:rPr>
          <w:sz w:val="28"/>
          <w:szCs w:val="28"/>
        </w:rPr>
        <w:t xml:space="preserve"> полученных данных проводилась </w:t>
      </w:r>
      <w:r w:rsidR="00BD65FA" w:rsidRPr="00BD65FA">
        <w:rPr>
          <w:sz w:val="28"/>
          <w:szCs w:val="28"/>
        </w:rPr>
        <w:t>с ис</w:t>
      </w:r>
      <w:r w:rsidR="00BD65FA">
        <w:rPr>
          <w:sz w:val="28"/>
          <w:szCs w:val="28"/>
        </w:rPr>
        <w:t>пользованием программ</w:t>
      </w:r>
      <w:r w:rsidR="00025DAA">
        <w:rPr>
          <w:sz w:val="28"/>
          <w:szCs w:val="28"/>
        </w:rPr>
        <w:t>ы</w:t>
      </w:r>
      <w:r w:rsidR="00BD65FA">
        <w:rPr>
          <w:sz w:val="28"/>
          <w:szCs w:val="28"/>
        </w:rPr>
        <w:t xml:space="preserve"> Microsoft </w:t>
      </w:r>
      <w:r w:rsidR="00BD65FA" w:rsidRPr="00BD65FA">
        <w:rPr>
          <w:sz w:val="28"/>
          <w:szCs w:val="28"/>
        </w:rPr>
        <w:t>Office Excel, верси</w:t>
      </w:r>
      <w:r w:rsidR="00BD65FA">
        <w:rPr>
          <w:sz w:val="28"/>
          <w:szCs w:val="28"/>
        </w:rPr>
        <w:t xml:space="preserve">я 2007 года. Достоверность </w:t>
      </w:r>
      <w:r w:rsidR="00BD65FA" w:rsidRPr="00BD65FA">
        <w:rPr>
          <w:sz w:val="28"/>
          <w:szCs w:val="28"/>
        </w:rPr>
        <w:t xml:space="preserve">различий </w:t>
      </w:r>
      <w:r w:rsidR="00BD65FA">
        <w:rPr>
          <w:sz w:val="28"/>
          <w:szCs w:val="28"/>
        </w:rPr>
        <w:t xml:space="preserve">между показателями </w:t>
      </w:r>
      <w:r w:rsidR="00BD65FA" w:rsidRPr="00BD65FA">
        <w:rPr>
          <w:sz w:val="28"/>
          <w:szCs w:val="28"/>
        </w:rPr>
        <w:t>определялась при помощи критерия Стьюдента. Различия считалис</w:t>
      </w:r>
      <w:r w:rsidR="00BD65FA">
        <w:rPr>
          <w:sz w:val="28"/>
          <w:szCs w:val="28"/>
        </w:rPr>
        <w:t>ь статистически значимыми при р</w:t>
      </w:r>
      <w:r w:rsidR="00BD65FA" w:rsidRPr="00BD65FA">
        <w:rPr>
          <w:sz w:val="28"/>
          <w:szCs w:val="28"/>
        </w:rPr>
        <w:t>&lt; 0,05.</w:t>
      </w:r>
    </w:p>
    <w:p w:rsidR="004216E7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F51" w:rsidRPr="00FA7F51" w:rsidRDefault="00AC7884" w:rsidP="00FA7F51">
      <w:pPr>
        <w:spacing w:line="360" w:lineRule="auto"/>
        <w:jc w:val="center"/>
        <w:rPr>
          <w:b/>
          <w:sz w:val="32"/>
          <w:szCs w:val="32"/>
        </w:rPr>
      </w:pPr>
      <w:r w:rsidRPr="001E0D1A">
        <w:rPr>
          <w:b/>
          <w:sz w:val="32"/>
          <w:szCs w:val="32"/>
        </w:rPr>
        <w:lastRenderedPageBreak/>
        <w:t>Глава 3</w:t>
      </w:r>
      <w:r w:rsidR="00164E70" w:rsidRPr="001E0D1A">
        <w:rPr>
          <w:b/>
          <w:sz w:val="32"/>
          <w:szCs w:val="32"/>
        </w:rPr>
        <w:t>. Резул</w:t>
      </w:r>
      <w:r w:rsidR="001E0D1A">
        <w:rPr>
          <w:b/>
          <w:sz w:val="32"/>
          <w:szCs w:val="32"/>
        </w:rPr>
        <w:t>ьтаты проведённого исследования</w:t>
      </w:r>
    </w:p>
    <w:p w:rsidR="00B011D6" w:rsidRDefault="00B011D6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Представление </w:t>
      </w:r>
      <w:r w:rsidR="00F53DDC">
        <w:rPr>
          <w:sz w:val="28"/>
          <w:szCs w:val="28"/>
        </w:rPr>
        <w:t xml:space="preserve">сводных данных </w:t>
      </w:r>
      <w:r w:rsidR="00452AC2">
        <w:rPr>
          <w:sz w:val="28"/>
          <w:szCs w:val="28"/>
        </w:rPr>
        <w:t>о пациентах</w:t>
      </w:r>
      <w:r>
        <w:rPr>
          <w:sz w:val="28"/>
          <w:szCs w:val="28"/>
        </w:rPr>
        <w:t xml:space="preserve"> 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проведённой работы были собраны данные о контингенте умерших пациентов </w:t>
      </w:r>
      <w:r w:rsidR="00960CAA">
        <w:rPr>
          <w:sz w:val="28"/>
          <w:szCs w:val="28"/>
        </w:rPr>
        <w:t>за исследуемые годы. В таблице 3</w:t>
      </w:r>
      <w:r>
        <w:rPr>
          <w:sz w:val="28"/>
          <w:szCs w:val="28"/>
        </w:rPr>
        <w:t xml:space="preserve"> и рису</w:t>
      </w:r>
      <w:r w:rsidR="00960CAA">
        <w:rPr>
          <w:sz w:val="28"/>
          <w:szCs w:val="28"/>
        </w:rPr>
        <w:t>нках 3 и 4</w:t>
      </w:r>
      <w:r>
        <w:rPr>
          <w:sz w:val="28"/>
          <w:szCs w:val="28"/>
        </w:rPr>
        <w:t xml:space="preserve"> отображены сведения о возрасте и поле пациентов.</w:t>
      </w:r>
    </w:p>
    <w:p w:rsidR="0044318D" w:rsidRPr="005E10F0" w:rsidRDefault="00960CAA" w:rsidP="004431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164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64E70">
        <w:rPr>
          <w:rFonts w:ascii="Times New Roman" w:hAnsi="Times New Roman" w:cs="Times New Roman"/>
          <w:sz w:val="28"/>
          <w:szCs w:val="28"/>
        </w:rPr>
        <w:t>.</w:t>
      </w:r>
    </w:p>
    <w:p w:rsidR="0044318D" w:rsidRPr="00AC7884" w:rsidRDefault="0044318D" w:rsidP="004431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Половозрастная структура пациентов исследуемых лет</w:t>
      </w:r>
    </w:p>
    <w:tbl>
      <w:tblPr>
        <w:tblStyle w:val="a9"/>
        <w:tblW w:w="5000" w:type="pct"/>
        <w:tblLook w:val="04A0"/>
      </w:tblPr>
      <w:tblGrid>
        <w:gridCol w:w="2321"/>
        <w:gridCol w:w="2322"/>
        <w:gridCol w:w="2322"/>
        <w:gridCol w:w="2322"/>
      </w:tblGrid>
      <w:tr w:rsidR="0044318D" w:rsidRPr="00AC7884" w:rsidTr="006F55E1">
        <w:trPr>
          <w:trHeight w:val="597"/>
        </w:trPr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Мужчины, лет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Женщины, лет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="001E0D1A">
              <w:rPr>
                <w:rFonts w:ascii="Times New Roman" w:hAnsi="Times New Roman" w:cs="Times New Roman"/>
                <w:sz w:val="24"/>
                <w:szCs w:val="24"/>
              </w:rPr>
              <w:t xml:space="preserve"> (оба пола)</w:t>
            </w: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44318D" w:rsidRPr="00AC7884" w:rsidTr="006F55E1">
        <w:trPr>
          <w:trHeight w:val="611"/>
        </w:trPr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1996+1997 года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B7">
              <w:rPr>
                <w:rFonts w:ascii="Times New Roman" w:hAnsi="Times New Roman" w:cs="Times New Roman"/>
                <w:sz w:val="24"/>
                <w:szCs w:val="24"/>
              </w:rPr>
              <w:t>35,72±3,2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33,7±6,02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 xml:space="preserve">35,36±2,76 </w:t>
            </w:r>
          </w:p>
        </w:tc>
      </w:tr>
      <w:tr w:rsidR="0044318D" w:rsidRPr="00AC7884" w:rsidTr="006F55E1">
        <w:trPr>
          <w:trHeight w:val="550"/>
        </w:trPr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32±1,35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34,5±2,5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 xml:space="preserve">32,7±1,2 </w:t>
            </w:r>
          </w:p>
        </w:tc>
      </w:tr>
      <w:tr w:rsidR="0044318D" w:rsidRPr="00AC7884" w:rsidTr="006F55E1">
        <w:trPr>
          <w:trHeight w:val="557"/>
        </w:trPr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38,9±0,48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>36,8±0,65</w:t>
            </w:r>
          </w:p>
        </w:tc>
        <w:tc>
          <w:tcPr>
            <w:tcW w:w="1250" w:type="pct"/>
          </w:tcPr>
          <w:p w:rsidR="0044318D" w:rsidRPr="007671CE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E">
              <w:rPr>
                <w:rFonts w:ascii="Times New Roman" w:hAnsi="Times New Roman" w:cs="Times New Roman"/>
                <w:sz w:val="24"/>
                <w:szCs w:val="24"/>
              </w:rPr>
              <w:t xml:space="preserve">38±0,4 </w:t>
            </w:r>
          </w:p>
        </w:tc>
      </w:tr>
    </w:tbl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8D" w:rsidRDefault="008334F2" w:rsidP="004431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1718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318D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="0044318D">
        <w:rPr>
          <w:rFonts w:ascii="Times New Roman" w:hAnsi="Times New Roman" w:cs="Times New Roman"/>
          <w:sz w:val="28"/>
          <w:szCs w:val="28"/>
        </w:rPr>
        <w:t>.</w:t>
      </w:r>
      <w:r w:rsidR="0044318D" w:rsidRPr="00473C4A">
        <w:rPr>
          <w:rFonts w:ascii="Times New Roman" w:hAnsi="Times New Roman" w:cs="Times New Roman"/>
          <w:sz w:val="28"/>
          <w:szCs w:val="28"/>
        </w:rPr>
        <w:t xml:space="preserve"> </w:t>
      </w:r>
      <w:r w:rsidR="0044318D">
        <w:rPr>
          <w:rFonts w:ascii="Times New Roman" w:hAnsi="Times New Roman" w:cs="Times New Roman"/>
          <w:sz w:val="28"/>
          <w:szCs w:val="28"/>
        </w:rPr>
        <w:t>Распределение пациентов по возрастным группам в исследуемые годы.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lastRenderedPageBreak/>
        <w:t>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наблюдается распределение пациентов по возрастным группам без выраженного преобладания; в 2006 году – преобладание пациентов от 20 до 29 л</w:t>
      </w:r>
      <w:r>
        <w:rPr>
          <w:rFonts w:ascii="Times New Roman" w:hAnsi="Times New Roman" w:cs="Times New Roman"/>
          <w:sz w:val="28"/>
          <w:szCs w:val="28"/>
        </w:rPr>
        <w:t>ет и от 30 до 39 лет</w:t>
      </w:r>
      <w:r w:rsidRPr="00AC7884">
        <w:rPr>
          <w:rFonts w:ascii="Times New Roman" w:hAnsi="Times New Roman" w:cs="Times New Roman"/>
          <w:sz w:val="28"/>
          <w:szCs w:val="28"/>
        </w:rPr>
        <w:t>; в 2016 году – преобладание групп пациентов 30-39 лет и 40-49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74320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0CAA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  <w:r w:rsidR="0044318D">
        <w:rPr>
          <w:rFonts w:ascii="Times New Roman" w:hAnsi="Times New Roman" w:cs="Times New Roman"/>
          <w:sz w:val="28"/>
          <w:szCs w:val="28"/>
        </w:rPr>
        <w:t>.</w:t>
      </w:r>
      <w:r w:rsidR="0044318D" w:rsidRPr="00473C4A">
        <w:rPr>
          <w:rFonts w:ascii="Times New Roman" w:hAnsi="Times New Roman" w:cs="Times New Roman"/>
          <w:sz w:val="28"/>
          <w:szCs w:val="28"/>
        </w:rPr>
        <w:t xml:space="preserve"> </w:t>
      </w:r>
      <w:r w:rsidR="0044318D">
        <w:rPr>
          <w:rFonts w:ascii="Times New Roman" w:hAnsi="Times New Roman" w:cs="Times New Roman"/>
          <w:sz w:val="28"/>
          <w:szCs w:val="28"/>
        </w:rPr>
        <w:t>Распределение пациентов по полу.</w:t>
      </w:r>
    </w:p>
    <w:p w:rsidR="0044318D" w:rsidRDefault="001E0D1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44318D">
        <w:rPr>
          <w:rFonts w:ascii="Times New Roman" w:hAnsi="Times New Roman" w:cs="Times New Roman"/>
          <w:sz w:val="28"/>
          <w:szCs w:val="28"/>
        </w:rPr>
        <w:t>всех исследованных годах преобладали мужчины, но стоит отметить значимое увеличение доли женщин с 18,2% до 40,9%.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85750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318D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  <w:r w:rsidR="0044318D">
        <w:rPr>
          <w:rFonts w:ascii="Times New Roman" w:hAnsi="Times New Roman" w:cs="Times New Roman"/>
          <w:sz w:val="28"/>
          <w:szCs w:val="28"/>
        </w:rPr>
        <w:t>. Удельный вес пациентов-потребителей инъекционных наркотиков (ПИН) и пациентов с хронической алкогольной интоксикацией.</w:t>
      </w:r>
    </w:p>
    <w:p w:rsidR="001E0D1A" w:rsidRDefault="001E0D1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данные свидетельствуют, что в сравнении с 1996/97 годами произошло значимое увеличение доли пациентов с хронической алкогольной интоксикацией, а так же </w:t>
      </w:r>
      <w:r w:rsidR="00CE15EB">
        <w:rPr>
          <w:rFonts w:ascii="Times New Roman" w:hAnsi="Times New Roman" w:cs="Times New Roman"/>
          <w:sz w:val="28"/>
          <w:szCs w:val="28"/>
        </w:rPr>
        <w:t>появились пациенты, употребляющие внутривенные наркотики. В 2016 году отмечается уменьшение числа ПИН, но незначительное.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Доля пациентов с ВИЧ</w:t>
      </w:r>
      <w:r>
        <w:rPr>
          <w:rFonts w:ascii="Times New Roman" w:hAnsi="Times New Roman" w:cs="Times New Roman"/>
          <w:sz w:val="28"/>
          <w:szCs w:val="28"/>
        </w:rPr>
        <w:t>-инфекцией</w:t>
      </w:r>
      <w:r w:rsidRPr="00AC78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основного заболевания составила</w:t>
      </w:r>
      <w:r w:rsidRPr="00AC7884">
        <w:rPr>
          <w:rFonts w:ascii="Times New Roman" w:hAnsi="Times New Roman" w:cs="Times New Roman"/>
          <w:sz w:val="28"/>
          <w:szCs w:val="28"/>
        </w:rPr>
        <w:t xml:space="preserve"> в 1996+</w:t>
      </w:r>
      <w:r>
        <w:rPr>
          <w:rFonts w:ascii="Times New Roman" w:hAnsi="Times New Roman" w:cs="Times New Roman"/>
          <w:sz w:val="28"/>
          <w:szCs w:val="28"/>
        </w:rPr>
        <w:t xml:space="preserve">1997 100%, </w:t>
      </w:r>
      <w:r w:rsidRPr="00AC7884">
        <w:rPr>
          <w:rFonts w:ascii="Times New Roman" w:hAnsi="Times New Roman" w:cs="Times New Roman"/>
          <w:sz w:val="28"/>
          <w:szCs w:val="28"/>
        </w:rPr>
        <w:t xml:space="preserve">2006 год – 68,9%, </w:t>
      </w:r>
      <w:r>
        <w:rPr>
          <w:rFonts w:ascii="Times New Roman" w:hAnsi="Times New Roman" w:cs="Times New Roman"/>
          <w:sz w:val="28"/>
          <w:szCs w:val="28"/>
        </w:rPr>
        <w:t>в 2016 году – 83%.</w:t>
      </w:r>
      <w:r w:rsidRPr="00AC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076575"/>
            <wp:effectExtent l="19050" t="0" r="9525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318D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  <w:r w:rsidR="0044318D">
        <w:rPr>
          <w:rFonts w:ascii="Times New Roman" w:hAnsi="Times New Roman" w:cs="Times New Roman"/>
          <w:sz w:val="28"/>
          <w:szCs w:val="28"/>
        </w:rPr>
        <w:t>. Распределение пациентов по диагнозу основного заболевания.</w:t>
      </w:r>
    </w:p>
    <w:p w:rsidR="00CE15EB" w:rsidRDefault="00CE15EB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подходы к формулировке основного патологоанатомического диагноза различаются в разные годы, что связано в большей степени с особенностями  действовавших на тот момент времени регламентирующих инструкций</w:t>
      </w:r>
      <w:r w:rsidR="008E34ED">
        <w:rPr>
          <w:rFonts w:ascii="Times New Roman" w:hAnsi="Times New Roman" w:cs="Times New Roman"/>
          <w:sz w:val="28"/>
          <w:szCs w:val="28"/>
        </w:rPr>
        <w:t>, чем с возможными субъективными моментами.</w:t>
      </w: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Вирусные гепатиты включали в себя один случай развития острого вирусного гепатита и во всех прочих случаях – обострение хронического вирусного гепатита. </w:t>
      </w:r>
      <w:r w:rsidRPr="00AC7884">
        <w:rPr>
          <w:rFonts w:ascii="Times New Roman" w:hAnsi="Times New Roman" w:cs="Times New Roman"/>
          <w:sz w:val="28"/>
          <w:szCs w:val="28"/>
        </w:rPr>
        <w:t xml:space="preserve">Категория «Другое» представляет собой разнородную группу – в 2006 году была представлены преимущественно тяжёлыми </w:t>
      </w:r>
      <w:r w:rsidRPr="00AC7884">
        <w:rPr>
          <w:rFonts w:ascii="Times New Roman" w:hAnsi="Times New Roman" w:cs="Times New Roman"/>
          <w:sz w:val="28"/>
          <w:szCs w:val="28"/>
        </w:rPr>
        <w:lastRenderedPageBreak/>
        <w:t xml:space="preserve">бактериальными инфекциями (поражение клапанного аппарата сердца на фоне приёма </w:t>
      </w:r>
      <w:r>
        <w:rPr>
          <w:rFonts w:ascii="Times New Roman" w:hAnsi="Times New Roman" w:cs="Times New Roman"/>
          <w:sz w:val="28"/>
          <w:szCs w:val="28"/>
        </w:rPr>
        <w:t xml:space="preserve">инъекционных </w:t>
      </w:r>
      <w:r w:rsidRPr="00AC7884">
        <w:rPr>
          <w:rFonts w:ascii="Times New Roman" w:hAnsi="Times New Roman" w:cs="Times New Roman"/>
          <w:sz w:val="28"/>
          <w:szCs w:val="28"/>
        </w:rPr>
        <w:t>наркотиков, крупозная пневмония, сепсис), в 2016 год</w:t>
      </w:r>
      <w:r>
        <w:rPr>
          <w:rFonts w:ascii="Times New Roman" w:hAnsi="Times New Roman" w:cs="Times New Roman"/>
          <w:sz w:val="28"/>
          <w:szCs w:val="28"/>
        </w:rPr>
        <w:t>у, помимо инфекционных заболеваний</w:t>
      </w:r>
      <w:r w:rsidRPr="00AC7884">
        <w:rPr>
          <w:rFonts w:ascii="Times New Roman" w:hAnsi="Times New Roman" w:cs="Times New Roman"/>
          <w:sz w:val="28"/>
          <w:szCs w:val="28"/>
        </w:rPr>
        <w:t>, в 25% были выявлены злокачественные опухоли.</w:t>
      </w:r>
      <w:r w:rsidRPr="009D34D6">
        <w:rPr>
          <w:rFonts w:ascii="Times New Roman" w:hAnsi="Times New Roman" w:cs="Times New Roman"/>
          <w:sz w:val="28"/>
          <w:szCs w:val="28"/>
        </w:rPr>
        <w:t xml:space="preserve"> </w:t>
      </w:r>
      <w:r w:rsidRPr="00AC7884">
        <w:rPr>
          <w:rFonts w:ascii="Times New Roman" w:hAnsi="Times New Roman" w:cs="Times New Roman"/>
          <w:sz w:val="28"/>
          <w:szCs w:val="28"/>
        </w:rPr>
        <w:t>В категорию «ВИЧ+Другое» были включены комбинированные диагнозы и случаи, когда оба заболевания сыграли существенную роль в танатогенезе</w:t>
      </w:r>
      <w:r>
        <w:rPr>
          <w:rFonts w:ascii="Times New Roman" w:hAnsi="Times New Roman" w:cs="Times New Roman"/>
          <w:sz w:val="28"/>
          <w:szCs w:val="28"/>
        </w:rPr>
        <w:t>, но это не было отражено в формулировке диагноза</w:t>
      </w:r>
      <w:r w:rsidRPr="00AC7884">
        <w:rPr>
          <w:rFonts w:ascii="Times New Roman" w:hAnsi="Times New Roman" w:cs="Times New Roman"/>
          <w:sz w:val="28"/>
          <w:szCs w:val="28"/>
        </w:rPr>
        <w:t>: в 2006 году – 1 случай (сочетание тромбоэндокардита трикуспидального клапана и ВИЧ); в 2016 году – ВИЧ выступал в качестве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конкурентного заболевания с хроническими вирусными гепатитами</w:t>
      </w:r>
      <w:r w:rsidRPr="00AC7884">
        <w:rPr>
          <w:rFonts w:ascii="Times New Roman" w:hAnsi="Times New Roman" w:cs="Times New Roman"/>
          <w:sz w:val="28"/>
          <w:szCs w:val="28"/>
        </w:rPr>
        <w:t>, гриппом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7C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7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7C0D">
        <w:rPr>
          <w:rFonts w:ascii="Times New Roman" w:hAnsi="Times New Roman" w:cs="Times New Roman"/>
          <w:sz w:val="28"/>
          <w:szCs w:val="28"/>
        </w:rPr>
        <w:t>1</w:t>
      </w:r>
      <w:r w:rsidRPr="00AC7884">
        <w:rPr>
          <w:rFonts w:ascii="Times New Roman" w:hAnsi="Times New Roman" w:cs="Times New Roman"/>
          <w:sz w:val="28"/>
          <w:szCs w:val="28"/>
        </w:rPr>
        <w:t>, в составе сочетанной патологии с бактериальными инфекциями.</w:t>
      </w:r>
    </w:p>
    <w:p w:rsidR="0044318D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7</w:t>
      </w:r>
      <w:r w:rsidR="0044318D">
        <w:rPr>
          <w:rFonts w:ascii="Times New Roman" w:hAnsi="Times New Roman" w:cs="Times New Roman"/>
          <w:sz w:val="28"/>
          <w:szCs w:val="28"/>
        </w:rPr>
        <w:t xml:space="preserve"> показано, как с течением времени менялись подходы к определению клинической стадии ВИЧ-инфекции, что привело к 2016 году преобладанию 4В стадии, в то время как в 1996+1997 годах преобладала 5 стадия.</w:t>
      </w: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105150"/>
            <wp:effectExtent l="19050" t="0" r="19050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318D" w:rsidRPr="00AC7884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  <w:r w:rsidR="0044318D">
        <w:rPr>
          <w:rFonts w:ascii="Times New Roman" w:hAnsi="Times New Roman" w:cs="Times New Roman"/>
          <w:sz w:val="28"/>
          <w:szCs w:val="28"/>
        </w:rPr>
        <w:t>. Структура ВИЧ-инфекции в исследуемых годах по стадиям.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ВААРТ применялась в 2016 и 2006 годах, в 1996+1997 годах специфической терапии не проводилось. В 2006 году специфическая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терапия использовалась</w:t>
      </w:r>
      <w:r w:rsidRPr="00AC7884">
        <w:rPr>
          <w:rFonts w:ascii="Times New Roman" w:hAnsi="Times New Roman" w:cs="Times New Roman"/>
          <w:sz w:val="28"/>
          <w:szCs w:val="28"/>
        </w:rPr>
        <w:t xml:space="preserve"> в 3,3% слу</w:t>
      </w:r>
      <w:r>
        <w:rPr>
          <w:rFonts w:ascii="Times New Roman" w:hAnsi="Times New Roman" w:cs="Times New Roman"/>
          <w:sz w:val="28"/>
          <w:szCs w:val="28"/>
        </w:rPr>
        <w:t>чаев.</w:t>
      </w:r>
      <w:r w:rsidRPr="00AC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7884">
        <w:rPr>
          <w:rFonts w:ascii="Times New Roman" w:hAnsi="Times New Roman" w:cs="Times New Roman"/>
          <w:sz w:val="28"/>
          <w:szCs w:val="28"/>
        </w:rPr>
        <w:t>2016 году – применялась в 38,7% (в предположительно полном объёме проводилась в 13,3%, в 25,4% случаев специфическая терапия была оказана в неполном объёме по разным причинам – отказ, нерегулярный приём, начало терапии в течение данной госпитализации), в 61,3%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9DA" w:rsidRPr="006A29DA" w:rsidRDefault="006A29D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A29DA"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Times New Roman" w:hAnsi="Times New Roman" w:cs="Times New Roman"/>
          <w:sz w:val="28"/>
          <w:szCs w:val="28"/>
        </w:rPr>
        <w:t>лимфоцитов в 1996/97 не были представлены в исследованных протоколах.</w:t>
      </w:r>
    </w:p>
    <w:p w:rsidR="0044318D" w:rsidRPr="00AC7884" w:rsidRDefault="0044318D" w:rsidP="00443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C78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C7884">
        <w:rPr>
          <w:rFonts w:ascii="Times New Roman" w:hAnsi="Times New Roman" w:cs="Times New Roman"/>
          <w:sz w:val="28"/>
          <w:szCs w:val="28"/>
        </w:rPr>
        <w:t>4+ лимфоцитов оценивался в 2006 году в 3х случаях; средний уровень составил 135 кл/мкл, среднее квадратичное отклонение ±183,4 кл/мкл.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8D" w:rsidRPr="000851D6" w:rsidRDefault="0044318D" w:rsidP="00443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C78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C7884">
        <w:rPr>
          <w:rFonts w:ascii="Times New Roman" w:hAnsi="Times New Roman" w:cs="Times New Roman"/>
          <w:sz w:val="28"/>
          <w:szCs w:val="28"/>
        </w:rPr>
        <w:t>4+ лимфоцитов оценивался в 2</w:t>
      </w:r>
      <w:r>
        <w:rPr>
          <w:rFonts w:ascii="Times New Roman" w:hAnsi="Times New Roman" w:cs="Times New Roman"/>
          <w:sz w:val="28"/>
          <w:szCs w:val="28"/>
        </w:rPr>
        <w:t>016 году в 73,5% случаев;</w:t>
      </w:r>
      <w:r w:rsidRPr="00CF4D00">
        <w:rPr>
          <w:rFonts w:ascii="Times New Roman" w:hAnsi="Times New Roman" w:cs="Times New Roman"/>
          <w:sz w:val="28"/>
          <w:szCs w:val="28"/>
        </w:rPr>
        <w:t xml:space="preserve"> </w:t>
      </w:r>
      <w:r w:rsidRPr="00AC7884">
        <w:rPr>
          <w:rFonts w:ascii="Times New Roman" w:hAnsi="Times New Roman" w:cs="Times New Roman"/>
          <w:sz w:val="28"/>
          <w:szCs w:val="28"/>
        </w:rPr>
        <w:t xml:space="preserve">средний уровень составил </w:t>
      </w:r>
      <w:r>
        <w:rPr>
          <w:rFonts w:ascii="Times New Roman" w:hAnsi="Times New Roman" w:cs="Times New Roman"/>
          <w:sz w:val="28"/>
          <w:szCs w:val="28"/>
        </w:rPr>
        <w:t>72,2</w:t>
      </w:r>
      <w:r w:rsidRPr="00AC7884">
        <w:rPr>
          <w:rFonts w:ascii="Times New Roman" w:hAnsi="Times New Roman" w:cs="Times New Roman"/>
          <w:sz w:val="28"/>
          <w:szCs w:val="28"/>
        </w:rPr>
        <w:t xml:space="preserve"> кл/мкл, средне</w:t>
      </w:r>
      <w:r>
        <w:rPr>
          <w:rFonts w:ascii="Times New Roman" w:hAnsi="Times New Roman" w:cs="Times New Roman"/>
          <w:sz w:val="28"/>
          <w:szCs w:val="28"/>
        </w:rPr>
        <w:t>е квадратичное отклонение ±99,24</w:t>
      </w:r>
      <w:r w:rsidRPr="00AC7884">
        <w:rPr>
          <w:rFonts w:ascii="Times New Roman" w:hAnsi="Times New Roman" w:cs="Times New Roman"/>
          <w:sz w:val="28"/>
          <w:szCs w:val="28"/>
        </w:rPr>
        <w:t xml:space="preserve"> кл/мкл.</w:t>
      </w:r>
      <w:r>
        <w:rPr>
          <w:rFonts w:ascii="Times New Roman" w:hAnsi="Times New Roman" w:cs="Times New Roman"/>
          <w:sz w:val="28"/>
          <w:szCs w:val="28"/>
        </w:rPr>
        <w:t xml:space="preserve"> В 57</w:t>
      </w:r>
      <w:r w:rsidRPr="00AC7884">
        <w:rPr>
          <w:rFonts w:ascii="Times New Roman" w:hAnsi="Times New Roman" w:cs="Times New Roman"/>
          <w:sz w:val="28"/>
          <w:szCs w:val="28"/>
        </w:rPr>
        <w:t xml:space="preserve">% уровень </w:t>
      </w:r>
      <w:r w:rsidRPr="00AC78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C7884">
        <w:rPr>
          <w:rFonts w:ascii="Times New Roman" w:hAnsi="Times New Roman" w:cs="Times New Roman"/>
          <w:sz w:val="28"/>
          <w:szCs w:val="28"/>
        </w:rPr>
        <w:t>4+ был менее 50 кл/мкл.</w:t>
      </w:r>
      <w:r>
        <w:rPr>
          <w:rFonts w:ascii="Times New Roman" w:hAnsi="Times New Roman" w:cs="Times New Roman"/>
          <w:sz w:val="28"/>
          <w:szCs w:val="28"/>
        </w:rPr>
        <w:t xml:space="preserve"> Значимых различий в уровне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851D6">
        <w:rPr>
          <w:rFonts w:ascii="Times New Roman" w:hAnsi="Times New Roman" w:cs="Times New Roman"/>
          <w:sz w:val="28"/>
          <w:szCs w:val="28"/>
        </w:rPr>
        <w:t>4+</w:t>
      </w:r>
      <w:r>
        <w:rPr>
          <w:rFonts w:ascii="Times New Roman" w:hAnsi="Times New Roman" w:cs="Times New Roman"/>
          <w:sz w:val="28"/>
          <w:szCs w:val="28"/>
        </w:rPr>
        <w:t xml:space="preserve"> между пациентами, получавшими и не получавшими ВААРТ, не было выявлено.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828925"/>
            <wp:effectExtent l="19050" t="0" r="19050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2AC2" w:rsidRDefault="00960CAA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  <w:r w:rsidR="0044318D">
        <w:rPr>
          <w:rFonts w:ascii="Times New Roman" w:hAnsi="Times New Roman" w:cs="Times New Roman"/>
          <w:sz w:val="28"/>
          <w:szCs w:val="28"/>
        </w:rPr>
        <w:t xml:space="preserve">. Доля пациентов с разным уровнем </w:t>
      </w:r>
      <w:r w:rsidR="00443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4318D" w:rsidRPr="000851D6">
        <w:rPr>
          <w:rFonts w:ascii="Times New Roman" w:hAnsi="Times New Roman" w:cs="Times New Roman"/>
          <w:sz w:val="28"/>
          <w:szCs w:val="28"/>
        </w:rPr>
        <w:t>4+</w:t>
      </w:r>
      <w:r w:rsidR="0044318D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44318D" w:rsidRDefault="00452AC2" w:rsidP="0045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18D" w:rsidRDefault="00B011D6" w:rsidP="00B01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4318D">
        <w:rPr>
          <w:rFonts w:ascii="Times New Roman" w:hAnsi="Times New Roman" w:cs="Times New Roman"/>
          <w:sz w:val="28"/>
          <w:szCs w:val="28"/>
        </w:rPr>
        <w:t>Структура основных причин смерти в исследуемые годы</w:t>
      </w: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изменений в структуре при</w:t>
      </w:r>
      <w:r w:rsidR="00F41BA9">
        <w:rPr>
          <w:rFonts w:ascii="Times New Roman" w:hAnsi="Times New Roman" w:cs="Times New Roman"/>
          <w:sz w:val="28"/>
          <w:szCs w:val="28"/>
        </w:rPr>
        <w:t>чин смерти отражена на рисунке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884">
        <w:rPr>
          <w:rFonts w:ascii="Times New Roman" w:hAnsi="Times New Roman" w:cs="Times New Roman"/>
          <w:sz w:val="28"/>
          <w:szCs w:val="28"/>
        </w:rPr>
        <w:t xml:space="preserve">В качестве основной причины смерти </w:t>
      </w:r>
      <w:r>
        <w:rPr>
          <w:rFonts w:ascii="Times New Roman" w:hAnsi="Times New Roman" w:cs="Times New Roman"/>
          <w:sz w:val="28"/>
          <w:szCs w:val="28"/>
        </w:rPr>
        <w:t>в 18,2%-29,5%</w:t>
      </w:r>
      <w:r w:rsidRPr="00AC7884">
        <w:rPr>
          <w:rFonts w:ascii="Times New Roman" w:hAnsi="Times New Roman" w:cs="Times New Roman"/>
          <w:sz w:val="28"/>
          <w:szCs w:val="28"/>
        </w:rPr>
        <w:t xml:space="preserve"> отмечался генерализованный туберкулёз с альтеративно-некротическими изменениями, кроме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годов, когда основным заболеван</w:t>
      </w:r>
      <w:r>
        <w:rPr>
          <w:rFonts w:ascii="Times New Roman" w:hAnsi="Times New Roman" w:cs="Times New Roman"/>
          <w:sz w:val="28"/>
          <w:szCs w:val="28"/>
        </w:rPr>
        <w:t>ием, ставшим причиной летальных исходов</w:t>
      </w:r>
      <w:r w:rsidRPr="00AC7884">
        <w:rPr>
          <w:rFonts w:ascii="Times New Roman" w:hAnsi="Times New Roman" w:cs="Times New Roman"/>
          <w:sz w:val="28"/>
          <w:szCs w:val="28"/>
        </w:rPr>
        <w:t xml:space="preserve">, был вирусный менингоэнцефалит (преимущественно, ВИЧ-энцефалит). Также </w:t>
      </w:r>
      <w:r>
        <w:rPr>
          <w:rFonts w:ascii="Times New Roman" w:hAnsi="Times New Roman" w:cs="Times New Roman"/>
          <w:sz w:val="28"/>
          <w:szCs w:val="28"/>
        </w:rPr>
        <w:t>в генезе смерти в ряде случаев</w:t>
      </w:r>
      <w:r w:rsidRPr="00AC7884">
        <w:rPr>
          <w:rFonts w:ascii="Times New Roman" w:hAnsi="Times New Roman" w:cs="Times New Roman"/>
          <w:sz w:val="28"/>
          <w:szCs w:val="28"/>
        </w:rPr>
        <w:t xml:space="preserve"> ведущая роль принадлежала различным пневмониям</w:t>
      </w:r>
      <w:r>
        <w:rPr>
          <w:rFonts w:ascii="Times New Roman" w:hAnsi="Times New Roman" w:cs="Times New Roman"/>
          <w:sz w:val="28"/>
          <w:szCs w:val="28"/>
        </w:rPr>
        <w:t xml:space="preserve"> (9,1%-17,4%)</w:t>
      </w:r>
      <w:r w:rsidRPr="00AC7884">
        <w:rPr>
          <w:rFonts w:ascii="Times New Roman" w:hAnsi="Times New Roman" w:cs="Times New Roman"/>
          <w:sz w:val="28"/>
          <w:szCs w:val="28"/>
        </w:rPr>
        <w:t>, преимущественно бактериальным и бактериально-вирусным, однако в 2016 году отмечается преобладание пневмоцистной пневмонии</w:t>
      </w:r>
      <w:r>
        <w:rPr>
          <w:rFonts w:ascii="Times New Roman" w:hAnsi="Times New Roman" w:cs="Times New Roman"/>
          <w:sz w:val="28"/>
          <w:szCs w:val="28"/>
        </w:rPr>
        <w:t xml:space="preserve"> (9,4%)</w:t>
      </w:r>
      <w:r w:rsidRPr="00AC7884">
        <w:rPr>
          <w:rFonts w:ascii="Times New Roman" w:hAnsi="Times New Roman" w:cs="Times New Roman"/>
          <w:sz w:val="28"/>
          <w:szCs w:val="28"/>
        </w:rPr>
        <w:t>. Доля вирусных энцефалитов колеблется в разные годы так же, как  и преобладающ</w:t>
      </w:r>
      <w:r w:rsidR="008E34ED">
        <w:rPr>
          <w:rFonts w:ascii="Times New Roman" w:hAnsi="Times New Roman" w:cs="Times New Roman"/>
          <w:sz w:val="28"/>
          <w:szCs w:val="28"/>
        </w:rPr>
        <w:t>ие этиологические факторы. Необходимо</w:t>
      </w:r>
      <w:r w:rsidRPr="00AC7884">
        <w:rPr>
          <w:rFonts w:ascii="Times New Roman" w:hAnsi="Times New Roman" w:cs="Times New Roman"/>
          <w:sz w:val="28"/>
          <w:szCs w:val="28"/>
        </w:rPr>
        <w:t xml:space="preserve"> отметить появление в 2016 году нового возбудителя вирусного энцефалита – </w:t>
      </w:r>
      <w:r w:rsidRPr="00AC7884">
        <w:rPr>
          <w:rFonts w:ascii="Times New Roman" w:hAnsi="Times New Roman" w:cs="Times New Roman"/>
          <w:sz w:val="28"/>
          <w:szCs w:val="28"/>
          <w:lang w:val="en-US"/>
        </w:rPr>
        <w:t>JC</w:t>
      </w:r>
      <w:r w:rsidRPr="00AC7884">
        <w:rPr>
          <w:rFonts w:ascii="Times New Roman" w:hAnsi="Times New Roman" w:cs="Times New Roman"/>
          <w:sz w:val="28"/>
          <w:szCs w:val="28"/>
        </w:rPr>
        <w:t xml:space="preserve">-вирус, вызывающий ПМЛ.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преобладающих возбудителях вирусных </w:t>
      </w:r>
      <w:r w:rsidR="00E006A8">
        <w:rPr>
          <w:rFonts w:ascii="Times New Roman" w:hAnsi="Times New Roman" w:cs="Times New Roman"/>
          <w:sz w:val="28"/>
          <w:szCs w:val="28"/>
        </w:rPr>
        <w:t>энцефалитов отражены в рисунке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884">
        <w:rPr>
          <w:rFonts w:ascii="Times New Roman" w:hAnsi="Times New Roman" w:cs="Times New Roman"/>
          <w:sz w:val="28"/>
          <w:szCs w:val="28"/>
        </w:rPr>
        <w:t>Доля пациентов с лимфомами (неходжкинские и ходжкинские) увеличивается, хотя различия не достоверны; в 2016 году были выявлены случаи первичных лимфом головного мозга. Удельный вес пациентов с токсоплазмозом головного мозга и генерализованным криптококкозом/криптококкозом головного мозга незначительно изменяется в разные год</w:t>
      </w:r>
      <w:r>
        <w:rPr>
          <w:rFonts w:ascii="Times New Roman" w:hAnsi="Times New Roman" w:cs="Times New Roman"/>
          <w:sz w:val="28"/>
          <w:szCs w:val="28"/>
        </w:rPr>
        <w:t>ы. Генерализованная ЦМВИ</w:t>
      </w:r>
      <w:r w:rsidRPr="00AC7884">
        <w:rPr>
          <w:rFonts w:ascii="Times New Roman" w:hAnsi="Times New Roman" w:cs="Times New Roman"/>
          <w:sz w:val="28"/>
          <w:szCs w:val="28"/>
        </w:rPr>
        <w:t xml:space="preserve"> достоверно регистрировалась в большем количестве случаев в 1996+97 годах, чем в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84">
        <w:rPr>
          <w:rFonts w:ascii="Times New Roman" w:hAnsi="Times New Roman" w:cs="Times New Roman"/>
          <w:sz w:val="28"/>
          <w:szCs w:val="28"/>
        </w:rPr>
        <w:t>К категории «Другое» были отнесены 3 группы заболеваний</w:t>
      </w:r>
      <w:r w:rsidR="00E006A8">
        <w:rPr>
          <w:rFonts w:ascii="Times New Roman" w:hAnsi="Times New Roman" w:cs="Times New Roman"/>
          <w:sz w:val="28"/>
          <w:szCs w:val="28"/>
        </w:rPr>
        <w:t>, деление между которыми достаточно условно</w:t>
      </w:r>
      <w:r w:rsidRPr="00AC78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18D" w:rsidRPr="00AC7884" w:rsidRDefault="0044318D" w:rsidP="00B92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ВИЧ-ассоциированные заболевания – генерализованная форма саркомы Капоши (единичные случаи), генерализованный атипичный микобактериоз (5 случаев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7884">
        <w:rPr>
          <w:rFonts w:ascii="Times New Roman" w:hAnsi="Times New Roman" w:cs="Times New Roman"/>
          <w:sz w:val="28"/>
          <w:szCs w:val="28"/>
        </w:rPr>
        <w:t xml:space="preserve"> 2016 году), криптоспоридиоз и изоспоридиоз (единичные случаи 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и 2016 годах), ВИЧ-ассоциированная нефропатия (единичные случаи в 2016 году);</w:t>
      </w:r>
    </w:p>
    <w:p w:rsidR="0044318D" w:rsidRPr="00AC7884" w:rsidRDefault="0044318D" w:rsidP="00B92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lastRenderedPageBreak/>
        <w:t>заболевания или состояния, обусловленные развитием СПИДа или прогрессированием вторичных заболеваний – гнойно-септические осложнения (флегмоны мягких тканей, бактериальный менингит, язвенный колит смешанной этиологии), аррозионные кровотечения из ЖКТ;</w:t>
      </w:r>
    </w:p>
    <w:p w:rsidR="0044318D" w:rsidRPr="00AC7884" w:rsidRDefault="0044318D" w:rsidP="00B9214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="00E006A8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AC7884">
        <w:rPr>
          <w:rFonts w:ascii="Times New Roman" w:hAnsi="Times New Roman" w:cs="Times New Roman"/>
          <w:sz w:val="28"/>
          <w:szCs w:val="28"/>
        </w:rPr>
        <w:t>не связанные с ВИЧ-инфекцией – ХВГ с исходом в цирроз печени в стадии декомпенсации, тромбоэндокардиты клапанов сердца, не ВИЧ-связанные злокачественные опухоли.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5772150"/>
            <wp:effectExtent l="19050" t="0" r="12065" b="0"/>
            <wp:docPr id="2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318D" w:rsidRDefault="00F41BA9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</w:t>
      </w:r>
      <w:r w:rsidR="0044318D">
        <w:rPr>
          <w:rFonts w:ascii="Times New Roman" w:hAnsi="Times New Roman" w:cs="Times New Roman"/>
          <w:sz w:val="28"/>
          <w:szCs w:val="28"/>
        </w:rPr>
        <w:t>. Основные причины смерти в исследуемых годах.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800475"/>
            <wp:effectExtent l="19050" t="0" r="9525" b="0"/>
            <wp:docPr id="3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318D" w:rsidRDefault="00F41BA9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</w:t>
      </w:r>
      <w:r w:rsidR="0044318D">
        <w:rPr>
          <w:rFonts w:ascii="Times New Roman" w:hAnsi="Times New Roman" w:cs="Times New Roman"/>
          <w:sz w:val="28"/>
          <w:szCs w:val="28"/>
        </w:rPr>
        <w:t>. Этиологические факторы вирусных энцефалитов в исследуемые годы.</w:t>
      </w:r>
    </w:p>
    <w:p w:rsidR="0044318D" w:rsidRDefault="00F41BA9" w:rsidP="004431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4.</w:t>
      </w:r>
    </w:p>
    <w:p w:rsidR="0044318D" w:rsidRPr="00C42BAF" w:rsidRDefault="0044318D" w:rsidP="004431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случаев влияния на танатогенез более одного заболевания.</w:t>
      </w:r>
    </w:p>
    <w:tbl>
      <w:tblPr>
        <w:tblStyle w:val="a9"/>
        <w:tblW w:w="0" w:type="auto"/>
        <w:tblLook w:val="04A0"/>
      </w:tblPr>
      <w:tblGrid>
        <w:gridCol w:w="5074"/>
        <w:gridCol w:w="1494"/>
        <w:gridCol w:w="1375"/>
        <w:gridCol w:w="1344"/>
      </w:tblGrid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1996+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Одна дополнительная нозологическая единица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34,4%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Множественные причины (3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40,9%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10,5%</w:t>
            </w:r>
          </w:p>
        </w:tc>
      </w:tr>
    </w:tbl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C2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В 43,6±5,8% случаев на тана</w:t>
      </w:r>
      <w:r>
        <w:rPr>
          <w:rFonts w:ascii="Times New Roman" w:hAnsi="Times New Roman" w:cs="Times New Roman"/>
          <w:sz w:val="28"/>
          <w:szCs w:val="28"/>
        </w:rPr>
        <w:t>тогенез влияло развитие</w:t>
      </w:r>
      <w:r w:rsidRPr="00AC7884">
        <w:rPr>
          <w:rFonts w:ascii="Times New Roman" w:hAnsi="Times New Roman" w:cs="Times New Roman"/>
          <w:sz w:val="28"/>
          <w:szCs w:val="28"/>
        </w:rPr>
        <w:t xml:space="preserve"> двух заболеваний, взаимно отягчавших состояние пациента; 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годах отмечалось наличие у больных нескольких заболеваний в большем количестве случаев, чем в 2006 и 2016 годах.</w:t>
      </w:r>
      <w:r w:rsidR="008E34ED">
        <w:rPr>
          <w:rFonts w:ascii="Times New Roman" w:hAnsi="Times New Roman" w:cs="Times New Roman"/>
          <w:sz w:val="28"/>
          <w:szCs w:val="28"/>
        </w:rPr>
        <w:t xml:space="preserve"> Максимальное число выявленных </w:t>
      </w:r>
      <w:r w:rsidR="00712B74">
        <w:rPr>
          <w:rFonts w:ascii="Times New Roman" w:hAnsi="Times New Roman" w:cs="Times New Roman"/>
          <w:sz w:val="28"/>
          <w:szCs w:val="28"/>
        </w:rPr>
        <w:t>дополнительных причин смерти достигало 5 (единичные случаи, встречавшиеся в разные годы).</w:t>
      </w:r>
      <w:r w:rsidR="00FD0970">
        <w:rPr>
          <w:rFonts w:ascii="Times New Roman" w:hAnsi="Times New Roman" w:cs="Times New Roman"/>
          <w:sz w:val="28"/>
          <w:szCs w:val="28"/>
        </w:rPr>
        <w:t xml:space="preserve"> В 2016 году отмечалось 2 случая, где не </w:t>
      </w:r>
      <w:r w:rsidR="00FD0970">
        <w:rPr>
          <w:rFonts w:ascii="Times New Roman" w:hAnsi="Times New Roman" w:cs="Times New Roman"/>
          <w:sz w:val="28"/>
          <w:szCs w:val="28"/>
        </w:rPr>
        <w:lastRenderedPageBreak/>
        <w:t xml:space="preserve">было выявлено ни дополнительных причин смерти, ни оппортунистических заболеваний, что, вероятнее всего, связано </w:t>
      </w:r>
      <w:r w:rsidR="008D735C">
        <w:rPr>
          <w:rFonts w:ascii="Times New Roman" w:hAnsi="Times New Roman" w:cs="Times New Roman"/>
          <w:sz w:val="28"/>
          <w:szCs w:val="28"/>
        </w:rPr>
        <w:t>неполной оценкой выявленных изменений патологоанатомами</w:t>
      </w:r>
      <w:r w:rsidR="00FD0970">
        <w:rPr>
          <w:rFonts w:ascii="Times New Roman" w:hAnsi="Times New Roman" w:cs="Times New Roman"/>
          <w:sz w:val="28"/>
          <w:szCs w:val="28"/>
        </w:rPr>
        <w:t>.</w:t>
      </w:r>
    </w:p>
    <w:p w:rsidR="0044318D" w:rsidRDefault="00452AC2" w:rsidP="0045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18D" w:rsidRDefault="00452AC2" w:rsidP="00452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44318D">
        <w:rPr>
          <w:rFonts w:ascii="Times New Roman" w:hAnsi="Times New Roman" w:cs="Times New Roman"/>
          <w:sz w:val="28"/>
          <w:szCs w:val="28"/>
        </w:rPr>
        <w:t xml:space="preserve">Структура дополнительных причин смерти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AC7884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>
        <w:rPr>
          <w:rFonts w:ascii="Times New Roman" w:hAnsi="Times New Roman" w:cs="Times New Roman"/>
          <w:sz w:val="28"/>
          <w:szCs w:val="28"/>
        </w:rPr>
        <w:t>в большей части случаев (от 21,3% до 54,5% в разные годы)</w:t>
      </w:r>
      <w:r w:rsidRPr="00AC7884">
        <w:rPr>
          <w:rFonts w:ascii="Times New Roman" w:hAnsi="Times New Roman" w:cs="Times New Roman"/>
          <w:sz w:val="28"/>
          <w:szCs w:val="28"/>
        </w:rPr>
        <w:t xml:space="preserve"> усугублявших течение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C7884">
        <w:rPr>
          <w:rFonts w:ascii="Times New Roman" w:hAnsi="Times New Roman" w:cs="Times New Roman"/>
          <w:sz w:val="28"/>
          <w:szCs w:val="28"/>
        </w:rPr>
        <w:t>, были различные пневмонии: бактериальные, бактериально-вирусные, в 2016 году – пневмоцистная пневмония. Вирусные энцефалиты выявлялись преимущественно 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годах и были представлены только ВИЧ-энцефалитами; в 2006 и 2016 годах энцефалиты реже стали относить к патологиям, отягчавших танатогенез, этиология энцефалитов стала разнообразнее (помимо ВИЧ-энцефалита – герпес-вирусные энцефалиты, ПМЛ, неуточнённой этиологии). Туберкулёз в качестве дополнительной нозологической единицы был представлен как формами генерализованного туберкулёза с лекарственным патоморфозом, так и туберкулёзом умеренной степени активности. Спектр заболеваний в категории «Другое» в 2006 и 2016 годах изменился в сравнении с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– уменьшилось количество ВИЧ-ассоциированных заболеваний (однако, в 2016 году отмечается большее разнообразие), появилась группа заболеваний не связанных с ВИЧ-инфекцией (ВИЧ в качестве сопутствующей патологии), группа патологий, обусловленных ВИЧ (гнойно-септические поражения, аррозионные кровотечения из ЖКТ) не претерпела значимых изменений.</w:t>
      </w:r>
    </w:p>
    <w:p w:rsidR="0044318D" w:rsidRDefault="0044318D" w:rsidP="004431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266950"/>
            <wp:effectExtent l="19050" t="0" r="19050" b="0"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471B" w:rsidRDefault="00E006A8" w:rsidP="0045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</w:t>
      </w:r>
      <w:r w:rsidR="0044318D">
        <w:rPr>
          <w:rFonts w:ascii="Times New Roman" w:hAnsi="Times New Roman" w:cs="Times New Roman"/>
          <w:sz w:val="28"/>
          <w:szCs w:val="28"/>
        </w:rPr>
        <w:t>. Структура дополнительных причин смерти в исследуемые годы.</w:t>
      </w:r>
    </w:p>
    <w:p w:rsidR="0044318D" w:rsidRPr="00D87EA9" w:rsidRDefault="0044471B" w:rsidP="0044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3.4. Спектр оппортунистических заболеваний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 xml:space="preserve">В 1996+97 годах </w:t>
      </w:r>
      <w:r w:rsidR="003D2932">
        <w:rPr>
          <w:rFonts w:ascii="Times New Roman" w:hAnsi="Times New Roman" w:cs="Times New Roman"/>
          <w:sz w:val="28"/>
          <w:szCs w:val="28"/>
        </w:rPr>
        <w:t>выявлены</w:t>
      </w:r>
      <w:r w:rsidRPr="00AC7884">
        <w:rPr>
          <w:rFonts w:ascii="Times New Roman" w:hAnsi="Times New Roman" w:cs="Times New Roman"/>
          <w:sz w:val="28"/>
          <w:szCs w:val="28"/>
        </w:rPr>
        <w:t xml:space="preserve"> в 100% случаев, в 2006 году – 78,6%, в 2016 году – 62,3%.</w:t>
      </w: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171825"/>
            <wp:effectExtent l="19050" t="0" r="19050" b="0"/>
            <wp:docPr id="3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4318D" w:rsidRPr="00AC7884" w:rsidRDefault="00E006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</w:t>
      </w:r>
      <w:r w:rsidR="0044318D">
        <w:rPr>
          <w:rFonts w:ascii="Times New Roman" w:hAnsi="Times New Roman" w:cs="Times New Roman"/>
          <w:sz w:val="28"/>
          <w:szCs w:val="28"/>
        </w:rPr>
        <w:t>. Оппортунистические инфекции у ВИЧ-инфицированных в исследуемые годы.</w:t>
      </w:r>
    </w:p>
    <w:p w:rsidR="0044471B" w:rsidRDefault="00E006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показано на рисунке 12</w:t>
      </w:r>
      <w:r w:rsidR="0044318D">
        <w:rPr>
          <w:rFonts w:ascii="Times New Roman" w:hAnsi="Times New Roman" w:cs="Times New Roman"/>
          <w:sz w:val="28"/>
          <w:szCs w:val="28"/>
        </w:rPr>
        <w:t>, о</w:t>
      </w:r>
      <w:r w:rsidR="0044318D" w:rsidRPr="00AC7884">
        <w:rPr>
          <w:rFonts w:ascii="Times New Roman" w:hAnsi="Times New Roman" w:cs="Times New Roman"/>
          <w:sz w:val="28"/>
          <w:szCs w:val="28"/>
        </w:rPr>
        <w:t>тмечается выраженное увеличение доли случаев с выявлением кандидозного поражения слизистых, преимущественно ЖКТ</w:t>
      </w:r>
      <w:r w:rsidR="0044318D">
        <w:rPr>
          <w:rFonts w:ascii="Times New Roman" w:hAnsi="Times New Roman" w:cs="Times New Roman"/>
          <w:sz w:val="28"/>
          <w:szCs w:val="28"/>
        </w:rPr>
        <w:t xml:space="preserve"> (с 49,1% до 90,8%)</w:t>
      </w:r>
      <w:r w:rsidR="0044318D" w:rsidRPr="00AC7884">
        <w:rPr>
          <w:rFonts w:ascii="Times New Roman" w:hAnsi="Times New Roman" w:cs="Times New Roman"/>
          <w:sz w:val="28"/>
          <w:szCs w:val="28"/>
        </w:rPr>
        <w:t>; в 2016 году количество вирусных энцефалитов достоверно ниже, чем в предыдущие годы</w:t>
      </w:r>
      <w:r w:rsidR="0044318D">
        <w:rPr>
          <w:rFonts w:ascii="Times New Roman" w:hAnsi="Times New Roman" w:cs="Times New Roman"/>
          <w:sz w:val="28"/>
          <w:szCs w:val="28"/>
        </w:rPr>
        <w:t xml:space="preserve"> (4,5%, в то время как в предшествующие годы – 41%-42,6%)</w:t>
      </w:r>
      <w:r w:rsidR="0044318D" w:rsidRPr="00AC7884">
        <w:rPr>
          <w:rFonts w:ascii="Times New Roman" w:hAnsi="Times New Roman" w:cs="Times New Roman"/>
          <w:sz w:val="28"/>
          <w:szCs w:val="28"/>
        </w:rPr>
        <w:t xml:space="preserve">. </w:t>
      </w:r>
      <w:r w:rsidR="0044318D">
        <w:rPr>
          <w:rFonts w:ascii="Times New Roman" w:hAnsi="Times New Roman" w:cs="Times New Roman"/>
          <w:sz w:val="28"/>
          <w:szCs w:val="28"/>
        </w:rPr>
        <w:t>Доля туберкулёза умеренной и минимальной степени активности мало менялась в разные годы. Группа вирусных эпинефритов была представлена ЦМВ-эпинефритами и ДНК-вирусными эпинефритами, за исключением 1996+1997, встречались в равных долях (8-8,2%). В 1996+1997 годах данная группа была представлена только ЦМВ-эпинефритами (22,7%).</w:t>
      </w:r>
    </w:p>
    <w:p w:rsidR="0044318D" w:rsidRDefault="0044471B" w:rsidP="0044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18D" w:rsidRDefault="0044471B" w:rsidP="00444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44318D">
        <w:rPr>
          <w:rFonts w:ascii="Times New Roman" w:hAnsi="Times New Roman" w:cs="Times New Roman"/>
          <w:sz w:val="28"/>
          <w:szCs w:val="28"/>
        </w:rPr>
        <w:t xml:space="preserve">Спектр ВИЧ-ассоциированной патологии вне связи с влиянием на танатогенез </w:t>
      </w:r>
    </w:p>
    <w:p w:rsidR="0044318D" w:rsidRDefault="00E006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на рисунке 13</w:t>
      </w:r>
      <w:r w:rsidR="0044318D">
        <w:rPr>
          <w:rFonts w:ascii="Times New Roman" w:hAnsi="Times New Roman" w:cs="Times New Roman"/>
          <w:sz w:val="28"/>
          <w:szCs w:val="28"/>
        </w:rPr>
        <w:t>, в р</w:t>
      </w:r>
      <w:r w:rsidR="0044318D" w:rsidRPr="00AC7884">
        <w:rPr>
          <w:rFonts w:ascii="Times New Roman" w:hAnsi="Times New Roman" w:cs="Times New Roman"/>
          <w:sz w:val="28"/>
          <w:szCs w:val="28"/>
        </w:rPr>
        <w:t>азные года наблюдается преобладание</w:t>
      </w:r>
      <w:r w:rsidR="0044318D">
        <w:rPr>
          <w:rFonts w:ascii="Times New Roman" w:hAnsi="Times New Roman" w:cs="Times New Roman"/>
          <w:sz w:val="28"/>
          <w:szCs w:val="28"/>
        </w:rPr>
        <w:t xml:space="preserve"> или снижение числа</w:t>
      </w:r>
      <w:r w:rsidR="0044318D" w:rsidRPr="00AC7884">
        <w:rPr>
          <w:rFonts w:ascii="Times New Roman" w:hAnsi="Times New Roman" w:cs="Times New Roman"/>
          <w:sz w:val="28"/>
          <w:szCs w:val="28"/>
        </w:rPr>
        <w:t xml:space="preserve"> разных ВИЧ-ассоциированных заболеваний, однако </w:t>
      </w:r>
      <w:r w:rsidR="0044318D">
        <w:rPr>
          <w:rFonts w:ascii="Times New Roman" w:hAnsi="Times New Roman" w:cs="Times New Roman"/>
          <w:sz w:val="28"/>
          <w:szCs w:val="28"/>
        </w:rPr>
        <w:t xml:space="preserve">достоверная разница показателей была выявлена лишь в отношении группы вирусных энцефалитов, ЦМВИ и саркомы Капоши. </w:t>
      </w:r>
      <w:r w:rsidR="00AE7631">
        <w:rPr>
          <w:rFonts w:ascii="Times New Roman" w:hAnsi="Times New Roman" w:cs="Times New Roman"/>
          <w:sz w:val="28"/>
          <w:szCs w:val="28"/>
        </w:rPr>
        <w:t>Безусловно, изменения в структуре заболеваний обуславливались в большинстве случаев не только вариантами течения ВИЧ-инфекции, но и естественной циркуляцией возбудителей, изменениями подходов к диагностике и лечению и многими другими факторами.</w:t>
      </w:r>
      <w:r w:rsidR="00AB53F6">
        <w:rPr>
          <w:rFonts w:ascii="Times New Roman" w:hAnsi="Times New Roman" w:cs="Times New Roman"/>
          <w:sz w:val="28"/>
          <w:szCs w:val="28"/>
        </w:rPr>
        <w:t xml:space="preserve"> Исключение представляет собой ВИЧ-энцефалит, развитие которого непосредственно связано с самим вирусом, однако причины выявленной динамики не ясны.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1365" cy="3257550"/>
            <wp:effectExtent l="19050" t="0" r="260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318D" w:rsidRDefault="00E006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13</w:t>
      </w:r>
      <w:r w:rsidR="0044318D">
        <w:rPr>
          <w:rFonts w:ascii="Times New Roman" w:hAnsi="Times New Roman" w:cs="Times New Roman"/>
          <w:sz w:val="28"/>
          <w:szCs w:val="28"/>
        </w:rPr>
        <w:t xml:space="preserve">. </w:t>
      </w:r>
      <w:r w:rsidR="00570C36">
        <w:rPr>
          <w:rFonts w:ascii="Times New Roman" w:hAnsi="Times New Roman" w:cs="Times New Roman"/>
          <w:sz w:val="28"/>
          <w:szCs w:val="28"/>
        </w:rPr>
        <w:t>Наиболее часто встречавшиеся заболевания, развитие или прогрессирование которых было связано с ВИЧ-инфекцией,</w:t>
      </w:r>
      <w:r w:rsidR="0044318D">
        <w:rPr>
          <w:rFonts w:ascii="Times New Roman" w:hAnsi="Times New Roman" w:cs="Times New Roman"/>
          <w:sz w:val="28"/>
          <w:szCs w:val="28"/>
        </w:rPr>
        <w:t xml:space="preserve"> в разные годы.</w:t>
      </w:r>
    </w:p>
    <w:p w:rsidR="00782C51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 xml:space="preserve">Доминирующими во все года заболеваниями были кандидоз, туберкулёз и вирусные энцефалиты; удельный вес кандидозных поражений различных локализаций (преимущественно, слизистых ЖКТ) и туберкулёза разной </w:t>
      </w:r>
      <w:r w:rsidRPr="00AC7884">
        <w:rPr>
          <w:rFonts w:ascii="Times New Roman" w:hAnsi="Times New Roman" w:cs="Times New Roman"/>
          <w:sz w:val="28"/>
          <w:szCs w:val="28"/>
        </w:rPr>
        <w:lastRenderedPageBreak/>
        <w:t xml:space="preserve">степени активности практически не менялись, в отличие от вирусных энцефалитов. </w:t>
      </w:r>
      <w:r w:rsidRPr="00AD1B3F">
        <w:rPr>
          <w:rFonts w:ascii="Times New Roman" w:hAnsi="Times New Roman" w:cs="Times New Roman"/>
          <w:sz w:val="28"/>
          <w:szCs w:val="28"/>
        </w:rPr>
        <w:t>Изменения между исследуемыми годами в отношении степени активности туберкулёзного пр</w:t>
      </w:r>
      <w:r w:rsidR="003D2932" w:rsidRPr="00AD1B3F">
        <w:rPr>
          <w:rFonts w:ascii="Times New Roman" w:hAnsi="Times New Roman" w:cs="Times New Roman"/>
          <w:sz w:val="28"/>
          <w:szCs w:val="28"/>
        </w:rPr>
        <w:t>оцесса незначительны (рисунок 14</w:t>
      </w:r>
      <w:r w:rsidRPr="00AD1B3F">
        <w:rPr>
          <w:rFonts w:ascii="Times New Roman" w:hAnsi="Times New Roman" w:cs="Times New Roman"/>
          <w:sz w:val="28"/>
          <w:szCs w:val="28"/>
        </w:rPr>
        <w:t>).</w:t>
      </w:r>
      <w:r w:rsidR="00AD1B3F">
        <w:rPr>
          <w:rFonts w:ascii="Times New Roman" w:hAnsi="Times New Roman" w:cs="Times New Roman"/>
          <w:sz w:val="28"/>
          <w:szCs w:val="28"/>
        </w:rPr>
        <w:t xml:space="preserve"> Определение степени активности туберкулёзного процесса основывалось на данных гистологического исследования. Для активно текущего </w:t>
      </w:r>
      <w:r w:rsidR="000C56DC">
        <w:rPr>
          <w:rFonts w:ascii="Times New Roman" w:hAnsi="Times New Roman" w:cs="Times New Roman"/>
          <w:sz w:val="28"/>
          <w:szCs w:val="28"/>
        </w:rPr>
        <w:t>туберкулёза определяющими признаками считались резкое преобладание альтеративно</w:t>
      </w:r>
      <w:r w:rsidR="00782C51">
        <w:rPr>
          <w:rFonts w:ascii="Times New Roman" w:hAnsi="Times New Roman" w:cs="Times New Roman"/>
          <w:sz w:val="28"/>
          <w:szCs w:val="28"/>
        </w:rPr>
        <w:t>го</w:t>
      </w:r>
      <w:r w:rsidR="000C56DC">
        <w:rPr>
          <w:rFonts w:ascii="Times New Roman" w:hAnsi="Times New Roman" w:cs="Times New Roman"/>
          <w:sz w:val="28"/>
          <w:szCs w:val="28"/>
        </w:rPr>
        <w:t xml:space="preserve"> компонента воспаления над продуктивным, слабую выраженность гигантоклеточной трансформации в </w:t>
      </w:r>
      <w:r w:rsidR="008C22A7">
        <w:rPr>
          <w:rFonts w:ascii="Times New Roman" w:hAnsi="Times New Roman" w:cs="Times New Roman"/>
          <w:sz w:val="28"/>
          <w:szCs w:val="28"/>
        </w:rPr>
        <w:t>эпителиоидно-клеточных гранулёмах.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A7">
        <w:rPr>
          <w:rFonts w:ascii="Times New Roman" w:hAnsi="Times New Roman" w:cs="Times New Roman"/>
          <w:sz w:val="28"/>
          <w:szCs w:val="28"/>
        </w:rPr>
        <w:t xml:space="preserve"> </w:t>
      </w:r>
      <w:r w:rsidR="004C56DC">
        <w:rPr>
          <w:rFonts w:ascii="Times New Roman" w:hAnsi="Times New Roman" w:cs="Times New Roman"/>
          <w:sz w:val="28"/>
          <w:szCs w:val="28"/>
        </w:rPr>
        <w:t>Туберкулёз умеренной активности характеризовался преобладанием продуктивно компонента воспаления с образованием специфических гранулём. Так называемые «остаточные явления» или туберкулёз минимальной степени активности представляли собой омелотворённые очаги или изменения фиброзного характера.</w:t>
      </w:r>
    </w:p>
    <w:p w:rsidR="00782C51" w:rsidRDefault="00782C51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085" cy="2571750"/>
            <wp:effectExtent l="19050" t="0" r="1206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82C51" w:rsidRDefault="00782C51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14. Распределение туберкулёза по степени активности (пояснения в тексте).</w:t>
      </w:r>
    </w:p>
    <w:p w:rsidR="0044318D" w:rsidRPr="00AC7884" w:rsidRDefault="00782C51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1996/</w:t>
      </w:r>
      <w:r w:rsidR="0044318D" w:rsidRPr="00AC7884">
        <w:rPr>
          <w:rFonts w:ascii="Times New Roman" w:hAnsi="Times New Roman" w:cs="Times New Roman"/>
          <w:sz w:val="28"/>
          <w:szCs w:val="28"/>
        </w:rPr>
        <w:t>97 годах энцефалиты вирусной природы встречались в 100% случаев, в 100% случаев отмечался ВИЧ-энцефалит, в 18,2% случаев было поражение ГМ, помимо ВИЧ, другими возбудителями (ВПГ, ЦМВ, неустановленной этиологии). В 2006 году доля вирусных энцефалитов уменьшилась вдвое, их вклад в танато</w:t>
      </w:r>
      <w:r w:rsidR="0044318D">
        <w:rPr>
          <w:rFonts w:ascii="Times New Roman" w:hAnsi="Times New Roman" w:cs="Times New Roman"/>
          <w:sz w:val="28"/>
          <w:szCs w:val="28"/>
        </w:rPr>
        <w:t>генез так же уменьшился</w:t>
      </w:r>
      <w:r w:rsidR="0044318D" w:rsidRPr="00AC7884">
        <w:rPr>
          <w:rFonts w:ascii="Times New Roman" w:hAnsi="Times New Roman" w:cs="Times New Roman"/>
          <w:sz w:val="28"/>
          <w:szCs w:val="28"/>
        </w:rPr>
        <w:t xml:space="preserve"> по оценкам </w:t>
      </w:r>
      <w:r w:rsidR="0044318D" w:rsidRPr="00AC7884">
        <w:rPr>
          <w:rFonts w:ascii="Times New Roman" w:hAnsi="Times New Roman" w:cs="Times New Roman"/>
          <w:sz w:val="28"/>
          <w:szCs w:val="28"/>
        </w:rPr>
        <w:lastRenderedPageBreak/>
        <w:t>патоморфологов, преобладающими группами стали энцефалиты неуточнённой этиологии и ВИЧ-энцефалиты. В 2016 году количество случаев вирусных энцефалитов сократилось ещё больше, ВИЧ-энцефалит был отмечен в достоверно меньшем количестве случаев, чем в предыдущие годы, появился новый тип вирусного энцефалита – ПМЛ. Группа энцефалитов установленной этиологии была мало подвержена изменениям, и представлена герпетическими и цит</w:t>
      </w:r>
      <w:r w:rsidR="0044318D">
        <w:rPr>
          <w:rFonts w:ascii="Times New Roman" w:hAnsi="Times New Roman" w:cs="Times New Roman"/>
          <w:sz w:val="28"/>
          <w:szCs w:val="28"/>
        </w:rPr>
        <w:t xml:space="preserve">омегаловирусными энцефалитами. </w:t>
      </w: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Отмечались значительные колебания удельного веса цитомегаловирусной инфекции в структуре за</w:t>
      </w:r>
      <w:r w:rsidR="00782C51">
        <w:rPr>
          <w:rFonts w:ascii="Times New Roman" w:hAnsi="Times New Roman" w:cs="Times New Roman"/>
          <w:sz w:val="28"/>
          <w:szCs w:val="28"/>
        </w:rPr>
        <w:t>болеваний в разные годы: в 1996/</w:t>
      </w:r>
      <w:r w:rsidRPr="00AC7884">
        <w:rPr>
          <w:rFonts w:ascii="Times New Roman" w:hAnsi="Times New Roman" w:cs="Times New Roman"/>
          <w:sz w:val="28"/>
          <w:szCs w:val="28"/>
        </w:rPr>
        <w:t xml:space="preserve">97 годах ЦМВ-инфекцию можно было отнести к доминирующим заболеваниям, были выявлены генерализованные формы ЦМВ-инфекции в большем, чем в последующие года, % случаев; в 2006 году доля ЦМВ-инфекции уменьшилась в 4 раза, была представлена только изолированными формами поражения (эпинефрит, гастрит); в 2016 году удельный вес изменился незначительно, но в структуре снова появились генерализованные формы и случаи поражения нескольких локализаций (ЦМВ-пневмония+ЦМВ-эпинефрит).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ппа заболеваний, выявляемых в меньшем числе случаев</w:t>
      </w:r>
      <w:r w:rsidRPr="00AC7884">
        <w:rPr>
          <w:rFonts w:ascii="Times New Roman" w:hAnsi="Times New Roman" w:cs="Times New Roman"/>
          <w:sz w:val="28"/>
          <w:szCs w:val="28"/>
        </w:rPr>
        <w:t>, чем первая тройка наиболее часто встречающихся патологий, характеризуется большим разнообразием. Так, 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>97 годах к данной группе можно отнести саркому Капоши (кожные, кожно-висцеральные и генерализованные формы), токсоплазмоз (ГМ и 1 случай токсоплазменной пневмонии),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84">
        <w:rPr>
          <w:rFonts w:ascii="Times New Roman" w:hAnsi="Times New Roman" w:cs="Times New Roman"/>
          <w:sz w:val="28"/>
          <w:szCs w:val="28"/>
        </w:rPr>
        <w:t xml:space="preserve">криптококкоз (ГМ и генерализованные формы с поражением ГМ), криптоспоридиоз и изоспоридиоз. В 2006 году, помимо уже упоминавшейся ЦМВ-инфекции, к данной группе можно отнести пневмоцистную пневмонию, лимфомы (генерализованные формы лимфогранулематоза и неходжкинских лимфом) и токсоплазмоз головного мозга. В 2016 году продолжила увеличиваться доля ПЦП, в том числе, </w:t>
      </w:r>
      <w:r w:rsidRPr="00AC7884">
        <w:rPr>
          <w:rFonts w:ascii="Times New Roman" w:hAnsi="Times New Roman" w:cs="Times New Roman"/>
          <w:sz w:val="28"/>
          <w:szCs w:val="28"/>
        </w:rPr>
        <w:lastRenderedPageBreak/>
        <w:t>доля сочетанного поражения ПЦП+ЦМВ-инфекция (поражение лёгких, надпочечников, в нескольких случаях – ЦМВ-энцефалит и ЦМВ-гепатит); также отмечается тенденция и к увеличению доли лимфом, преимущественно генерализованных неходжкинских, было выявлено несколько случаев лимфом ЦНС; кроме токсоплазмоза ГМ, были случаи токсоплазменного миокардита; криптококкоз встречался как в генерализованной форме с или без поражения ГМ, так и в виде изолированного поражения ГМ.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В 1996+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C7884">
        <w:rPr>
          <w:rFonts w:ascii="Times New Roman" w:hAnsi="Times New Roman" w:cs="Times New Roman"/>
          <w:sz w:val="28"/>
          <w:szCs w:val="28"/>
        </w:rPr>
        <w:t xml:space="preserve">97 годах были лишь единичные случаи пневмоцистной пневмонии и генерализованного лимфогранулематоза. В 2006 году было выявлено мало случаев криптококкоза ГМ и один случай саркомы Капоши. В 2016 году обращает на себя внимание появление в структуре ВИЧ-ассоциированных заболеваний случаев </w:t>
      </w:r>
      <w:r>
        <w:rPr>
          <w:rFonts w:ascii="Times New Roman" w:hAnsi="Times New Roman" w:cs="Times New Roman"/>
          <w:sz w:val="28"/>
          <w:szCs w:val="28"/>
        </w:rPr>
        <w:t>микобактериоза, вызванного НТМБ</w:t>
      </w:r>
      <w:r w:rsidRPr="00AC7884">
        <w:rPr>
          <w:rFonts w:ascii="Times New Roman" w:hAnsi="Times New Roman" w:cs="Times New Roman"/>
          <w:sz w:val="28"/>
          <w:szCs w:val="28"/>
        </w:rPr>
        <w:t>, в том числе генерализованных форм; так же было выявлено несколько случаев криптоспоридиоза и саркомы Капоши.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общего числа инфекционных заболеваний, выявляемых у пациентов, было выявлено следующее: </w:t>
      </w:r>
    </w:p>
    <w:p w:rsidR="0044318D" w:rsidRDefault="0044318D" w:rsidP="00B9214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число различных инфекций, отмеченных у одного пациента – 8;</w:t>
      </w:r>
    </w:p>
    <w:p w:rsidR="0044318D" w:rsidRDefault="0044318D" w:rsidP="00B9214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инфекционных заболеваний у одного пациента в 1996+1997 года колебалось от 2 до 5, в 2006 и 2016 годах – от 2 до 4; среднее число во все годы составило 3;</w:t>
      </w:r>
    </w:p>
    <w:p w:rsidR="00345B6B" w:rsidRDefault="0044318D" w:rsidP="0044318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было выявлено два случая, где не было выявлено иных инфекций, кроме ВИЧ-инфекции; основным заболеванием в одном из них стала генерализованная неходжкинская лимфома, в другом – саркома Капоши.</w:t>
      </w:r>
    </w:p>
    <w:p w:rsidR="009A5B1B" w:rsidRPr="00345B6B" w:rsidRDefault="00345B6B" w:rsidP="0034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18D" w:rsidRDefault="00345B6B" w:rsidP="00345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44318D">
        <w:rPr>
          <w:rFonts w:ascii="Times New Roman" w:hAnsi="Times New Roman" w:cs="Times New Roman"/>
          <w:sz w:val="28"/>
          <w:szCs w:val="28"/>
        </w:rPr>
        <w:t>Сопутствующая патология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В 1996+97 годах ХВГ встречался в достоверном меньшем количестве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(22,7%)</w:t>
      </w:r>
      <w:r w:rsidRPr="00AC7884">
        <w:rPr>
          <w:rFonts w:ascii="Times New Roman" w:hAnsi="Times New Roman" w:cs="Times New Roman"/>
          <w:sz w:val="28"/>
          <w:szCs w:val="28"/>
        </w:rPr>
        <w:t>, чем в последующие годы</w:t>
      </w:r>
      <w:r>
        <w:rPr>
          <w:rFonts w:ascii="Times New Roman" w:hAnsi="Times New Roman" w:cs="Times New Roman"/>
          <w:sz w:val="28"/>
          <w:szCs w:val="28"/>
        </w:rPr>
        <w:t xml:space="preserve"> (81%-88,5%).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2990850"/>
            <wp:effectExtent l="19050" t="0" r="9525" b="0"/>
            <wp:docPr id="3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318D" w:rsidRPr="00AC7884" w:rsidRDefault="00E006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15</w:t>
      </w:r>
      <w:r w:rsidR="0044318D">
        <w:rPr>
          <w:rFonts w:ascii="Times New Roman" w:hAnsi="Times New Roman" w:cs="Times New Roman"/>
          <w:sz w:val="28"/>
          <w:szCs w:val="28"/>
        </w:rPr>
        <w:t>. Этиологическая структура вирусных гепатитов в исследуемых выборках.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C7884">
        <w:rPr>
          <w:rFonts w:ascii="Times New Roman" w:hAnsi="Times New Roman" w:cs="Times New Roman"/>
          <w:sz w:val="28"/>
          <w:szCs w:val="28"/>
        </w:rPr>
        <w:t>начимой разницы по этиологическо</w:t>
      </w:r>
      <w:r>
        <w:rPr>
          <w:rFonts w:ascii="Times New Roman" w:hAnsi="Times New Roman" w:cs="Times New Roman"/>
          <w:sz w:val="28"/>
          <w:szCs w:val="28"/>
        </w:rPr>
        <w:t>му фактору ХВГ между исследуемыми</w:t>
      </w:r>
      <w:r w:rsidRPr="00AC7884">
        <w:rPr>
          <w:rFonts w:ascii="Times New Roman" w:hAnsi="Times New Roman" w:cs="Times New Roman"/>
          <w:sz w:val="28"/>
          <w:szCs w:val="28"/>
        </w:rPr>
        <w:t xml:space="preserve"> годами не выявлено; к категории «Другое» в 2006 году относится один случай острого вирусного гепатита В+С, в 2016 году – один случай ХВГВ+С+</w:t>
      </w:r>
      <w:r w:rsidRPr="00AC78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7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C3C">
        <w:rPr>
          <w:rFonts w:ascii="Times New Roman" w:hAnsi="Times New Roman" w:cs="Times New Roman"/>
          <w:sz w:val="28"/>
          <w:szCs w:val="28"/>
        </w:rPr>
        <w:t>Достоверных различий в распределении ХВГ по степени активности и влиянию на танатогенез по годам не было выявлено; в большей части случаев ХВГ оказывал минимальное влияние на танатогенез</w:t>
      </w:r>
      <w:r w:rsidR="00E006A8" w:rsidRPr="00620C3C">
        <w:rPr>
          <w:rFonts w:ascii="Times New Roman" w:hAnsi="Times New Roman" w:cs="Times New Roman"/>
          <w:sz w:val="28"/>
          <w:szCs w:val="28"/>
        </w:rPr>
        <w:t xml:space="preserve"> (рисунок 16</w:t>
      </w:r>
      <w:r w:rsidRPr="00620C3C">
        <w:rPr>
          <w:rFonts w:ascii="Times New Roman" w:hAnsi="Times New Roman" w:cs="Times New Roman"/>
          <w:sz w:val="28"/>
          <w:szCs w:val="28"/>
        </w:rPr>
        <w:t>).</w:t>
      </w:r>
      <w:r w:rsidRPr="009D1CDB">
        <w:rPr>
          <w:rFonts w:ascii="Times New Roman" w:hAnsi="Times New Roman" w:cs="Times New Roman"/>
          <w:sz w:val="28"/>
          <w:szCs w:val="28"/>
        </w:rPr>
        <w:t xml:space="preserve"> </w:t>
      </w:r>
      <w:r w:rsidR="00620C3C">
        <w:rPr>
          <w:rFonts w:ascii="Times New Roman" w:hAnsi="Times New Roman" w:cs="Times New Roman"/>
          <w:sz w:val="28"/>
          <w:szCs w:val="28"/>
        </w:rPr>
        <w:t>Степень активности течения гепатита определялась согласно данным гистологического исследования</w:t>
      </w:r>
      <w:r w:rsidR="00A254CD">
        <w:rPr>
          <w:rFonts w:ascii="Times New Roman" w:hAnsi="Times New Roman" w:cs="Times New Roman"/>
          <w:sz w:val="28"/>
          <w:szCs w:val="28"/>
        </w:rPr>
        <w:t xml:space="preserve"> (выраженность некроза, воспалительных и фиброзных изменений)</w:t>
      </w:r>
      <w:r w:rsidR="00620C3C">
        <w:rPr>
          <w:rFonts w:ascii="Times New Roman" w:hAnsi="Times New Roman" w:cs="Times New Roman"/>
          <w:sz w:val="28"/>
          <w:szCs w:val="28"/>
        </w:rPr>
        <w:t xml:space="preserve">. </w:t>
      </w:r>
      <w:r w:rsidR="00A254CD">
        <w:rPr>
          <w:rFonts w:ascii="Times New Roman" w:hAnsi="Times New Roman" w:cs="Times New Roman"/>
          <w:sz w:val="28"/>
          <w:szCs w:val="28"/>
        </w:rPr>
        <w:t>Вклад в генез летального исхода каждого наблюдения оценивался на основании данных клинического и патологоанатомического эпикризов, лабораторных исследований и выявленных макро- и микроскопических изменений.</w:t>
      </w:r>
    </w:p>
    <w:p w:rsidR="0044318D" w:rsidRPr="00AC7884" w:rsidRDefault="00E059A8" w:rsidP="004431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9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2905125"/>
            <wp:effectExtent l="19050" t="0" r="1206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318D" w:rsidRPr="00AC7884" w:rsidRDefault="003D2932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16</w:t>
      </w:r>
      <w:r w:rsidR="0044318D">
        <w:rPr>
          <w:rFonts w:ascii="Times New Roman" w:hAnsi="Times New Roman" w:cs="Times New Roman"/>
          <w:sz w:val="28"/>
          <w:szCs w:val="28"/>
        </w:rPr>
        <w:t>. Распределение ХВГ по степени активности и влиянию на танатогенез</w:t>
      </w:r>
      <w:r w:rsidR="00A254CD">
        <w:rPr>
          <w:rFonts w:ascii="Times New Roman" w:hAnsi="Times New Roman" w:cs="Times New Roman"/>
          <w:sz w:val="28"/>
          <w:szCs w:val="28"/>
        </w:rPr>
        <w:t xml:space="preserve"> (пояснения в тексте)</w:t>
      </w:r>
      <w:r w:rsidR="0044318D">
        <w:rPr>
          <w:rFonts w:ascii="Times New Roman" w:hAnsi="Times New Roman" w:cs="Times New Roman"/>
          <w:sz w:val="28"/>
          <w:szCs w:val="28"/>
        </w:rPr>
        <w:t>.</w:t>
      </w:r>
    </w:p>
    <w:p w:rsidR="0044318D" w:rsidRDefault="00F41BA9" w:rsidP="004431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5.</w:t>
      </w:r>
    </w:p>
    <w:p w:rsidR="0044318D" w:rsidRPr="00671A57" w:rsidRDefault="0044318D" w:rsidP="00F41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Сопутствующие заболевания, помимо вирусных гепатитов, в исследуемые годы</w:t>
      </w:r>
    </w:p>
    <w:tbl>
      <w:tblPr>
        <w:tblStyle w:val="a9"/>
        <w:tblW w:w="0" w:type="auto"/>
        <w:tblLook w:val="04A0"/>
      </w:tblPr>
      <w:tblGrid>
        <w:gridCol w:w="5086"/>
        <w:gridCol w:w="1494"/>
        <w:gridCol w:w="1369"/>
        <w:gridCol w:w="1338"/>
      </w:tblGrid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1996+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Кахексия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26,2%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60,6%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Анемия тяжёлой степени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tabs>
                <w:tab w:val="center" w:pos="1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B7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13,4%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онические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заболевания: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34,4%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44,6%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B9214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системы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B9214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B9214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4318D" w:rsidRPr="00AC7884" w:rsidTr="006F55E1">
        <w:tc>
          <w:tcPr>
            <w:tcW w:w="535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418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1417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383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</w:tr>
    </w:tbl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8D" w:rsidRPr="00AC7884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Pr="00AC7884">
        <w:rPr>
          <w:rFonts w:ascii="Times New Roman" w:hAnsi="Times New Roman" w:cs="Times New Roman"/>
          <w:sz w:val="28"/>
          <w:szCs w:val="28"/>
        </w:rPr>
        <w:t xml:space="preserve"> заболеваний сердечно-сосудистой системы (преимущественно, атеросклероз крупных сосудов и артериальная гипертензия) и желудочно-кишечного тракта (преимущественно, панкреатит)</w:t>
      </w:r>
      <w:r>
        <w:rPr>
          <w:rFonts w:ascii="Times New Roman" w:hAnsi="Times New Roman" w:cs="Times New Roman"/>
          <w:sz w:val="28"/>
          <w:szCs w:val="28"/>
        </w:rPr>
        <w:t xml:space="preserve">, были выявлены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хронические соматические заболевания, которые в ряде случаев усугубляли течение основного заболевания</w:t>
      </w:r>
      <w:r w:rsidRPr="00AC7884">
        <w:rPr>
          <w:rFonts w:ascii="Times New Roman" w:hAnsi="Times New Roman" w:cs="Times New Roman"/>
          <w:sz w:val="28"/>
          <w:szCs w:val="28"/>
        </w:rPr>
        <w:t>:</w:t>
      </w:r>
    </w:p>
    <w:p w:rsidR="0044318D" w:rsidRPr="00AC7884" w:rsidRDefault="0044318D" w:rsidP="00B92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1996+97 – сахарный диабет (1 случай);</w:t>
      </w:r>
    </w:p>
    <w:p w:rsidR="0044318D" w:rsidRPr="00AC7884" w:rsidRDefault="0044318D" w:rsidP="00B92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2006 – ожирение 2 степени (1 случай);</w:t>
      </w:r>
    </w:p>
    <w:p w:rsidR="0044318D" w:rsidRPr="00AC7884" w:rsidRDefault="0044318D" w:rsidP="00B92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84">
        <w:rPr>
          <w:rFonts w:ascii="Times New Roman" w:hAnsi="Times New Roman" w:cs="Times New Roman"/>
          <w:sz w:val="28"/>
          <w:szCs w:val="28"/>
        </w:rPr>
        <w:t>2016 – ожирение (2 и 3 степень; 2%), сахарный диабет (1 и 2 типы; 1,7%), алкогольная кардиомиопатия (1,7%), единичные случаи бронхиальной астмы и хронического бронхита.</w:t>
      </w:r>
    </w:p>
    <w:p w:rsidR="0044318D" w:rsidRDefault="00F41BA9" w:rsidP="004431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6.</w:t>
      </w:r>
    </w:p>
    <w:p w:rsidR="0044318D" w:rsidRPr="00671A57" w:rsidRDefault="0044318D" w:rsidP="00F41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Заболевания, отнесённые к категории «Другое»</w:t>
      </w:r>
      <w:r w:rsidR="00F41B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5026"/>
        <w:gridCol w:w="1538"/>
        <w:gridCol w:w="1510"/>
        <w:gridCol w:w="1213"/>
      </w:tblGrid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1996+97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онический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пиелонефрит в стадии ремиссии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Очаги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бактериальных 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, не влиявшие на течение и исход (не выраженные обострения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онических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процессов/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онические процессы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в ремиссии)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Пролежни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Кожные поражения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ообразования (случайная находка/</w:t>
            </w: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 xml:space="preserve"> не влияли на исход)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Шизофрения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44318D" w:rsidRPr="00AC7884" w:rsidTr="006F55E1">
        <w:tc>
          <w:tcPr>
            <w:tcW w:w="521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Иное (эпилепсия, кардиомиопатия, сколиоз и т.д.)</w:t>
            </w:r>
          </w:p>
        </w:tc>
        <w:tc>
          <w:tcPr>
            <w:tcW w:w="1560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241" w:type="dxa"/>
          </w:tcPr>
          <w:p w:rsidR="0044318D" w:rsidRPr="00AC7884" w:rsidRDefault="0044318D" w:rsidP="006F5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84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</w:tbl>
    <w:p w:rsidR="00345B6B" w:rsidRDefault="00345B6B" w:rsidP="0044318D">
      <w:pPr>
        <w:spacing w:line="360" w:lineRule="auto"/>
        <w:rPr>
          <w:sz w:val="28"/>
          <w:szCs w:val="28"/>
        </w:rPr>
      </w:pPr>
    </w:p>
    <w:p w:rsidR="009A5B1B" w:rsidRDefault="00345B6B" w:rsidP="00345B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18D" w:rsidRDefault="00345B6B" w:rsidP="00345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44318D">
        <w:rPr>
          <w:sz w:val="28"/>
          <w:szCs w:val="28"/>
        </w:rPr>
        <w:t>Обсуждение полученных результатов</w:t>
      </w:r>
    </w:p>
    <w:p w:rsidR="0044318D" w:rsidRDefault="00E059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исследованных</w:t>
      </w:r>
      <w:r w:rsidR="0044318D">
        <w:rPr>
          <w:sz w:val="28"/>
          <w:szCs w:val="28"/>
        </w:rPr>
        <w:t xml:space="preserve"> выборках разных лет происходили закономерные изменения, сходные с данными мировой литературы и российских источников – увеличилась доля женщин в структуре ВИЧ-инфекции, хотя их число не сровнялось с числом мужчин; увеличился средний возраст пациентов с ВИЧ</w:t>
      </w:r>
      <w:r w:rsidR="00E63806">
        <w:rPr>
          <w:sz w:val="28"/>
          <w:szCs w:val="28"/>
        </w:rPr>
        <w:t xml:space="preserve"> [1,</w:t>
      </w:r>
      <w:r w:rsidR="00E63806" w:rsidRPr="00E63806">
        <w:rPr>
          <w:sz w:val="28"/>
          <w:szCs w:val="28"/>
        </w:rPr>
        <w:t>4</w:t>
      </w:r>
      <w:r w:rsidR="00E63806">
        <w:rPr>
          <w:sz w:val="28"/>
          <w:szCs w:val="28"/>
        </w:rPr>
        <w:t>,</w:t>
      </w:r>
      <w:r w:rsidR="00E63806" w:rsidRPr="00E63806">
        <w:rPr>
          <w:sz w:val="28"/>
          <w:szCs w:val="28"/>
        </w:rPr>
        <w:t>52</w:t>
      </w:r>
      <w:r w:rsidR="007940E5" w:rsidRPr="007940E5">
        <w:rPr>
          <w:sz w:val="28"/>
          <w:szCs w:val="28"/>
        </w:rPr>
        <w:t>]</w:t>
      </w:r>
      <w:r w:rsidR="0044318D">
        <w:rPr>
          <w:sz w:val="28"/>
          <w:szCs w:val="28"/>
        </w:rPr>
        <w:t xml:space="preserve">. Возраст пациентов в 1996 и 1997 годах составил </w:t>
      </w:r>
      <w:r w:rsidR="0044318D" w:rsidRPr="00F0301B">
        <w:rPr>
          <w:rFonts w:ascii="Times New Roman" w:hAnsi="Times New Roman" w:cs="Times New Roman"/>
          <w:sz w:val="28"/>
          <w:szCs w:val="28"/>
        </w:rPr>
        <w:t>35,36±2,76 лет</w:t>
      </w:r>
      <w:r w:rsidR="0044318D">
        <w:rPr>
          <w:rFonts w:ascii="Times New Roman" w:hAnsi="Times New Roman" w:cs="Times New Roman"/>
          <w:sz w:val="28"/>
          <w:szCs w:val="28"/>
        </w:rPr>
        <w:t xml:space="preserve"> (9-61 год), преимущественный путь заражения по данным протоколов – половой (гомо- и гетеросексуальный). Также следует учитывать, что в данной группе больных отсутствовали потребители инъекционных наркотиков. В 2006 году средний возраст снизился до </w:t>
      </w:r>
      <w:r w:rsidR="0044318D" w:rsidRPr="002804C4">
        <w:rPr>
          <w:rFonts w:ascii="Times New Roman" w:hAnsi="Times New Roman" w:cs="Times New Roman"/>
          <w:sz w:val="28"/>
          <w:szCs w:val="28"/>
        </w:rPr>
        <w:t>32,7±1,2 лет</w:t>
      </w:r>
      <w:r w:rsidR="0044318D">
        <w:rPr>
          <w:rFonts w:ascii="Times New Roman" w:hAnsi="Times New Roman" w:cs="Times New Roman"/>
          <w:sz w:val="28"/>
          <w:szCs w:val="28"/>
        </w:rPr>
        <w:t xml:space="preserve"> (19-58 лет), больше половины больных (55,7%) употребляли внутривенные наркотики. В 3,3% случаев пациенты получали ВААРТ. В 2016 году произошло значимое увеличение среднего возраста пациентов до </w:t>
      </w:r>
      <w:r w:rsidR="0044318D" w:rsidRPr="00001E39">
        <w:rPr>
          <w:rFonts w:ascii="Times New Roman" w:hAnsi="Times New Roman" w:cs="Times New Roman"/>
          <w:sz w:val="28"/>
          <w:szCs w:val="28"/>
        </w:rPr>
        <w:t>38±0,4 лет</w:t>
      </w:r>
      <w:r w:rsidR="0044318D">
        <w:rPr>
          <w:rFonts w:ascii="Times New Roman" w:hAnsi="Times New Roman" w:cs="Times New Roman"/>
          <w:sz w:val="28"/>
          <w:szCs w:val="28"/>
        </w:rPr>
        <w:t xml:space="preserve"> (17-70 лет). Увеличился контингент пациентов, получавших ВААРТ (38,7%), хотя судить о достаточности или эффективности терапии достаточно сложно в большинстве случаев в виду недостатка данных</w:t>
      </w:r>
      <w:r>
        <w:rPr>
          <w:rFonts w:ascii="Times New Roman" w:hAnsi="Times New Roman" w:cs="Times New Roman"/>
          <w:sz w:val="28"/>
          <w:szCs w:val="28"/>
        </w:rPr>
        <w:t xml:space="preserve"> (оптимальное лечение, вероятнее всего, получали лишь единичные умершие)</w:t>
      </w:r>
      <w:r w:rsidR="0044318D">
        <w:rPr>
          <w:rFonts w:ascii="Times New Roman" w:hAnsi="Times New Roman" w:cs="Times New Roman"/>
          <w:sz w:val="28"/>
          <w:szCs w:val="28"/>
        </w:rPr>
        <w:t xml:space="preserve">,  также произошло некоторое снижение доли больных, употребляющих инъекционные наркотики (47,4%). </w:t>
      </w:r>
    </w:p>
    <w:p w:rsidR="0044318D" w:rsidRPr="0044318D" w:rsidRDefault="00E059A8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44318D" w:rsidRPr="0044318D">
        <w:rPr>
          <w:rFonts w:cstheme="minorHAnsi"/>
          <w:sz w:val="28"/>
          <w:szCs w:val="28"/>
        </w:rPr>
        <w:t xml:space="preserve">ретерпевали изменения подходы к формулировке диагноза и к стадированию ВИЧ-инфекции, что связано с изменением методологических подходов и модификации знаний и отношения к ВИЧ-инфекции. Так, в 1996 и 1997 года в 100% случаев ВИЧ считался основным заболеванием, и большая часть случаев трактовалась как «ВИЧ в стадии СПИД» либо ВИЧ 5 стадии (72,8%). В 2006 изменился контингент больных, вследствие чего ВИЧ в ряде случаев (31,1%) трактовался как сопутствующая патология, нередко обнаруживаемая лишь посмертно. Действие такого нормативного документа, как «Правила постановки диагноза  ВИЧ-инфекции. Методическое письмо», утверждённого </w:t>
      </w:r>
      <w:r w:rsidR="0044318D" w:rsidRPr="0044318D">
        <w:rPr>
          <w:rFonts w:cstheme="minorHAnsi"/>
          <w:sz w:val="28"/>
          <w:szCs w:val="28"/>
        </w:rPr>
        <w:lastRenderedPageBreak/>
        <w:t>Минздравсоцразвития РФ от 10.11.06, возможно могло обусловить увеличение доли ВИЧ-инфекции в качестве основного заболевания в 2016 году по сравнению с 2006 годом, помимо изменения состава больных. Также произошли  значимые изменения в стадировании – подавляющее большинство пациентов обозначены как имеющие ВИЧ-инфекцию в стадии 4В (81,3%) при минимальном числе случаев 5 стадии (5,7%), что связано с действующими клиническими рекомендациями</w:t>
      </w:r>
      <w:r w:rsidR="00E63806">
        <w:rPr>
          <w:rFonts w:cstheme="minorHAnsi"/>
          <w:sz w:val="28"/>
          <w:szCs w:val="28"/>
        </w:rPr>
        <w:t xml:space="preserve"> [</w:t>
      </w:r>
      <w:r w:rsidR="00E63806" w:rsidRPr="00E63806">
        <w:rPr>
          <w:rFonts w:cstheme="minorHAnsi"/>
          <w:sz w:val="28"/>
          <w:szCs w:val="28"/>
        </w:rPr>
        <w:t>5</w:t>
      </w:r>
      <w:r w:rsidR="00E63806">
        <w:rPr>
          <w:rFonts w:cstheme="minorHAnsi"/>
          <w:sz w:val="28"/>
          <w:szCs w:val="28"/>
        </w:rPr>
        <w:t>,</w:t>
      </w:r>
      <w:r w:rsidR="00E63806" w:rsidRPr="00E63806">
        <w:rPr>
          <w:rFonts w:cstheme="minorHAnsi"/>
          <w:sz w:val="28"/>
          <w:szCs w:val="28"/>
        </w:rPr>
        <w:t>23</w:t>
      </w:r>
      <w:r w:rsidR="007940E5" w:rsidRPr="007940E5">
        <w:rPr>
          <w:rFonts w:cstheme="minorHAnsi"/>
          <w:sz w:val="28"/>
          <w:szCs w:val="28"/>
        </w:rPr>
        <w:t>]</w:t>
      </w:r>
      <w:r w:rsidR="0044318D" w:rsidRPr="0044318D">
        <w:rPr>
          <w:rFonts w:cstheme="minorHAnsi"/>
          <w:sz w:val="28"/>
          <w:szCs w:val="28"/>
        </w:rPr>
        <w:t>.</w:t>
      </w:r>
      <w:r w:rsidR="0044318D" w:rsidRPr="0044318D">
        <w:rPr>
          <w:rFonts w:cstheme="minorHAnsi"/>
          <w:i/>
          <w:sz w:val="28"/>
          <w:szCs w:val="28"/>
        </w:rPr>
        <w:t xml:space="preserve"> </w:t>
      </w:r>
    </w:p>
    <w:p w:rsidR="0044318D" w:rsidRDefault="0044318D" w:rsidP="0044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больных, получавших ВААРТ, составила меньше 40% и из них лишь в 13,3% по данным, указанным в протоколе, можно было предполагать, что ВААРТ оказывалась в полном объёме соответственно клинической ситуации. Этого числа пациентов недостаточно, чтобы достоверно судить о возможном влиянии специфической терапии на танатогенез ВИЧ-инфекции.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значимого вторичного заболевания, ставшего основной причиной в генезе летального исхода, нередко было затруднено. Это могло быть связано как с тем, что в ряде случаев у пациента могло быть несколько различных ВИЧ-ассоциированных заболеваний, каждое из которых могло привести к летальному исходу у пациента в стадии СПИД, так и с тем, что имевшиеся клинико-лабораторные данные, сведения гистологического заключения и обоснование патологоанатомического диагноза могли быть противоречивы или представлены</w:t>
      </w:r>
      <w:r w:rsidR="00F51A17">
        <w:rPr>
          <w:sz w:val="28"/>
          <w:szCs w:val="28"/>
        </w:rPr>
        <w:t xml:space="preserve"> в неполном объёме. Анализ отечественной</w:t>
      </w:r>
      <w:r>
        <w:rPr>
          <w:sz w:val="28"/>
          <w:szCs w:val="28"/>
        </w:rPr>
        <w:t xml:space="preserve"> и зарубежной литературы показал, что вопрос взаимодействия между различными инфекционными агентами у ВИЧ-инфицированных больных изучен недостаточно</w:t>
      </w:r>
      <w:r w:rsidR="00F26F91" w:rsidRPr="00F26F91">
        <w:rPr>
          <w:sz w:val="28"/>
          <w:szCs w:val="28"/>
        </w:rPr>
        <w:t xml:space="preserve"> [</w:t>
      </w:r>
      <w:r w:rsidR="00E63806" w:rsidRPr="00E63806">
        <w:rPr>
          <w:sz w:val="28"/>
          <w:szCs w:val="28"/>
        </w:rPr>
        <w:t>10</w:t>
      </w:r>
      <w:r w:rsidR="00E63806">
        <w:rPr>
          <w:sz w:val="28"/>
          <w:szCs w:val="28"/>
        </w:rPr>
        <w:t>,</w:t>
      </w:r>
      <w:r w:rsidR="00E63806" w:rsidRPr="00E63806">
        <w:rPr>
          <w:sz w:val="28"/>
          <w:szCs w:val="28"/>
        </w:rPr>
        <w:t>12</w:t>
      </w:r>
      <w:r w:rsidR="00F26F91" w:rsidRPr="007940E5">
        <w:rPr>
          <w:sz w:val="28"/>
          <w:szCs w:val="28"/>
        </w:rPr>
        <w:t>,</w:t>
      </w:r>
      <w:r w:rsidR="00E63806" w:rsidRPr="00E63806">
        <w:rPr>
          <w:sz w:val="28"/>
          <w:szCs w:val="28"/>
        </w:rPr>
        <w:t>34,36</w:t>
      </w:r>
      <w:r w:rsidR="00E63806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45</w:t>
      </w:r>
      <w:r w:rsidR="00F26F91" w:rsidRPr="00F26F91">
        <w:rPr>
          <w:sz w:val="28"/>
          <w:szCs w:val="28"/>
        </w:rPr>
        <w:t>]</w:t>
      </w:r>
      <w:r>
        <w:rPr>
          <w:sz w:val="28"/>
          <w:szCs w:val="28"/>
        </w:rPr>
        <w:t xml:space="preserve">, равно как и отсутствуют сформированные подходы к унифицированной оценке значимости отдельно взятой патологии в развитии летального исхода в каждом конкретном случае. Однако подобной унифицированной системы, скорее всего и не будет создано в ближайшее время, в виду сложности и неоднозначности процессов, протекающих на фоне резко </w:t>
      </w:r>
      <w:r>
        <w:rPr>
          <w:sz w:val="28"/>
          <w:szCs w:val="28"/>
        </w:rPr>
        <w:lastRenderedPageBreak/>
        <w:t xml:space="preserve">сниженного иммунного статуса. </w:t>
      </w:r>
      <w:r w:rsidRPr="0057346D">
        <w:rPr>
          <w:sz w:val="28"/>
          <w:szCs w:val="28"/>
        </w:rPr>
        <w:t>Вследствие этого вопрос определения вклада того или иного заболевания в танатогенез</w:t>
      </w:r>
      <w:r>
        <w:rPr>
          <w:sz w:val="28"/>
          <w:szCs w:val="28"/>
        </w:rPr>
        <w:t xml:space="preserve"> при ВИЧ-инфекции всецело зависит от квалификации патолога</w:t>
      </w:r>
      <w:r w:rsidR="0057346D">
        <w:rPr>
          <w:sz w:val="28"/>
          <w:szCs w:val="28"/>
        </w:rPr>
        <w:t xml:space="preserve">, помимо </w:t>
      </w:r>
      <w:r w:rsidR="00F51A17">
        <w:rPr>
          <w:sz w:val="28"/>
          <w:szCs w:val="28"/>
        </w:rPr>
        <w:t xml:space="preserve">корректности определения </w:t>
      </w:r>
      <w:r w:rsidR="0057346D">
        <w:rPr>
          <w:sz w:val="28"/>
          <w:szCs w:val="28"/>
        </w:rPr>
        <w:t xml:space="preserve">и использования </w:t>
      </w:r>
      <w:r w:rsidR="00F51A17">
        <w:rPr>
          <w:sz w:val="28"/>
          <w:szCs w:val="28"/>
        </w:rPr>
        <w:t>условных терминов оценки значимости заболеваний и коморбидной патологии</w:t>
      </w:r>
      <w:r>
        <w:rPr>
          <w:sz w:val="28"/>
          <w:szCs w:val="28"/>
        </w:rPr>
        <w:t>.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Спектр ВИЧ-ассоциированных заболеваний, встречавшихся в исследуемые годы, различался, пусть и во многих случаях незначительно. Так же полученные данные отличны от сведений, полученных другими исследовательскими группами, использовавших материалы патологоанатомических протоколов различных больниц  других регионов РФ или иных лет</w:t>
      </w:r>
      <w:r w:rsidR="00E14571">
        <w:rPr>
          <w:sz w:val="28"/>
          <w:szCs w:val="28"/>
        </w:rPr>
        <w:t xml:space="preserve"> [</w:t>
      </w:r>
      <w:r w:rsidR="00E14571" w:rsidRPr="00E14571">
        <w:rPr>
          <w:sz w:val="28"/>
          <w:szCs w:val="28"/>
        </w:rPr>
        <w:t>6,7</w:t>
      </w:r>
      <w:r w:rsidR="00E14571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16,18,27,42</w:t>
      </w:r>
      <w:r w:rsidR="00F26F91" w:rsidRPr="00F26F91">
        <w:rPr>
          <w:sz w:val="28"/>
          <w:szCs w:val="28"/>
        </w:rPr>
        <w:t>]</w:t>
      </w:r>
      <w:r>
        <w:rPr>
          <w:sz w:val="28"/>
          <w:szCs w:val="28"/>
        </w:rPr>
        <w:t xml:space="preserve">. Это может связано с особенностями распространения типичных возбудителей и возможно в каких-то случаях – с подходом к определению наличия той или иной патологии по клинико-морфологическим данным. 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Туберкулёз разной степени активности выявлялся в 31,8% до 37,7%, в большей части случаев – активно текущий, с преимущественно альтеративно-некротическими изменениями (18,2%-29,5%). В то же время встречались и такие формы туберкулёзного поражения, как туберкулёз умеренной степени активности (4,7%-9,1%) и минимальной активности (3,3%-4,5%), обозначаемый в протоколах как «посттуберкулёзные изменения». Данные за туберкулёз в анамнезе в этих случаях отмечались в медицинской документации, и в ряде случаев на этом основании случай трактовался клиницистами как рецидив туберкулёзного поражения, однако при патологоанатомическом исследовании выявлялось, что ведущей патологией было иное заболевание. Нередко на фоне туберкулёзного поражения разных органов, в первую</w:t>
      </w:r>
      <w:r w:rsidR="00F51A17">
        <w:rPr>
          <w:sz w:val="28"/>
          <w:szCs w:val="28"/>
        </w:rPr>
        <w:t xml:space="preserve"> очередь, лёгких, присутствовало</w:t>
      </w:r>
      <w:r>
        <w:rPr>
          <w:sz w:val="28"/>
          <w:szCs w:val="28"/>
        </w:rPr>
        <w:t xml:space="preserve"> и наслоение бактериальной инфекции, реже грибковой (несколько случаев аспергиллёзной наслойки в туберкулёзных кавернах).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случаев пневмоцистной пневмонии увеличивается в исследуемых выборках с 4,5% до 11,2%. В 2006 и 2016 годах более, чем в 50% случаев (60% и 68,8% соответственно), отмечалось развитие ЦМВ-поражения лёгких и/или надпочечников, в единичных случаях – ЦМВ-энцефалита и гепатита. На то, что данные инфекции часто сопутствуют друг другу, упоминалось во многих работах, однако причины этого и взаимодействие возбудителей между собой мало изучены</w:t>
      </w:r>
      <w:r w:rsidR="00FA707C" w:rsidRPr="00FA707C">
        <w:rPr>
          <w:sz w:val="28"/>
          <w:szCs w:val="28"/>
        </w:rPr>
        <w:t xml:space="preserve"> [</w:t>
      </w:r>
      <w:r w:rsidR="00E14571" w:rsidRPr="00E14571">
        <w:rPr>
          <w:sz w:val="28"/>
          <w:szCs w:val="28"/>
        </w:rPr>
        <w:t>7</w:t>
      </w:r>
      <w:r w:rsidR="00E14571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11</w:t>
      </w:r>
      <w:r w:rsidR="00F26F91" w:rsidRPr="00F26F91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42</w:t>
      </w:r>
      <w:r w:rsidR="00E14571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53</w:t>
      </w:r>
      <w:r w:rsidR="00FA707C" w:rsidRPr="00FA707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неходжкинских лимфом незначительно увеличивается в 2016 году (8,7%) по сравнению с 2006 (4,9%).  В 1996 и 1997 годах не было выявлено неходжкинских лимфом, только один случ</w:t>
      </w:r>
      <w:r w:rsidR="00E059A8">
        <w:rPr>
          <w:sz w:val="28"/>
          <w:szCs w:val="28"/>
        </w:rPr>
        <w:t>ай болезни Ходжкин</w:t>
      </w:r>
      <w:r w:rsidR="00E007D2">
        <w:rPr>
          <w:sz w:val="28"/>
          <w:szCs w:val="28"/>
        </w:rPr>
        <w:t>а</w:t>
      </w:r>
      <w:r>
        <w:rPr>
          <w:sz w:val="28"/>
          <w:szCs w:val="28"/>
        </w:rPr>
        <w:t>, не являющийся ВИЧ-ассоциированным заболеванием, хотя это дискуссионный вопрос</w:t>
      </w:r>
      <w:r w:rsidR="00E14571">
        <w:rPr>
          <w:sz w:val="28"/>
          <w:szCs w:val="28"/>
        </w:rPr>
        <w:t xml:space="preserve"> [2</w:t>
      </w:r>
      <w:r w:rsidR="00E14571" w:rsidRPr="00E14571">
        <w:rPr>
          <w:sz w:val="28"/>
          <w:szCs w:val="28"/>
        </w:rPr>
        <w:t>5</w:t>
      </w:r>
      <w:r w:rsidR="00E14571">
        <w:rPr>
          <w:sz w:val="28"/>
          <w:szCs w:val="28"/>
        </w:rPr>
        <w:t>,</w:t>
      </w:r>
      <w:r w:rsidR="00E14571" w:rsidRPr="00E14571">
        <w:rPr>
          <w:sz w:val="28"/>
          <w:szCs w:val="28"/>
        </w:rPr>
        <w:t>50</w:t>
      </w:r>
      <w:r w:rsidR="00FA707C" w:rsidRPr="00FA707C">
        <w:rPr>
          <w:sz w:val="28"/>
          <w:szCs w:val="28"/>
        </w:rPr>
        <w:t>]</w:t>
      </w:r>
      <w:r>
        <w:rPr>
          <w:sz w:val="28"/>
          <w:szCs w:val="28"/>
        </w:rPr>
        <w:t>. В 2016 году было выявлено несколько случаев первичных лимфом головного мозга, число которых по да</w:t>
      </w:r>
      <w:r w:rsidR="00E007D2">
        <w:rPr>
          <w:sz w:val="28"/>
          <w:szCs w:val="28"/>
        </w:rPr>
        <w:t>нным разных авторов по не</w:t>
      </w:r>
      <w:r>
        <w:rPr>
          <w:sz w:val="28"/>
          <w:szCs w:val="28"/>
        </w:rPr>
        <w:t xml:space="preserve">понятным причинам колеблется в разные годы. 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Доля вирусных энцефалитов значительно уменьшается с 1996-1997 годов (100%) к 2016 году (19,2%), во многом за счёт уменьшения числа ВИЧ-энцефалитов – удельный вес уменьшился со 100% до 4% в 2016 году. Причины этого процесса неясны, но, скорее всего, связаны с генетическими</w:t>
      </w:r>
      <w:r w:rsidR="0057346D">
        <w:rPr>
          <w:sz w:val="28"/>
          <w:szCs w:val="28"/>
        </w:rPr>
        <w:t xml:space="preserve"> особенностями ВИЧ и спецификой</w:t>
      </w:r>
      <w:r>
        <w:rPr>
          <w:sz w:val="28"/>
          <w:szCs w:val="28"/>
        </w:rPr>
        <w:t xml:space="preserve"> вызываемых поражений ЦНС. Группа вирусных энцефалитов установленной этиологии, представленная герпетическим и ЦМВ-энцефалитами, так же незначительно уменьшается в 2006 и 2016 годах (3,3% и 1,7%) относительно 1996 и 1997 годов (9,1%). Значимые колебания в числе энцефалитов неустановленной этиологии – в 1996, 1997 и 2016 годах удельный вес составил 8,7-9,1%, а в 2006 году отмечается рост показателя до 26,2%, возможно могли быть связаны с трудностями лабораторной диагностики или с преобладанием таких возбудителей, которые не имели ярко выраженных характерных морфологических изменений. В 2016 году появился новый тип вирусного энцефалита – прогрессирующая </w:t>
      </w:r>
      <w:r>
        <w:rPr>
          <w:sz w:val="28"/>
          <w:szCs w:val="28"/>
        </w:rPr>
        <w:lastRenderedPageBreak/>
        <w:t xml:space="preserve">мультифокальная лейкоэнцефалопатия, вызываемая </w:t>
      </w:r>
      <w:r>
        <w:rPr>
          <w:sz w:val="28"/>
          <w:szCs w:val="28"/>
          <w:lang w:val="en-US"/>
        </w:rPr>
        <w:t>JC</w:t>
      </w:r>
      <w:r>
        <w:rPr>
          <w:sz w:val="28"/>
          <w:szCs w:val="28"/>
        </w:rPr>
        <w:t>-вирусом. Следует отметить, что нередко наблюдалось сочетание изменений, вызываемых несколькими разными инфекционными агентами, как вирусной, так и иной природы – бактериальной, протозойной или грибковой.</w:t>
      </w:r>
    </w:p>
    <w:p w:rsidR="0044318D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Обращают на себя внимания изменения в структуре ВИЧ-ассоциированной патологии, связанные с цитомегаловирусной инфекцией. Доля случаев с ЦМВИ достоверно уменьшилась в 2006 и 2016 годах (11,5% и 9,7%) в сравнении с 1996 и 1997 годах ЦМВИ выявлялась в 45,5%. Изменения в распределении ЦМВИ по локализации и степени тяжести поражения следующие: в 2006 году отсутствовали  генерализованные формы и ЦМВ-энцефалиты, в 1996+1997 годах тяжёлой ЦМВ-инфекции было больше (18,2%), чем в 2016 году (1,7%). Доля изолированных поражений (преимущественно, ЦМВ-эпинефрит) так же уменьшилась в 2016 году (5,7%) относительно 1996 и 1997 годов (22,7%).</w:t>
      </w:r>
    </w:p>
    <w:p w:rsidR="0044318D" w:rsidRPr="006867CF" w:rsidRDefault="0044318D" w:rsidP="00443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числа о</w:t>
      </w:r>
      <w:r w:rsidR="00E007D2">
        <w:rPr>
          <w:sz w:val="28"/>
          <w:szCs w:val="28"/>
        </w:rPr>
        <w:t xml:space="preserve">тносительно редких </w:t>
      </w:r>
      <w:r>
        <w:rPr>
          <w:sz w:val="28"/>
          <w:szCs w:val="28"/>
        </w:rPr>
        <w:t>заболеваний – криптоспоридиоз и изоспоридиоз (единичные случаи в 1996, 1997 и 2016 годах), саркома Капоши. Показано достоверное снижение удельного веса саркомы Капоши в структуре ВИЧ-ассоциированной патологии, в 1996 и 1997 годах 22,7%, в 2006 и 2016 годах – 1,6% и 0,5%. В 2016 году появились случаи микобактериоза, вызванного нетуберкулёзными микобактериями, причём в ряде случаев это было генерализованное поражение, ставшее основной причиной летального исхода. Также в 2016 году в нескольких случаях по результатам гистологического исследования определялась ВИЧ-ассоциированная нефропатия, однако представляется неоднозначным то, насколько данный тип поражения почек имел место быть.</w:t>
      </w:r>
    </w:p>
    <w:p w:rsidR="00345B6B" w:rsidRDefault="0044318D" w:rsidP="00AC78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сопутствующей патологии значимое место занимают ХВГ (от 22,7% до 88,5% случаев). Однако обращает на себя внимание то, что этиологический спектр гепатитов мало изменялся за эти годы, равно как оставалась неизменной роль ХВГ в танатогенезе – в  примерно 80% </w:t>
      </w:r>
      <w:r>
        <w:rPr>
          <w:sz w:val="28"/>
          <w:szCs w:val="28"/>
        </w:rPr>
        <w:lastRenderedPageBreak/>
        <w:t xml:space="preserve">случаев минимальная. Различие лишь в числе случаев в 1996+1997 (22,7%) и в 2006-2016 года (88,5% и 81%). Соматическая патология, такая как заболевания сердечно-сосудистой системы (атеросклероз, гипертоническая болезнь) и заболевания органов желудочно-кишечного тракта (панкреатит, гастрит), встречалась от 34,4% до 50% случаев, в основном заболевания ЖКТ (18,2%-38,1%). Во многих случаях эти патологии </w:t>
      </w:r>
      <w:r w:rsidR="003C673D">
        <w:rPr>
          <w:sz w:val="28"/>
          <w:szCs w:val="28"/>
        </w:rPr>
        <w:t>связывались</w:t>
      </w:r>
      <w:r>
        <w:rPr>
          <w:sz w:val="28"/>
          <w:szCs w:val="28"/>
        </w:rPr>
        <w:t xml:space="preserve"> с хронической алкогольной интоксикацией. </w:t>
      </w:r>
    </w:p>
    <w:p w:rsidR="00AC7884" w:rsidRDefault="00345B6B" w:rsidP="00345B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884" w:rsidRDefault="00345B6B" w:rsidP="00345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9D1CDB">
        <w:rPr>
          <w:sz w:val="28"/>
          <w:szCs w:val="28"/>
        </w:rPr>
        <w:t>Клинико-анатомические сопоставления</w:t>
      </w:r>
    </w:p>
    <w:p w:rsidR="00AC7884" w:rsidRPr="00AC7884" w:rsidRDefault="00AC7884" w:rsidP="00AC7884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>Доля случаев, связанных с гипердиагностикой туберкулёза: в 1996+97 такие случаи отсутствовали, в 2006 году были в 13,1%, в 2016 году – 7,2%. Также в 2016 году было несколько случаев, в которых туберкулёз был верифицирован при гистологическом исследовании, однако не являлся значимой патологией в танатогенезе. Чаще всего под видом туберкулёза различных органов протекали гнойно-септические поражения и оппортунистические инфекции, такие как пневмоцистная пневмония, криптококкоз ГМ, атипичный микобактериоз; в 20% случаев – генерализованные неходжкинские лимфомы.</w:t>
      </w:r>
    </w:p>
    <w:p w:rsidR="00AC7884" w:rsidRPr="00AC7884" w:rsidRDefault="00AC7884" w:rsidP="00AC7884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>В качестве клинических примеров гипердиагностики туберкулёза можно представить следующие случаи:</w:t>
      </w:r>
    </w:p>
    <w:p w:rsidR="00AC7884" w:rsidRPr="00AC7884" w:rsidRDefault="00AC7884" w:rsidP="00AC7884">
      <w:pPr>
        <w:pStyle w:val="7"/>
        <w:shd w:val="clear" w:color="auto" w:fill="auto"/>
        <w:spacing w:before="0" w:line="36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AC7884">
        <w:rPr>
          <w:rFonts w:asciiTheme="minorHAnsi" w:hAnsiTheme="minorHAnsi" w:cstheme="minorHAnsi"/>
          <w:sz w:val="28"/>
          <w:szCs w:val="28"/>
        </w:rPr>
        <w:t xml:space="preserve">№1 – Пациент мужчина, 40 лет, 04.04.2016 г. поступил в состоянии средней тяжести в КИБ с диагнозом: «ВИЧ-инфекция без АРВТ. Хронический вирусный гепатит В+С, цирротическая стадия». Из анамнеза известно, что страдал полинаркоманией. С 1995 года выявлен </w:t>
      </w:r>
      <w:r w:rsidR="0044318D">
        <w:rPr>
          <w:rFonts w:asciiTheme="minorHAnsi" w:hAnsiTheme="minorHAnsi" w:cstheme="minorHAnsi"/>
          <w:sz w:val="28"/>
          <w:szCs w:val="28"/>
        </w:rPr>
        <w:t xml:space="preserve">ХВГВ+С, с 2014г диагностирована </w:t>
      </w:r>
      <w:r w:rsidRPr="00AC7884">
        <w:rPr>
          <w:rFonts w:asciiTheme="minorHAnsi" w:hAnsiTheme="minorHAnsi" w:cstheme="minorHAnsi"/>
          <w:sz w:val="28"/>
          <w:szCs w:val="28"/>
        </w:rPr>
        <w:t xml:space="preserve">цирротическая стадия, ВИЧ-инфекция с 2006 года. В 2014-2016г в МЛС перенес генерализованный туберкулез с поражением ВГЛУ и отсевом в правое легкое и туберкулез мочеполовой системы. Тогда же в МЛС получал АРВТ. Ухудшение самочувствия с февраля 2016г. в виде одышки при физической нагрузке, слабости, увеличения в объеме живота. Госпитализирован в КИБ. С поступления признаки интоксикации, отёчно-асцитического синдрома, высокая азотемия. При обследовании в ОАМ при поступлении и в динамике: протеинурия 2,7 г/л, 0,57 г/л, 0 г/л, гематурия эр. до 50, 5-7, 10-13, лейкоцитурия 5-10, 7-8, 30-40, цилиндрурия; вирусная нагрузка ВИЧ 198 748 копий/мл, иммунодефицит СДЗ 74%, 687 кл/мкл, СД4 15%, 146кл/мкл, СД8 57%, 532 кл/мкл, СД4/СД8 соотношение 0,27; НВсог+, </w:t>
      </w:r>
      <w:r w:rsidRPr="00AC7884">
        <w:rPr>
          <w:rFonts w:asciiTheme="minorHAnsi" w:hAnsiTheme="minorHAnsi" w:cstheme="minorHAnsi"/>
          <w:sz w:val="28"/>
          <w:szCs w:val="28"/>
          <w:lang w:val="en-US"/>
        </w:rPr>
        <w:t>HCVAb</w:t>
      </w:r>
      <w:r w:rsidRPr="00AC7884">
        <w:rPr>
          <w:rFonts w:asciiTheme="minorHAnsi" w:hAnsiTheme="minorHAnsi" w:cstheme="minorHAnsi"/>
          <w:sz w:val="28"/>
          <w:szCs w:val="28"/>
        </w:rPr>
        <w:t xml:space="preserve">+ от 14.04.2016г; в КАК: тяжелая анемия НЬ 73, 62, 70 г/л, лейкопения 6,5, 2,8, 3,5, </w:t>
      </w:r>
      <w:r w:rsidRPr="00AC7884">
        <w:rPr>
          <w:rFonts w:asciiTheme="minorHAnsi" w:hAnsiTheme="minorHAnsi" w:cstheme="minorHAnsi"/>
          <w:sz w:val="28"/>
          <w:szCs w:val="28"/>
        </w:rPr>
        <w:lastRenderedPageBreak/>
        <w:t xml:space="preserve">тромбоцитопения 191, 113, 108, лимфопения; в б/х крови: снижение ПТИ 92, 78, 58%, азотемия - креатинин 1003, 1048, 982, 1160 ммоль/л, мочевина 59, 64, 62, 55 ммоль/л; высокая липаза 154 Е/л, амилаза 143, 114, гипопротеинемия, повышение КФК 307, ЛДГ 263, 312, глюкоза 5, 6,9, 4,5; на рентгене легких при поступлении: не исключается инфильтративный туберкулез в/доли правого легкого; на томограмме грудной клетки от 07.04.16г: образование в правом легком в 1-ю очередь необходимо дифференцировать между туберкулезом и </w:t>
      </w:r>
      <w:r w:rsidRPr="00AC7884">
        <w:rPr>
          <w:rFonts w:asciiTheme="minorHAnsi" w:hAnsiTheme="minorHAnsi" w:cstheme="minorHAnsi"/>
          <w:sz w:val="28"/>
          <w:szCs w:val="28"/>
          <w:lang w:val="en-US"/>
        </w:rPr>
        <w:t>Cr</w:t>
      </w:r>
      <w:r w:rsidRPr="00AC7884">
        <w:rPr>
          <w:rFonts w:asciiTheme="minorHAnsi" w:hAnsiTheme="minorHAnsi" w:cstheme="minorHAnsi"/>
          <w:sz w:val="28"/>
          <w:szCs w:val="28"/>
        </w:rPr>
        <w:t xml:space="preserve">. Консультация нефролога от 15.04.16г: предположительный диагноз: Туберкулез почек. Хронический тубулоинтерстициальный нефрит. ХБП V стадии. Терминальная почечная недостаточность. За время нахождения в стационаре рецидив туберкулезного заболевания не отмечался, но на фоне хронического заболевания почек прогрессировала почечная недостаточность до ее терминальной стадии. На 15 сутки после поступления, больной умер. </w:t>
      </w:r>
      <w:r w:rsidR="003C673D" w:rsidRPr="00EE0B06">
        <w:rPr>
          <w:rFonts w:asciiTheme="minorHAnsi" w:hAnsiTheme="minorHAnsi" w:cstheme="minorHAnsi"/>
          <w:sz w:val="28"/>
          <w:szCs w:val="28"/>
        </w:rPr>
        <w:t>Заключительный клинический диагноз</w:t>
      </w:r>
      <w:r w:rsidR="003C673D">
        <w:rPr>
          <w:rFonts w:asciiTheme="minorHAnsi" w:hAnsiTheme="minorHAnsi" w:cstheme="minorHAnsi"/>
          <w:sz w:val="28"/>
          <w:szCs w:val="28"/>
        </w:rPr>
        <w:t xml:space="preserve">: </w:t>
      </w:r>
      <w:r w:rsidR="00EE0B06">
        <w:rPr>
          <w:rFonts w:asciiTheme="minorHAnsi" w:hAnsiTheme="minorHAnsi" w:cstheme="minorHAnsi"/>
          <w:sz w:val="28"/>
          <w:szCs w:val="28"/>
        </w:rPr>
        <w:t xml:space="preserve">Основной – ВИЧ-инфекция, 4В (С3), прогрессия без АРВТ. Осложнения: Генерализованный туберкулёз: туберкулёз ВГЛУ с отсевом в верхнюю долю правого лёгкого. Туберкулёз мочеполовой системы в 2014-2016 годах. Хронический тубулоинтерстициальный нефрит. Хроническая болезнь почек </w:t>
      </w:r>
      <w:r w:rsidR="00EE0B06">
        <w:rPr>
          <w:rFonts w:asciiTheme="minorHAnsi" w:hAnsiTheme="minorHAnsi" w:cstheme="minorHAnsi"/>
          <w:sz w:val="28"/>
          <w:szCs w:val="28"/>
          <w:lang w:val="en-US"/>
        </w:rPr>
        <w:t>V</w:t>
      </w:r>
      <w:r w:rsidR="00EE0B06" w:rsidRPr="00EE0B06">
        <w:rPr>
          <w:rFonts w:asciiTheme="minorHAnsi" w:hAnsiTheme="minorHAnsi" w:cstheme="minorHAnsi"/>
          <w:sz w:val="28"/>
          <w:szCs w:val="28"/>
        </w:rPr>
        <w:t xml:space="preserve"> </w:t>
      </w:r>
      <w:r w:rsidR="00EE0B06">
        <w:rPr>
          <w:rFonts w:asciiTheme="minorHAnsi" w:hAnsiTheme="minorHAnsi" w:cstheme="minorHAnsi"/>
          <w:sz w:val="28"/>
          <w:szCs w:val="28"/>
        </w:rPr>
        <w:t xml:space="preserve">стадии. Терминальная почечная недостаточность. Острая сердечно-сосудистая недостаточность. Снижение веса </w:t>
      </w:r>
      <w:r w:rsidR="00EE0B06" w:rsidRPr="00EE0B06">
        <w:rPr>
          <w:rFonts w:asciiTheme="minorHAnsi" w:hAnsiTheme="minorHAnsi" w:cstheme="minorHAnsi"/>
          <w:sz w:val="28"/>
          <w:szCs w:val="28"/>
        </w:rPr>
        <w:t>&gt;</w:t>
      </w:r>
      <w:r w:rsidR="00EE0B06">
        <w:rPr>
          <w:rFonts w:asciiTheme="minorHAnsi" w:hAnsiTheme="minorHAnsi" w:cstheme="minorHAnsi"/>
          <w:sz w:val="28"/>
          <w:szCs w:val="28"/>
        </w:rPr>
        <w:t xml:space="preserve">10%. Волосистая лейкоплакия </w:t>
      </w:r>
      <w:r w:rsidR="00734CE8">
        <w:rPr>
          <w:rFonts w:asciiTheme="minorHAnsi" w:hAnsiTheme="minorHAnsi" w:cstheme="minorHAnsi"/>
          <w:sz w:val="28"/>
          <w:szCs w:val="28"/>
        </w:rPr>
        <w:t>языка. Распространённый кандидоз</w:t>
      </w:r>
      <w:r w:rsidR="00EE0B06">
        <w:rPr>
          <w:rFonts w:asciiTheme="minorHAnsi" w:hAnsiTheme="minorHAnsi" w:cstheme="minorHAnsi"/>
          <w:sz w:val="28"/>
          <w:szCs w:val="28"/>
        </w:rPr>
        <w:t xml:space="preserve"> ЖКТ. </w:t>
      </w:r>
      <w:r w:rsidR="00734CE8">
        <w:rPr>
          <w:rFonts w:asciiTheme="minorHAnsi" w:hAnsiTheme="minorHAnsi" w:cstheme="minorHAnsi"/>
          <w:sz w:val="28"/>
          <w:szCs w:val="28"/>
        </w:rPr>
        <w:t>Сопутствующие заболевания: Полинаркомания. Хронический вирусный гепатит В+С (</w:t>
      </w:r>
      <w:r w:rsidR="00734CE8">
        <w:rPr>
          <w:rFonts w:asciiTheme="minorHAnsi" w:hAnsiTheme="minorHAnsi" w:cstheme="minorHAnsi"/>
          <w:sz w:val="28"/>
          <w:szCs w:val="28"/>
          <w:lang w:val="en-US"/>
        </w:rPr>
        <w:t>HbcorAb</w:t>
      </w:r>
      <w:r w:rsidR="00734CE8" w:rsidRPr="00734CE8">
        <w:rPr>
          <w:rFonts w:asciiTheme="minorHAnsi" w:hAnsiTheme="minorHAnsi" w:cstheme="minorHAnsi"/>
          <w:sz w:val="28"/>
          <w:szCs w:val="28"/>
        </w:rPr>
        <w:t>+,</w:t>
      </w:r>
      <w:r w:rsidR="00734CE8">
        <w:rPr>
          <w:rFonts w:asciiTheme="minorHAnsi" w:hAnsiTheme="minorHAnsi" w:cstheme="minorHAnsi"/>
          <w:sz w:val="28"/>
          <w:szCs w:val="28"/>
        </w:rPr>
        <w:t xml:space="preserve"> </w:t>
      </w:r>
      <w:r w:rsidR="00734CE8">
        <w:rPr>
          <w:rFonts w:asciiTheme="minorHAnsi" w:hAnsiTheme="minorHAnsi" w:cstheme="minorHAnsi"/>
          <w:sz w:val="28"/>
          <w:szCs w:val="28"/>
          <w:lang w:val="en-US"/>
        </w:rPr>
        <w:t>HCV</w:t>
      </w:r>
      <w:r w:rsidR="00734CE8" w:rsidRPr="00734CE8">
        <w:rPr>
          <w:rFonts w:asciiTheme="minorHAnsi" w:hAnsiTheme="minorHAnsi" w:cstheme="minorHAnsi"/>
          <w:sz w:val="28"/>
          <w:szCs w:val="28"/>
        </w:rPr>
        <w:t xml:space="preserve"> </w:t>
      </w:r>
      <w:r w:rsidR="00734CE8">
        <w:rPr>
          <w:rFonts w:asciiTheme="minorHAnsi" w:hAnsiTheme="minorHAnsi" w:cstheme="minorHAnsi"/>
          <w:sz w:val="28"/>
          <w:szCs w:val="28"/>
          <w:lang w:val="en-US"/>
        </w:rPr>
        <w:t>Ab</w:t>
      </w:r>
      <w:r w:rsidR="00734CE8" w:rsidRPr="00734CE8">
        <w:rPr>
          <w:rFonts w:asciiTheme="minorHAnsi" w:hAnsiTheme="minorHAnsi" w:cstheme="minorHAnsi"/>
          <w:sz w:val="28"/>
          <w:szCs w:val="28"/>
        </w:rPr>
        <w:t>+</w:t>
      </w:r>
      <w:r w:rsidR="00734CE8">
        <w:rPr>
          <w:rFonts w:asciiTheme="minorHAnsi" w:hAnsiTheme="minorHAnsi" w:cstheme="minorHAnsi"/>
          <w:sz w:val="28"/>
          <w:szCs w:val="28"/>
        </w:rPr>
        <w:t xml:space="preserve">), цирротическая стадия, декомпенсация. Отёчно-асцитический синдром. Геморрагический синдром. Анемия смешанного генеза. Энцефалополинейропатия смешанного генеза. </w:t>
      </w:r>
      <w:r w:rsidRPr="00AC7884">
        <w:rPr>
          <w:rFonts w:asciiTheme="minorHAnsi" w:hAnsiTheme="minorHAnsi" w:cstheme="minorHAnsi"/>
          <w:sz w:val="28"/>
          <w:szCs w:val="28"/>
        </w:rPr>
        <w:t xml:space="preserve">Данные вскрытия показали, что непосредственной причиной смерти больного, явилась острая почечная недостаточность, обусловленная хроническим нефритом с исходом в нефросклероз. Нефрит протекал с клиникой нефрозо-нефритического синдрома, выраженного отёчно-асцитического синдрома. Обнаруженная </w:t>
      </w:r>
      <w:r w:rsidRPr="00AC7884">
        <w:rPr>
          <w:rFonts w:asciiTheme="minorHAnsi" w:hAnsiTheme="minorHAnsi" w:cstheme="minorHAnsi"/>
          <w:sz w:val="28"/>
          <w:szCs w:val="28"/>
        </w:rPr>
        <w:lastRenderedPageBreak/>
        <w:t>на вскрытии гипертрофическая кардиомиопатия с массой сердца 570 г расценена, как следствие почечной артериальной гипертензии, на момент настоящей госпитализации без высоких цифр артериального давления, что обусловлено сердечной декомпенсацией. Генерализованный туберкулез на вскрытии не обнаружен. При гистологическом исследовании: в лёгких морфологическая картина инкапсулированного неактивного инфильтративного туберкулёза, прогрессирующей бактериальной пневмонии на фоне сердечного гемосидероза лёгких; в почках – хронический гломерулонефрит с исходом в нефросклероз (морфологически больше данных за мембранозно-пролиферативный гломерулонефрит), вторичные дистрофические и некробиотические изменения извитых канальцев.</w:t>
      </w:r>
    </w:p>
    <w:p w:rsidR="00AC7884" w:rsidRPr="00AC7884" w:rsidRDefault="00AC7884" w:rsidP="00AC7884">
      <w:pPr>
        <w:pStyle w:val="7"/>
        <w:shd w:val="clear" w:color="auto" w:fill="auto"/>
        <w:spacing w:before="0" w:line="36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AC7884">
        <w:rPr>
          <w:rFonts w:asciiTheme="minorHAnsi" w:hAnsiTheme="minorHAnsi" w:cstheme="minorHAnsi"/>
          <w:sz w:val="28"/>
          <w:szCs w:val="28"/>
        </w:rPr>
        <w:t xml:space="preserve">№2 – Пациент мужчина, 43 года, наркозависимый, поступил 27.04.16 с обострением хронического вирусного гепатита С. Во время пребывания в стационаре была выявлена расслаивающая аневризма аорты, проводился дифференциальный диагноз с туберкулёзным поражением тел позвонков и паравертебральным абсцессом. Клинический диагноз: «ВИЧ-инфекция 4В (С3 по </w:t>
      </w:r>
      <w:r w:rsidRPr="00AC7884">
        <w:rPr>
          <w:rFonts w:asciiTheme="minorHAnsi" w:hAnsiTheme="minorHAnsi" w:cstheme="minorHAnsi"/>
          <w:sz w:val="28"/>
          <w:szCs w:val="28"/>
          <w:lang w:val="en-US"/>
        </w:rPr>
        <w:t>CDC</w:t>
      </w:r>
      <w:r w:rsidRPr="00AC7884">
        <w:rPr>
          <w:rFonts w:asciiTheme="minorHAnsi" w:hAnsiTheme="minorHAnsi" w:cstheme="minorHAnsi"/>
          <w:sz w:val="28"/>
          <w:szCs w:val="28"/>
        </w:rPr>
        <w:t>) стадия, прогрессирование на фоне прерывания АРВТ. Осложнения: Генерализованный туберкулёз. Туберкул</w:t>
      </w:r>
      <w:r w:rsidR="00AB53F6">
        <w:rPr>
          <w:rFonts w:asciiTheme="minorHAnsi" w:hAnsiTheme="minorHAnsi" w:cstheme="minorHAnsi"/>
          <w:sz w:val="28"/>
          <w:szCs w:val="28"/>
        </w:rPr>
        <w:t>ёз ВГЛУ в фазе инфильтрации, МБ</w:t>
      </w:r>
      <w:r w:rsidRPr="00AC7884">
        <w:rPr>
          <w:rFonts w:asciiTheme="minorHAnsi" w:hAnsiTheme="minorHAnsi" w:cstheme="minorHAnsi"/>
          <w:sz w:val="28"/>
          <w:szCs w:val="28"/>
        </w:rPr>
        <w:t>(-); внутрибрюшинных л/у, кишечника, печени; селезёнки; почек. Туберкулёзный спондилит, миелит грудного и пояснично-крестцового отделов позвоночного столба. Паравертебральный абсцесс? Сопутствующий: ХВГВ+С умеренной активности. Хронический пиелонефрит, обостре</w:t>
      </w:r>
      <w:r w:rsidR="00760D89">
        <w:rPr>
          <w:rFonts w:asciiTheme="minorHAnsi" w:hAnsiTheme="minorHAnsi" w:cstheme="minorHAnsi"/>
          <w:sz w:val="28"/>
          <w:szCs w:val="28"/>
        </w:rPr>
        <w:t>ние. Расслаивающая аневризма брюшного</w:t>
      </w:r>
      <w:r w:rsidRPr="00AC7884">
        <w:rPr>
          <w:rFonts w:asciiTheme="minorHAnsi" w:hAnsiTheme="minorHAnsi" w:cstheme="minorHAnsi"/>
          <w:sz w:val="28"/>
          <w:szCs w:val="28"/>
        </w:rPr>
        <w:t xml:space="preserve"> отдела аорты. Состоявшееся желудочно-кишечное кровотечение от 07.05.16. Полинаркомания». На вскрытии подтверждён диагноз расслаивающей аневризмы брюшного отдела аорты с разрывом и обширными кровоизлияниями в забрюшинную клетчатку и мягкие ткани паравертебральные и левой пояснично-подвздошной областей. Смерть наступила при продолжающемся желудочном кровотечении из острых </w:t>
      </w:r>
      <w:r w:rsidRPr="00AC7884">
        <w:rPr>
          <w:rFonts w:asciiTheme="minorHAnsi" w:hAnsiTheme="minorHAnsi" w:cstheme="minorHAnsi"/>
          <w:sz w:val="28"/>
          <w:szCs w:val="28"/>
        </w:rPr>
        <w:lastRenderedPageBreak/>
        <w:t>эрозий желудка. ХВГВ+С и ВИЧ-инфекция значимой роли в танатогенезе не сыграли. При гистологическом исследовании туберкулёзного</w:t>
      </w:r>
      <w:r w:rsidR="00760D89">
        <w:rPr>
          <w:rFonts w:asciiTheme="minorHAnsi" w:hAnsiTheme="minorHAnsi" w:cstheme="minorHAnsi"/>
          <w:sz w:val="28"/>
          <w:szCs w:val="28"/>
        </w:rPr>
        <w:t xml:space="preserve"> поражения не было найдено,</w:t>
      </w:r>
      <w:r w:rsidRPr="00AC7884">
        <w:rPr>
          <w:rFonts w:asciiTheme="minorHAnsi" w:hAnsiTheme="minorHAnsi" w:cstheme="minorHAnsi"/>
          <w:sz w:val="28"/>
          <w:szCs w:val="28"/>
        </w:rPr>
        <w:t xml:space="preserve"> при исследовании аорты – дефект аневризмы аорты на фоне атеросклеротических изменений.</w:t>
      </w:r>
    </w:p>
    <w:p w:rsidR="00AC7884" w:rsidRPr="00AC7884" w:rsidRDefault="00AC7884" w:rsidP="00AC7884">
      <w:pPr>
        <w:pStyle w:val="7"/>
        <w:shd w:val="clear" w:color="auto" w:fill="auto"/>
        <w:spacing w:before="0" w:line="36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</w:p>
    <w:p w:rsidR="00AC7884" w:rsidRPr="00AC7884" w:rsidRDefault="00AC7884" w:rsidP="00AC7884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>Доля случаев, связанных с гиподиагностикой туберкулёза, достоверно уменьшается: в 1996+97 их удельный вес составил 13,6%, в 2006 году – 6,5%, в 2016 – 3%. В 15,8% прижизненно не диагностированный туберкулёз ВГЛУ/ВБЛУ, вероя</w:t>
      </w:r>
      <w:r w:rsidR="00483DCB">
        <w:rPr>
          <w:sz w:val="28"/>
          <w:szCs w:val="28"/>
        </w:rPr>
        <w:t xml:space="preserve">тнее всего, не имел </w:t>
      </w:r>
      <w:r w:rsidRPr="00AC7884">
        <w:rPr>
          <w:sz w:val="28"/>
          <w:szCs w:val="28"/>
        </w:rPr>
        <w:t>клинического значения и влияния на танатогенез. В прочих случаях туберкулёз определённо был основной причиной смерти, однако в виду тяжести состояния, краткости пребывания больного в стационаре или неоднозначности результатов лабораторных исследований не был диагностирован своевременно. В числе диагнозов, наиболее часто устанавливаемых вместо туберкулёза, были: ВИЧ-ассоциированное поражение головного мозга, серозный менингоэнцефалит неясной этиологии, пневмоцистная пневмония, сепсис, генерализованная ЦМВ-инфекция.</w:t>
      </w:r>
    </w:p>
    <w:p w:rsidR="00AC7884" w:rsidRPr="00AC7884" w:rsidRDefault="00AC7884" w:rsidP="00AC7884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>В качестве клинического примера можно представить следующий случай:</w:t>
      </w:r>
    </w:p>
    <w:p w:rsidR="00AC7884" w:rsidRPr="00AC7884" w:rsidRDefault="00AC7884" w:rsidP="00AC7884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 xml:space="preserve">Пациент мужчина, 41 год, поступил 08.01.96, диагноз при поступлении – ВИЧ-инфекция. Болен ВИЧ-инфекцией с 1989 года, неоднократно госпитализировался в связи с периодически развивающимся ухудшениями состояния в виде постоянного субфебрилитета, развитием орофациального герпеса, кандидоза слизистой полости рта, прогрессированием псориаза. С 1994 диагностирован СПИД. В 1995 году – прогрессирование ЦМВ-ретинита с полной потерей зрения в левом глазу. При последней госпитализации – пациент в тяжёлом состоянии, клиническая картина прогрессирования ЦМВ-ретинита, поражение бронхолёгочной системы, сердечно-сосудистая недостаточность, тяжёлая лихорадка, признаки энцефалопатии, появления псориаза, орофарингеальный кандидоз.  </w:t>
      </w:r>
      <w:r w:rsidRPr="00AC7884">
        <w:rPr>
          <w:sz w:val="28"/>
          <w:szCs w:val="28"/>
        </w:rPr>
        <w:lastRenderedPageBreak/>
        <w:t xml:space="preserve">Клинический диагноз был сформулирован следующим образом: основное заболевание – ВИЧ-инфекция С3/4В-СПИД. Генерализованная ЦМВ-инфекция (ретинит, гастроэнтероколит, эзофагит, пневмония, альвеолит). ВИЧ-энцефалит. ВИЧ-кахексия. Криптококковый менингит? Анемия. Лейкопения. Миокардиодистрофия. Осложнения основного заболевания – лёгочно-сердечная недостаточность. Сопутствующие заболевания – Псориаз, стационарная форма. Микоз, онихомикоз стоп. Реактивный панкреатит. В последнем ОАК от 21.05: </w:t>
      </w:r>
      <w:r w:rsidRPr="00AC7884">
        <w:rPr>
          <w:rFonts w:cstheme="minorHAnsi"/>
          <w:sz w:val="28"/>
          <w:szCs w:val="28"/>
        </w:rPr>
        <w:t xml:space="preserve">НЬ 70 г/л, эритроциты 2,5, лейкопения 2,9, тромбоцитопения 149, СОЭ 26 мм/час. </w:t>
      </w:r>
      <w:r w:rsidRPr="00AC7884">
        <w:rPr>
          <w:sz w:val="28"/>
          <w:szCs w:val="28"/>
        </w:rPr>
        <w:t xml:space="preserve">При серологическом исследовании: первоначально к ЦМВ выявлялись </w:t>
      </w:r>
      <w:r w:rsidRPr="00AC7884">
        <w:rPr>
          <w:sz w:val="28"/>
          <w:szCs w:val="28"/>
          <w:lang w:val="en-US"/>
        </w:rPr>
        <w:t>IgM</w:t>
      </w:r>
      <w:r w:rsidRPr="00AC7884">
        <w:rPr>
          <w:sz w:val="28"/>
          <w:szCs w:val="28"/>
        </w:rPr>
        <w:t xml:space="preserve">, позже </w:t>
      </w:r>
      <w:r w:rsidRPr="00AC7884">
        <w:rPr>
          <w:sz w:val="28"/>
          <w:szCs w:val="28"/>
          <w:lang w:val="en-US"/>
        </w:rPr>
        <w:t>IgG</w:t>
      </w:r>
      <w:r w:rsidRPr="00AC7884">
        <w:rPr>
          <w:sz w:val="28"/>
          <w:szCs w:val="28"/>
        </w:rPr>
        <w:t xml:space="preserve">; антитела к герпесу 3+. Последняя рентгенограмма от  18.04 – усиление лёгочного рисунка, особенно в прикорневых отделах, свежих инфильтративных изменений нет. Пациент умер 29.05.96. На вскрытии было выявлено, что среди СПИД-ассоциированных инфекций наибольшее значение в наступлении летального исхода имели прижизненно не выявленный туберкулёз с преимущественно некротическими очагами в селезёнке и печени и острый некротический токсоплазменный энцефалит. Существенное значение имели и тяжёлая прогрессирующая бактериальная пневмония (стафилококк+синегнойная палочка) и сфеноидит (синегнойная палочка), так же не распознанные клинически. Степень выраженности ДНК-вирусной инфекции (ЦМВ+простой герпес по данным прижизненного и посмертного вирусологических исследований) была умеренной. При гистологическом исследовании были выявлены туберкулёзное поражение лёгких, кандидоз пищевода. </w:t>
      </w:r>
    </w:p>
    <w:p w:rsidR="004F3723" w:rsidRDefault="00AC7884" w:rsidP="004F3723">
      <w:pPr>
        <w:spacing w:line="360" w:lineRule="auto"/>
        <w:jc w:val="both"/>
        <w:rPr>
          <w:sz w:val="28"/>
          <w:szCs w:val="28"/>
        </w:rPr>
      </w:pPr>
      <w:r w:rsidRPr="00AC7884">
        <w:rPr>
          <w:sz w:val="28"/>
          <w:szCs w:val="28"/>
        </w:rPr>
        <w:t xml:space="preserve">Из числа случаев с выявленным туберкулёзом, в ряде случаев многоочагового поражения отмечается неполная клиническая диагностика локализаций туберкулёзного процесса: в 1996+97 в 28,57%, в 2006 – в 52,4%, в 2016 – 32,2%. В подавляющем большинстве случаев это, вероятнее всего, не влияло на течение заболевания и исход; наиболее </w:t>
      </w:r>
      <w:r w:rsidRPr="00AC7884">
        <w:rPr>
          <w:sz w:val="28"/>
          <w:szCs w:val="28"/>
        </w:rPr>
        <w:lastRenderedPageBreak/>
        <w:t>частые локализации, оказывавшиеся не учтёнными в клиническом диагнозе – туберкулёз селезёнки, почек, печени, надпочечников, забрюшинных л/у. Реже не выявлялись туберкулёзный перитонит и плеврит, илеит, туберкулёз ВБЛУ и ВГЛУ. Отмечались единичные случаи туберкулёзного поражения сердца и щитовидной железы.</w:t>
      </w:r>
      <w:r w:rsidR="004F3723">
        <w:rPr>
          <w:sz w:val="28"/>
          <w:szCs w:val="28"/>
        </w:rPr>
        <w:t xml:space="preserve"> </w:t>
      </w:r>
    </w:p>
    <w:p w:rsidR="004F3723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884" w:rsidRPr="004F3723" w:rsidRDefault="00AC7884" w:rsidP="004F3723">
      <w:pPr>
        <w:spacing w:line="360" w:lineRule="auto"/>
        <w:jc w:val="center"/>
        <w:rPr>
          <w:sz w:val="28"/>
          <w:szCs w:val="28"/>
        </w:rPr>
      </w:pPr>
      <w:r w:rsidRPr="003C3E31">
        <w:rPr>
          <w:b/>
          <w:sz w:val="32"/>
          <w:szCs w:val="32"/>
        </w:rPr>
        <w:lastRenderedPageBreak/>
        <w:t>Заключение</w:t>
      </w:r>
    </w:p>
    <w:p w:rsidR="00712B74" w:rsidRPr="003E0EFB" w:rsidRDefault="003E0EFB" w:rsidP="00E00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 лет произошёл значимый патоморфоз ВИЧ-инфекции, о чём свидетельствуют полученные данные. Некоторые из выявленных изменений в целом согласуются с данными литературы и других исследований, как например динамика половозрастной структуры и преобладающих путей инфицирования. </w:t>
      </w:r>
    </w:p>
    <w:p w:rsidR="00DD2F80" w:rsidRDefault="00E007D2" w:rsidP="00E00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ряд выявленных нами, частично впервые, фактов очевидных причин не имеет. Можно лишь предполагать, что снижение частоты ВИЧ-энц</w:t>
      </w:r>
      <w:r w:rsidR="003E0EFB">
        <w:rPr>
          <w:sz w:val="28"/>
          <w:szCs w:val="28"/>
        </w:rPr>
        <w:t xml:space="preserve">ефалитов может быть связано с </w:t>
      </w:r>
      <w:r>
        <w:rPr>
          <w:sz w:val="28"/>
          <w:szCs w:val="28"/>
        </w:rPr>
        <w:t>изменением генотипов циркулирующих вирусов. Данных о причинах существенных изменений частоты</w:t>
      </w:r>
      <w:r w:rsidR="00DD2F80">
        <w:rPr>
          <w:sz w:val="28"/>
          <w:szCs w:val="28"/>
        </w:rPr>
        <w:t xml:space="preserve"> </w:t>
      </w:r>
      <w:r>
        <w:rPr>
          <w:sz w:val="28"/>
          <w:szCs w:val="28"/>
        </w:rPr>
        <w:t>ряда вторичных заболева</w:t>
      </w:r>
      <w:r w:rsidR="00DD2F80">
        <w:rPr>
          <w:sz w:val="28"/>
          <w:szCs w:val="28"/>
        </w:rPr>
        <w:t xml:space="preserve">ний или даже их появления </w:t>
      </w:r>
      <w:r>
        <w:rPr>
          <w:sz w:val="28"/>
          <w:szCs w:val="28"/>
        </w:rPr>
        <w:t>(ПМЛ) нет.</w:t>
      </w:r>
    </w:p>
    <w:p w:rsidR="00E007D2" w:rsidRDefault="00E007D2" w:rsidP="00E00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Важнейшее значение имеют данные о том, что наряду с подробно описанн</w:t>
      </w:r>
      <w:r w:rsidR="00DD2F80">
        <w:rPr>
          <w:sz w:val="28"/>
          <w:szCs w:val="28"/>
        </w:rPr>
        <w:t>ым в литературе быстро прогрессирующем</w:t>
      </w:r>
      <w:r>
        <w:rPr>
          <w:sz w:val="28"/>
          <w:szCs w:val="28"/>
        </w:rPr>
        <w:t xml:space="preserve"> течении туберкулеза на фоне ВИЧ-инфекции</w:t>
      </w:r>
      <w:r w:rsidR="00DD2F80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наблюдений он не прогрессировал и даже находился в стадии «остаточных изменений». Эти данные нуждаются в отдельном анализе.</w:t>
      </w:r>
    </w:p>
    <w:p w:rsidR="004F3723" w:rsidRDefault="00E007D2" w:rsidP="004F3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 чрезвычайно частого сочетания ВИЧ инфекции с хроническими вирусными гепатитами, особенно у наркопотребителей, широко известен. Вместе с тем, частота случаев в которых гепатиты сыграли значительную</w:t>
      </w:r>
      <w:r w:rsidR="00DD2F80">
        <w:rPr>
          <w:sz w:val="28"/>
          <w:szCs w:val="28"/>
        </w:rPr>
        <w:t xml:space="preserve"> роль в танатогенезе (порядка 13-20 </w:t>
      </w:r>
      <w:r>
        <w:rPr>
          <w:sz w:val="28"/>
          <w:szCs w:val="28"/>
        </w:rPr>
        <w:t>% во все годы) сравнительно невелико. Эти данные также нуждаются в дальнейшем специальном анализе.</w:t>
      </w:r>
    </w:p>
    <w:p w:rsidR="00AC7884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884" w:rsidRPr="003C3E31" w:rsidRDefault="00AC7884" w:rsidP="00AC7884">
      <w:pPr>
        <w:spacing w:line="360" w:lineRule="auto"/>
        <w:jc w:val="center"/>
        <w:rPr>
          <w:b/>
          <w:sz w:val="32"/>
          <w:szCs w:val="32"/>
        </w:rPr>
      </w:pPr>
      <w:r w:rsidRPr="003C3E31">
        <w:rPr>
          <w:b/>
          <w:sz w:val="32"/>
          <w:szCs w:val="32"/>
        </w:rPr>
        <w:lastRenderedPageBreak/>
        <w:t>Выводы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38">
        <w:rPr>
          <w:sz w:val="28"/>
          <w:szCs w:val="28"/>
        </w:rPr>
        <w:t xml:space="preserve">В исследуемые годы происходит увеличение доли женщин с ВИЧ-инфекцией с 18,2% в 1996 и 1997 годах до 40,9% в 2016 году; также увеличивается средний возраст пациентов с ВИЧ, однако отмечается волнообразность динамики изменений – в 1996 и 1997 средний возраст составил </w:t>
      </w:r>
      <w:r w:rsidRPr="00460B38">
        <w:rPr>
          <w:rFonts w:ascii="Times New Roman" w:hAnsi="Times New Roman" w:cs="Times New Roman"/>
          <w:sz w:val="28"/>
          <w:szCs w:val="28"/>
        </w:rPr>
        <w:t>35,36±2,76 лет, в 2006 году снизился до 32,7±1,2 лет, а в 2016 повысился до 38±0,4 лет.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>Удельный вес пациентов, употреблявших инъекционные формы различных наркотиков, незначительно снизился в 2016 году по сравнению с 2006 годом (с 55,7% до 47,4%), но стоит отметить, что в 1996 и 1997 годах данная группа отсутствовала. В отношении хронической алкогольной интоксикации наблюдается обратная ситуация – в 1996 и 1997 годах доля пациентов с алкоголизмом составила 31,8%, в 2006 году увеличилась до 54% и имеет тенденцию к нарастанию в 2016 году (57,1%).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>При формулировке диагноза ВИЧ-инфекция могла значиться как основное заболевание, сопутствующая патология или входить в состав комбинированного диагноза основного заболевания; в 1996 и 1997 годах ВИЧ-инфекция в стадии СПИД в 100% случаев обозначалась в качестве основного заболевания; в 2006 году в трети случаев ВИЧ-инфекция указывалась в качестве сопутствующей патологии, а в 2016 году – только в 18% случаев.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 xml:space="preserve">Вирусные гепатиты фигурировали в диагнозе в качестве сопутствующей патологии или основного заболевания в большей части случаев (81,5-88%) в 2006 и 2016 годах, в 1996 и 1997 году доля пациентов с вирусными гепатитами составила 22,7%. Этиологическая структура хронических вирусных гепатитов мало различалась между исследуемыми выборками, отмечается преобладание ХВГВ+С и ХВГС. Также оценивалась степень влияния </w:t>
      </w:r>
      <w:r w:rsidRPr="00460B38">
        <w:rPr>
          <w:sz w:val="28"/>
          <w:szCs w:val="28"/>
        </w:rPr>
        <w:lastRenderedPageBreak/>
        <w:t xml:space="preserve">вирусных гепатитов на танатогенез – в 75-80% случаев наличие у пациента данной сопутствующей патологии играло минимальную роль в наступлении смерти. 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>АРВТ проводилась малому числу пациентов: в 2006 году – 3,3%, в 2016 году – 38,7%, из них в предположительно адекватном объёме в 13,3%, в 25,4% - в неполном объёме по тем или иным причинам.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>Наиболее значимыми в танатогенезе во всех исследованных выборках были следующие заболевания: туберкулёз (18,2%-29,5%), вирусные энцефалиты (4,9%-27,2%) и пневмонии различной этиологии (9,1%-21,3%). Полный спектр патологий и их доля в структуре  заболеваний варьировали в разные годы, некоторые вторичные заболевания (ЦМВИ, криптоспоридиоз) встречались лишь в 1996, 1997 и 2016 годах, отдельные инфекции, такие как ПМЛ и микобактериоз, вызванный НТМБ, встречались лишь в 2016 году.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 xml:space="preserve"> На развитие летального исхода у ВИЧ-инфицированных пациентов могло влиять наличие и взаимодействие нескольких заболеваний инфекционной и неинфекционной природы. Во все исследованные года удельный случаев, когда генез летального исхода был связан с развитием двух наиболее значимых патологий, колебался от 34,4% до 50%, в то время как доля случаев с множественными заболеваниями, усугублявшими течение друг друга, была значимо выше в 1996-1997 года</w:t>
      </w:r>
      <w:r w:rsidR="009B2078">
        <w:rPr>
          <w:sz w:val="28"/>
          <w:szCs w:val="28"/>
        </w:rPr>
        <w:t>х (40,9%) и выражено уменьшилась</w:t>
      </w:r>
      <w:r w:rsidRPr="00460B38">
        <w:rPr>
          <w:sz w:val="28"/>
          <w:szCs w:val="28"/>
        </w:rPr>
        <w:t xml:space="preserve"> в последующие годы (6,5% в 2006 году и 10,5% в 2016 году).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 xml:space="preserve">В структуре оппортунистических заболеваний отмечается преобладание кандидозного поражения слизистых (49,1%-90,8%), при этом доля кандидоза значимо увеличивается в 2016 году (90,8%) по сравнению с предыдущими годами. Удельный вес вирусных энцефалитов в 1996-1997 и 2006 годах мало меняется (41%-42,6%), в то время как в 2016 году происходит резкое уменьшение их  числа </w:t>
      </w:r>
      <w:r w:rsidRPr="00460B38">
        <w:rPr>
          <w:sz w:val="28"/>
          <w:szCs w:val="28"/>
        </w:rPr>
        <w:lastRenderedPageBreak/>
        <w:t>(4,5%). Доля иных заболеваний существенно не менялась в разные годы.</w:t>
      </w:r>
    </w:p>
    <w:p w:rsidR="0044318D" w:rsidRPr="00460B38" w:rsidRDefault="0044318D" w:rsidP="00B9214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 xml:space="preserve">В целом, структура ВИЧ-ассоциированных заболеваний в исследованные годы меняется в соответствии с закономерностями развития эпидемического процесса, для большинства патологий различия между выборками незначимы. Однако есть и исключения – в отношении ЦМВИ были выявлены достоверно значимые колебания, как в числе выявленных случаев, так и в степени тяжести поражения. Группа вирусных энцефалитов также была подвержена и количественным, и качественным изменениям: в 1996 и 1997 годах выявлялась 100% поражённость, а к 2016 году доля вирусных поражений головного мозга снизилась до 19,7%; изменения в этиологической структуре энцефалитов были связаны с уменьшением числа ВИЧ-энцефалитов (со 100% в 1996 и 1997 годах до 4% в 2016), колебаниями удельного веса вирусных энцефалитов неизвестной этиологии (наибольшее число в 2006 году – 26,2%, в 1996, 1997 и 2016 годах – 8,7%-9,1%) и появлением нового возбудителя в 2016 году – </w:t>
      </w:r>
      <w:r w:rsidRPr="00460B38">
        <w:rPr>
          <w:sz w:val="28"/>
          <w:szCs w:val="28"/>
          <w:lang w:val="en-US"/>
        </w:rPr>
        <w:t>JC</w:t>
      </w:r>
      <w:r w:rsidRPr="00460B38">
        <w:rPr>
          <w:sz w:val="28"/>
          <w:szCs w:val="28"/>
        </w:rPr>
        <w:t>-вируса, вызывающего ПМЛ.</w:t>
      </w:r>
    </w:p>
    <w:p w:rsidR="004F3723" w:rsidRDefault="0044318D" w:rsidP="004F372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60B38">
        <w:rPr>
          <w:sz w:val="28"/>
          <w:szCs w:val="28"/>
        </w:rPr>
        <w:t xml:space="preserve"> При проведении клинико-анатомических сопоставлений в отношении туберкулёза следует отметить, что в ряде случаев фактического совпадения диагнозов по данной нозологии обращали на себя внимание различия в оценке степени активности туберкулёзного процесса</w:t>
      </w:r>
      <w:r w:rsidR="00E007D2">
        <w:rPr>
          <w:sz w:val="28"/>
          <w:szCs w:val="28"/>
        </w:rPr>
        <w:t xml:space="preserve"> и его топографии</w:t>
      </w:r>
      <w:r w:rsidRPr="00460B38">
        <w:rPr>
          <w:sz w:val="28"/>
          <w:szCs w:val="28"/>
        </w:rPr>
        <w:t>, что могло приводить как гипердиагностике, так и к гиподиагностике</w:t>
      </w:r>
      <w:r w:rsidR="004F3723">
        <w:rPr>
          <w:sz w:val="28"/>
          <w:szCs w:val="28"/>
        </w:rPr>
        <w:t>.</w:t>
      </w:r>
    </w:p>
    <w:p w:rsidR="00FC6176" w:rsidRPr="004F3723" w:rsidRDefault="004F3723" w:rsidP="004F3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884" w:rsidRPr="003C3E31" w:rsidRDefault="00AC7884" w:rsidP="00AC7884">
      <w:pPr>
        <w:spacing w:line="360" w:lineRule="auto"/>
        <w:jc w:val="center"/>
        <w:rPr>
          <w:b/>
          <w:sz w:val="32"/>
          <w:szCs w:val="32"/>
        </w:rPr>
      </w:pPr>
      <w:r w:rsidRPr="003C3E31">
        <w:rPr>
          <w:b/>
          <w:sz w:val="32"/>
          <w:szCs w:val="32"/>
        </w:rPr>
        <w:lastRenderedPageBreak/>
        <w:t>Список литературы</w:t>
      </w:r>
    </w:p>
    <w:p w:rsidR="006C5DEC" w:rsidRDefault="006C5DE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Беляков Н.А., Виноградова Т.Н., Розенталь В.В., Сизова Н.В., Рассохин В.В., Лисицина З.Н., Пантелеева О.В., Дворак С.И. Эволюция эпидемии ВИЧ-инфекции в Санкт-Петербурге – снижение заболеваемости, старение и утяжеление болезни // ВИЧ-инфекция и иммуносупрессия. – 2015. – Т. 7, № 2. – С. 7-17.</w:t>
      </w:r>
    </w:p>
    <w:p w:rsidR="00F339CB" w:rsidRDefault="00F339CB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Бердников Р.Б., Гринберг Л.М., Сорокина Н.Д.</w:t>
      </w:r>
      <w:r w:rsidR="004F06E9">
        <w:rPr>
          <w:sz w:val="28"/>
          <w:szCs w:val="28"/>
        </w:rPr>
        <w:t xml:space="preserve"> Опухоли в структуре вторичных заболеваний при ВИЧ-инфекции по данным аутопсий специализированного фтизиопульмонологического отделения  // Уральский медицинский журнал. – 2014. – № 8 (122). – С. 77-82.</w:t>
      </w:r>
    </w:p>
    <w:p w:rsidR="00044925" w:rsidRDefault="0004492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Блувштейн Г.А., Мозеров С.А., Кулаков А.А. Клинико-морфологические аспекты хирургических ошибок и осложнений у больных ВИЧ/СПИД.  //  Известия высших учебных заведений. Поволжский регион. Медицинские науки. – 2010. – № 4 (16). – С. 61-72. </w:t>
      </w:r>
    </w:p>
    <w:p w:rsidR="00B743DB" w:rsidRDefault="00B743DB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ВИЧ 2014/2015</w:t>
      </w:r>
      <w:r w:rsidR="005F7265">
        <w:rPr>
          <w:sz w:val="28"/>
          <w:szCs w:val="28"/>
        </w:rPr>
        <w:t xml:space="preserve"> / под ред. </w:t>
      </w:r>
      <w:r w:rsidR="00E45E17">
        <w:rPr>
          <w:sz w:val="28"/>
          <w:szCs w:val="28"/>
        </w:rPr>
        <w:t xml:space="preserve">Хоффмана </w:t>
      </w:r>
      <w:r w:rsidR="005F7265">
        <w:rPr>
          <w:sz w:val="28"/>
          <w:szCs w:val="28"/>
        </w:rPr>
        <w:t xml:space="preserve">К. и </w:t>
      </w:r>
      <w:r w:rsidR="00E45E17">
        <w:rPr>
          <w:sz w:val="28"/>
          <w:szCs w:val="28"/>
        </w:rPr>
        <w:t>Рокштро</w:t>
      </w:r>
      <w:r w:rsidR="00044925">
        <w:rPr>
          <w:sz w:val="28"/>
          <w:szCs w:val="28"/>
        </w:rPr>
        <w:t xml:space="preserve"> </w:t>
      </w:r>
      <w:r w:rsidR="005F7265">
        <w:rPr>
          <w:sz w:val="28"/>
          <w:szCs w:val="28"/>
        </w:rPr>
        <w:t>Ю. К</w:t>
      </w:r>
      <w:r w:rsidR="00E45E17">
        <w:rPr>
          <w:sz w:val="28"/>
          <w:szCs w:val="28"/>
        </w:rPr>
        <w:t xml:space="preserve">. – Medizin </w:t>
      </w:r>
      <w:r w:rsidR="00E45E17" w:rsidRPr="00E45E17">
        <w:rPr>
          <w:sz w:val="28"/>
          <w:szCs w:val="28"/>
        </w:rPr>
        <w:t>Fokus</w:t>
      </w:r>
      <w:r w:rsidR="00E45E17">
        <w:rPr>
          <w:sz w:val="28"/>
          <w:szCs w:val="28"/>
        </w:rPr>
        <w:t>, 2014. – 942 с.</w:t>
      </w:r>
    </w:p>
    <w:p w:rsidR="002F0615" w:rsidRDefault="002F061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4083C">
        <w:rPr>
          <w:sz w:val="28"/>
          <w:szCs w:val="28"/>
        </w:rPr>
        <w:t>ВИЧ-инфекция и СПИД: национальное руководство / под</w:t>
      </w:r>
      <w:r>
        <w:rPr>
          <w:sz w:val="28"/>
          <w:szCs w:val="28"/>
        </w:rPr>
        <w:t xml:space="preserve"> </w:t>
      </w:r>
      <w:r w:rsidR="005F7265">
        <w:rPr>
          <w:sz w:val="28"/>
          <w:szCs w:val="28"/>
        </w:rPr>
        <w:t xml:space="preserve">ред. акад. РАМН </w:t>
      </w:r>
      <w:r w:rsidRPr="0054083C">
        <w:rPr>
          <w:sz w:val="28"/>
          <w:szCs w:val="28"/>
        </w:rPr>
        <w:t>Покровского</w:t>
      </w:r>
      <w:r w:rsidR="005F7265">
        <w:rPr>
          <w:sz w:val="28"/>
          <w:szCs w:val="28"/>
        </w:rPr>
        <w:t xml:space="preserve"> В. В.</w:t>
      </w:r>
      <w:r w:rsidRPr="0054083C">
        <w:rPr>
          <w:sz w:val="28"/>
          <w:szCs w:val="28"/>
        </w:rPr>
        <w:t>. — М.: ГЭОТАР-Медиа,</w:t>
      </w:r>
      <w:r>
        <w:rPr>
          <w:sz w:val="28"/>
          <w:szCs w:val="28"/>
        </w:rPr>
        <w:t xml:space="preserve"> </w:t>
      </w:r>
      <w:r w:rsidRPr="0054083C">
        <w:rPr>
          <w:sz w:val="28"/>
          <w:szCs w:val="28"/>
        </w:rPr>
        <w:t>2013. — 608 с.</w:t>
      </w:r>
    </w:p>
    <w:p w:rsidR="00E47A9A" w:rsidRDefault="00E47A9A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Вяльцин С.В., Калинина Е.А. Анализ смертности ВИЧ-инфицированных в Оренбургской области в период 2006-2010 гг  /</w:t>
      </w:r>
      <w:r w:rsidR="00F339CB">
        <w:rPr>
          <w:sz w:val="28"/>
          <w:szCs w:val="28"/>
        </w:rPr>
        <w:t>/ ВИЧ-инфекция и иммуносупрессии</w:t>
      </w:r>
      <w:r>
        <w:rPr>
          <w:sz w:val="28"/>
          <w:szCs w:val="28"/>
        </w:rPr>
        <w:t>. – 2012. – Т.4, № 3. – С. 87-91.</w:t>
      </w:r>
    </w:p>
    <w:p w:rsidR="006D4A02" w:rsidRDefault="006D4A02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Голохвастова Е., Царенко С., Литвинова Н., Перегудова А., Леонова Т., Шахгильдян В., Ольшанский А., Мазус А. Спектр и частота оппортунистических инфекций у больных ВИЧ-инфекцией  //  Врач. – 2012. – № 6. – С. 26-30.</w:t>
      </w:r>
    </w:p>
    <w:p w:rsidR="008653EC" w:rsidRDefault="008653E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Гринберг</w:t>
      </w:r>
      <w:r w:rsidR="007909EE">
        <w:rPr>
          <w:sz w:val="28"/>
          <w:szCs w:val="28"/>
        </w:rPr>
        <w:t xml:space="preserve"> Л.М., Бердников Р.Б., Кондрашов Д.Л. Патоморфоз туберкулёза и алгоритмы построения патологоанатомического диагноза // Медицинский альянс. – 2013. – № 4. – С. 11-17.</w:t>
      </w:r>
    </w:p>
    <w:p w:rsidR="00AC7884" w:rsidRPr="006D4A02" w:rsidRDefault="00B36410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410">
        <w:rPr>
          <w:rFonts w:ascii="Times New Roman" w:hAnsi="Times New Roman" w:cs="Times New Roman"/>
          <w:sz w:val="28"/>
          <w:szCs w:val="28"/>
        </w:rPr>
        <w:lastRenderedPageBreak/>
        <w:t>Инфекционные болезни. Национальное руководство // под ред. Ющука Н.Д., Венгерова Ю.Я. – М.: ГЭОТАР-Медиа, 2009. – 1056 с.</w:t>
      </w:r>
    </w:p>
    <w:p w:rsidR="006D4A02" w:rsidRPr="0013195A" w:rsidRDefault="006D4A02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В.Н., Кравченко А.В., </w:t>
      </w:r>
      <w:r w:rsidR="00BA5A45">
        <w:rPr>
          <w:rFonts w:ascii="Times New Roman" w:hAnsi="Times New Roman" w:cs="Times New Roman"/>
          <w:sz w:val="28"/>
          <w:szCs w:val="28"/>
        </w:rPr>
        <w:t>Зюзя Ю.Р., Батыров Ф.А., Попова А.А., Пархоменко Ю.Г. Особенности течения туберкулёза в сочетании с другими вторичными заболеваниями у больных с ВИЧ-инфекцией  /</w:t>
      </w:r>
      <w:r w:rsidR="00F339CB">
        <w:rPr>
          <w:rFonts w:ascii="Times New Roman" w:hAnsi="Times New Roman" w:cs="Times New Roman"/>
          <w:sz w:val="28"/>
          <w:szCs w:val="28"/>
        </w:rPr>
        <w:t>/ ВИЧ-инфекция и иммуносупрессии</w:t>
      </w:r>
      <w:r w:rsidR="00BA5A45">
        <w:rPr>
          <w:rFonts w:ascii="Times New Roman" w:hAnsi="Times New Roman" w:cs="Times New Roman"/>
          <w:sz w:val="28"/>
          <w:szCs w:val="28"/>
        </w:rPr>
        <w:t>. – 2011. – Т.3, № 3. – С. 45-51.</w:t>
      </w:r>
    </w:p>
    <w:p w:rsidR="0013195A" w:rsidRPr="00B36410" w:rsidRDefault="0013195A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Зюзя Ю.Р., Пархоменко Ю.Г., Зимина В.Н., Тишкевич О.А. Морфологические особенности пневмоцистной пневмонии при ВИЧ-инфекции  //  Пульмонология. – 2012. – № 5. – С. 56-61.</w:t>
      </w:r>
    </w:p>
    <w:p w:rsidR="00B743DB" w:rsidRDefault="00B743DB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743DB">
        <w:rPr>
          <w:sz w:val="28"/>
          <w:szCs w:val="28"/>
        </w:rPr>
        <w:t>Зюзя Ю.Р.,</w:t>
      </w:r>
      <w:r w:rsidRPr="00513C4F">
        <w:rPr>
          <w:sz w:val="28"/>
          <w:szCs w:val="28"/>
        </w:rPr>
        <w:t xml:space="preserve"> Пархоменко Ю.Г., Мозгалёва Н.В. Клинико-морфологическое наблюдение сочетанного туберкулезного и цитомегаловирусного поражения легких при ВИЧ-инфекции</w:t>
      </w:r>
      <w:r>
        <w:rPr>
          <w:sz w:val="28"/>
          <w:szCs w:val="28"/>
        </w:rPr>
        <w:t xml:space="preserve">  //  </w:t>
      </w:r>
      <w:r w:rsidRPr="00513C4F">
        <w:rPr>
          <w:iCs/>
          <w:sz w:val="28"/>
          <w:szCs w:val="28"/>
        </w:rPr>
        <w:t>Пульмонология</w:t>
      </w:r>
      <w:r w:rsidRPr="00513C4F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513C4F">
        <w:rPr>
          <w:sz w:val="28"/>
          <w:szCs w:val="28"/>
        </w:rPr>
        <w:t xml:space="preserve"> 2011</w:t>
      </w:r>
      <w:r w:rsidR="009F49A3">
        <w:rPr>
          <w:sz w:val="28"/>
          <w:szCs w:val="28"/>
        </w:rPr>
        <w:t>.</w:t>
      </w:r>
      <w:r>
        <w:rPr>
          <w:sz w:val="28"/>
          <w:szCs w:val="28"/>
        </w:rPr>
        <w:t xml:space="preserve"> – № 6. – С. </w:t>
      </w:r>
      <w:r w:rsidRPr="00513C4F">
        <w:rPr>
          <w:sz w:val="28"/>
          <w:szCs w:val="28"/>
        </w:rPr>
        <w:t>117-119.</w:t>
      </w:r>
    </w:p>
    <w:p w:rsidR="007909EE" w:rsidRDefault="007909EE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909EE">
        <w:rPr>
          <w:sz w:val="28"/>
          <w:szCs w:val="28"/>
        </w:rPr>
        <w:t>Карасева Т. В., Козлова А. В., Лешок С. Н., Белобородова Н. Г.,</w:t>
      </w:r>
      <w:r>
        <w:rPr>
          <w:sz w:val="28"/>
          <w:szCs w:val="28"/>
        </w:rPr>
        <w:t xml:space="preserve"> </w:t>
      </w:r>
      <w:r w:rsidRPr="007909EE">
        <w:rPr>
          <w:sz w:val="28"/>
          <w:szCs w:val="28"/>
        </w:rPr>
        <w:t>Леванова Е. Е., Решетникова С. В., Куминов А. А., Козлова О. Ф.</w:t>
      </w:r>
      <w:r>
        <w:rPr>
          <w:sz w:val="28"/>
          <w:szCs w:val="28"/>
        </w:rPr>
        <w:t xml:space="preserve"> Генерализованный туберкулёз – маркер ВИЧ-инфекции // Университетская медицина Урала. – 2016. – № 2. – С. 24-26.</w:t>
      </w:r>
    </w:p>
    <w:p w:rsidR="0046117F" w:rsidRPr="007909EE" w:rsidRDefault="0046117F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А.М. Криптококкоз при ВИЧ-инфекции (обзор литературы)  //  Вестник Санкт-Петербургского университета. – 2010. – Сер. 11, Вып. 3. – С. 37-44.</w:t>
      </w:r>
    </w:p>
    <w:p w:rsidR="00E45E17" w:rsidRDefault="00E45E17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Ковеленов А.Ю., Загдын З.М., </w:t>
      </w:r>
      <w:r w:rsidR="009A4D28">
        <w:rPr>
          <w:sz w:val="28"/>
          <w:szCs w:val="28"/>
        </w:rPr>
        <w:t>Баласанянц Г.С., Ганбаатар О., Галкин В.Б. Особенности распространения ВИЧ-инфекции в Ленинградской области  /</w:t>
      </w:r>
      <w:r w:rsidR="00F339CB">
        <w:rPr>
          <w:sz w:val="28"/>
          <w:szCs w:val="28"/>
        </w:rPr>
        <w:t>/ ВИЧ-инфекция и иммуносупрессии</w:t>
      </w:r>
      <w:r w:rsidR="009A4D28">
        <w:rPr>
          <w:sz w:val="28"/>
          <w:szCs w:val="28"/>
        </w:rPr>
        <w:t>. –</w:t>
      </w:r>
      <w:r w:rsidR="009F49A3">
        <w:rPr>
          <w:sz w:val="28"/>
          <w:szCs w:val="28"/>
        </w:rPr>
        <w:t xml:space="preserve"> 2012</w:t>
      </w:r>
      <w:r w:rsidR="009A4D28">
        <w:rPr>
          <w:sz w:val="28"/>
          <w:szCs w:val="28"/>
        </w:rPr>
        <w:t>. – Т. 4, № 3. – С. 81-86.</w:t>
      </w:r>
    </w:p>
    <w:p w:rsidR="009A4D28" w:rsidRDefault="009A4D28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Лиознов Д.А., Дессау М.И., Антонова Т.В., Николаенко С.Л. Причины смерти больных ВИЧ-инфекцией в </w:t>
      </w:r>
      <w:r w:rsidR="00E30F0E">
        <w:rPr>
          <w:sz w:val="28"/>
          <w:szCs w:val="28"/>
        </w:rPr>
        <w:t xml:space="preserve">Ломоносовском районе </w:t>
      </w:r>
      <w:r>
        <w:rPr>
          <w:sz w:val="28"/>
          <w:szCs w:val="28"/>
        </w:rPr>
        <w:t xml:space="preserve">Ленинградской области </w:t>
      </w:r>
      <w:r w:rsidR="00E30F0E">
        <w:rPr>
          <w:sz w:val="28"/>
          <w:szCs w:val="28"/>
        </w:rPr>
        <w:t>в 1999-2011 гг  // Журнал инфектологии. –</w:t>
      </w:r>
      <w:r w:rsidR="009F49A3">
        <w:rPr>
          <w:sz w:val="28"/>
          <w:szCs w:val="28"/>
        </w:rPr>
        <w:t xml:space="preserve"> 2015</w:t>
      </w:r>
      <w:r w:rsidR="00E30F0E">
        <w:rPr>
          <w:sz w:val="28"/>
          <w:szCs w:val="28"/>
        </w:rPr>
        <w:t>. – Т. 7, № 3. – С. 54-58.</w:t>
      </w:r>
    </w:p>
    <w:p w:rsidR="006769FE" w:rsidRPr="006769FE" w:rsidRDefault="006769FE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769FE">
        <w:rPr>
          <w:sz w:val="28"/>
          <w:szCs w:val="28"/>
        </w:rPr>
        <w:lastRenderedPageBreak/>
        <w:t>Лобзин</w:t>
      </w:r>
      <w:r>
        <w:rPr>
          <w:sz w:val="28"/>
          <w:szCs w:val="28"/>
        </w:rPr>
        <w:t xml:space="preserve"> Ю.В., </w:t>
      </w:r>
      <w:r w:rsidRPr="006769FE">
        <w:rPr>
          <w:sz w:val="28"/>
          <w:szCs w:val="28"/>
        </w:rPr>
        <w:t>Цинзерлинг</w:t>
      </w:r>
      <w:r>
        <w:rPr>
          <w:sz w:val="28"/>
          <w:szCs w:val="28"/>
        </w:rPr>
        <w:t xml:space="preserve"> В.А</w:t>
      </w:r>
      <w:r w:rsidRPr="006769FE">
        <w:rPr>
          <w:sz w:val="28"/>
          <w:szCs w:val="28"/>
        </w:rPr>
        <w:t>. Инфекционные заболевания человека: некоторые нерешенные вопросы терминологии, диагностики и патоморфологии</w:t>
      </w:r>
      <w:r w:rsidR="00C34DA3">
        <w:rPr>
          <w:sz w:val="28"/>
          <w:szCs w:val="28"/>
        </w:rPr>
        <w:t xml:space="preserve">  </w:t>
      </w:r>
      <w:r w:rsidRPr="006769FE">
        <w:rPr>
          <w:sz w:val="28"/>
          <w:szCs w:val="28"/>
        </w:rPr>
        <w:t>//</w:t>
      </w:r>
      <w:r w:rsidR="00C34DA3">
        <w:rPr>
          <w:sz w:val="28"/>
          <w:szCs w:val="28"/>
        </w:rPr>
        <w:t xml:space="preserve">  Вестник Санкт-Петербургской медицинской академии последипломного образования. – 2009. – Т.1, №2 – С</w:t>
      </w:r>
      <w:r w:rsidRPr="006769FE">
        <w:rPr>
          <w:sz w:val="28"/>
          <w:szCs w:val="28"/>
        </w:rPr>
        <w:t>.</w:t>
      </w:r>
      <w:r w:rsidR="00C34DA3">
        <w:rPr>
          <w:sz w:val="28"/>
          <w:szCs w:val="28"/>
        </w:rPr>
        <w:t xml:space="preserve"> </w:t>
      </w:r>
      <w:r w:rsidRPr="006769FE">
        <w:rPr>
          <w:sz w:val="28"/>
          <w:szCs w:val="28"/>
        </w:rPr>
        <w:t>3-9</w:t>
      </w:r>
      <w:r w:rsidR="00C34DA3">
        <w:rPr>
          <w:sz w:val="28"/>
          <w:szCs w:val="28"/>
        </w:rPr>
        <w:t>.</w:t>
      </w:r>
    </w:p>
    <w:p w:rsidR="00412478" w:rsidRDefault="00412478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Н.Р., Михайловский А.М., Вяльцин С.В., Калинина Т.Н. Характеристика летальных случаев больных с ВИЧ-инфекцией на стадии СПИДа в городе Оренбурге в 2012 году  // Вестник ОГУ. – 2013. – </w:t>
      </w:r>
      <w:r w:rsidR="00E47A9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47A9A">
        <w:rPr>
          <w:sz w:val="28"/>
          <w:szCs w:val="28"/>
        </w:rPr>
        <w:t xml:space="preserve"> (162). – С.130-135.</w:t>
      </w:r>
      <w:r>
        <w:rPr>
          <w:sz w:val="28"/>
          <w:szCs w:val="28"/>
        </w:rPr>
        <w:t xml:space="preserve"> </w:t>
      </w:r>
    </w:p>
    <w:p w:rsidR="001B3D84" w:rsidRDefault="001B3D84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Мозгалёва Н.В., Пархоменко Ю.Г., Сильвейстрова О.Ю., Скачкова Т.С., Шипулина О.Ю., Венгеров Ю.Я. John C</w:t>
      </w:r>
      <w:r>
        <w:rPr>
          <w:sz w:val="28"/>
          <w:szCs w:val="28"/>
          <w:lang w:val="en-US"/>
        </w:rPr>
        <w:t>u</w:t>
      </w:r>
      <w:r w:rsidRPr="001B3D84">
        <w:rPr>
          <w:sz w:val="28"/>
          <w:szCs w:val="28"/>
        </w:rPr>
        <w:t>nningham (JC) вирус-ассоциированное поражен</w:t>
      </w:r>
      <w:r>
        <w:rPr>
          <w:sz w:val="28"/>
          <w:szCs w:val="28"/>
        </w:rPr>
        <w:t>ие головного мозга при ВИЧ-инфек</w:t>
      </w:r>
      <w:r w:rsidRPr="001B3D84">
        <w:rPr>
          <w:sz w:val="28"/>
          <w:szCs w:val="28"/>
        </w:rPr>
        <w:t>ции</w:t>
      </w:r>
      <w:r>
        <w:rPr>
          <w:sz w:val="28"/>
          <w:szCs w:val="28"/>
        </w:rPr>
        <w:t xml:space="preserve">  //  Клиническая и экспериментальная морфология. – 2015. – № 1. – С. 24-27.</w:t>
      </w:r>
    </w:p>
    <w:p w:rsidR="007A6BD1" w:rsidRDefault="007A6BD1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Молочков А.В. Саркома Капоши  // Лечебное дело. – 2006. – № 3. – С. 3-12.</w:t>
      </w:r>
    </w:p>
    <w:p w:rsidR="007909EE" w:rsidRDefault="004C4A22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Нечаев В.В., Иванов А.К., Федуняк И.П., Муса</w:t>
      </w:r>
      <w:r w:rsidR="00513AD0">
        <w:rPr>
          <w:sz w:val="28"/>
          <w:szCs w:val="28"/>
        </w:rPr>
        <w:t>т</w:t>
      </w:r>
      <w:r>
        <w:rPr>
          <w:sz w:val="28"/>
          <w:szCs w:val="28"/>
        </w:rPr>
        <w:t>ов В.Б., Погромская М.Н., Бубочкин А.Б., Пожидаева Л.Н., Сакра А.А.</w:t>
      </w:r>
      <w:r w:rsidR="007909EE" w:rsidRPr="007909E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летальности как показателя социальной значимости сочетанных инфекций // Журнал инфектологии. – 2016. – Т. 8, № 1. – С. 51-56.</w:t>
      </w:r>
    </w:p>
    <w:p w:rsidR="001C5BE4" w:rsidRDefault="001C5BE4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 Д.В., Шакирова Д.Х., Галиуллин Н.И., Нагимова Ф.И. Особенности коинфицирования ВИЧ</w:t>
      </w:r>
      <w:r w:rsidR="00014065">
        <w:rPr>
          <w:sz w:val="28"/>
          <w:szCs w:val="28"/>
        </w:rPr>
        <w:t>-позитивных пациентов вирусом гепатита С  //  Казанский медицинский журнал. – 2014. – Т. 95, № 6. – С. 905-908.</w:t>
      </w:r>
    </w:p>
    <w:p w:rsidR="00273F0C" w:rsidRPr="004C4A22" w:rsidRDefault="00273F0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Ю.Г., Зюзя Ю.Р. Основные принципы формулировки патологоанатомического диагноза при ВИЧ инфекции  // Архив патологии. – 2013. – № 6. – С. 44-47.</w:t>
      </w:r>
    </w:p>
    <w:p w:rsidR="002F0615" w:rsidRDefault="002F061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E5FE0">
        <w:rPr>
          <w:sz w:val="28"/>
          <w:szCs w:val="28"/>
        </w:rPr>
        <w:t>Пархоменко Ю.Г. ,</w:t>
      </w:r>
      <w:r w:rsidR="006B3892">
        <w:rPr>
          <w:sz w:val="28"/>
          <w:szCs w:val="28"/>
        </w:rPr>
        <w:t xml:space="preserve"> </w:t>
      </w:r>
      <w:r w:rsidRPr="00FE5FE0">
        <w:rPr>
          <w:sz w:val="28"/>
          <w:szCs w:val="28"/>
        </w:rPr>
        <w:t>Зюзя Ю.Р. Патологоанатомическая диагностика ВИЧ-ассоциированных инфекций.</w:t>
      </w:r>
      <w:r>
        <w:rPr>
          <w:sz w:val="28"/>
          <w:szCs w:val="28"/>
        </w:rPr>
        <w:t xml:space="preserve"> </w:t>
      </w:r>
      <w:r w:rsidRPr="00FE5FE0">
        <w:rPr>
          <w:sz w:val="28"/>
          <w:szCs w:val="28"/>
        </w:rPr>
        <w:t>Методические рекомендации</w:t>
      </w:r>
      <w:r w:rsidR="009A4D28">
        <w:rPr>
          <w:sz w:val="28"/>
          <w:szCs w:val="28"/>
        </w:rPr>
        <w:t xml:space="preserve"> </w:t>
      </w:r>
      <w:r w:rsidRPr="00FE5FE0">
        <w:rPr>
          <w:sz w:val="28"/>
          <w:szCs w:val="28"/>
        </w:rPr>
        <w:t>//</w:t>
      </w:r>
      <w:r w:rsidR="009A4D28">
        <w:rPr>
          <w:sz w:val="28"/>
          <w:szCs w:val="28"/>
        </w:rPr>
        <w:t xml:space="preserve"> </w:t>
      </w:r>
      <w:r w:rsidRPr="00FE5FE0">
        <w:rPr>
          <w:sz w:val="28"/>
          <w:szCs w:val="28"/>
        </w:rPr>
        <w:t>М</w:t>
      </w:r>
      <w:r w:rsidR="009A4D28">
        <w:rPr>
          <w:sz w:val="28"/>
          <w:szCs w:val="28"/>
        </w:rPr>
        <w:t>.</w:t>
      </w:r>
      <w:r w:rsidRPr="00FE5FE0">
        <w:rPr>
          <w:sz w:val="28"/>
          <w:szCs w:val="28"/>
        </w:rPr>
        <w:t>, 2012.</w:t>
      </w:r>
      <w:r>
        <w:rPr>
          <w:sz w:val="28"/>
          <w:szCs w:val="28"/>
        </w:rPr>
        <w:t xml:space="preserve"> – </w:t>
      </w:r>
      <w:r w:rsidRPr="00FE5FE0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FE5FE0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46117F" w:rsidRDefault="0046117F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Пивник А.В., Туманова М.В., Серегин Н.В., Пархоменко Ю.Г., Тишкевич О.А., Ковригина А.М., Ликунов Е.Б. Лимфомы у ВИЧ-инфицированных: обзор литературы</w:t>
      </w:r>
      <w:r w:rsidR="00FE7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Клиническая онкогематология. – 2014. – Т. 7, № 3. – С. </w:t>
      </w:r>
      <w:r w:rsidR="00FE76F8">
        <w:rPr>
          <w:sz w:val="28"/>
          <w:szCs w:val="28"/>
        </w:rPr>
        <w:t>264-277.</w:t>
      </w:r>
    </w:p>
    <w:p w:rsidR="00F10DCD" w:rsidRDefault="00F10DCD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Привалихина А.В., Спицын П.С., Архипов Д.О., Рутковский В.С., Винжега Д.Ю., Лепилов А.В., Гервальд А.В., Пашков А.Ю. ВИЧ-ассоциированный туберкулёз: особенности морфологической картины у пациентов, не получающих противовирусную терапию. Причины смерти  // Современные проблемы науки и образования. – 2016. – № 6. – </w:t>
      </w:r>
      <w:r>
        <w:t xml:space="preserve"> </w:t>
      </w:r>
      <w:r w:rsidRPr="00F10DCD">
        <w:rPr>
          <w:sz w:val="28"/>
          <w:szCs w:val="28"/>
        </w:rPr>
        <w:t>URL: http://science-education.ru/ru/article/view?id=25987 (дата обращения: 30.04.2018)</w:t>
      </w:r>
    </w:p>
    <w:p w:rsidR="002F0615" w:rsidRDefault="002F061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4083C">
        <w:rPr>
          <w:sz w:val="28"/>
          <w:szCs w:val="28"/>
        </w:rPr>
        <w:t>Рахманова А.Г., Яковлев А.А., Дмитриева М.И., Виноградова Т.Н., Козлов А.А. Анализ причин смерти ВИЧ-инфицированных</w:t>
      </w:r>
      <w:r>
        <w:rPr>
          <w:sz w:val="28"/>
          <w:szCs w:val="28"/>
        </w:rPr>
        <w:t xml:space="preserve"> </w:t>
      </w:r>
      <w:r w:rsidRPr="0054083C">
        <w:rPr>
          <w:sz w:val="28"/>
          <w:szCs w:val="28"/>
        </w:rPr>
        <w:t>в 2008–2010 гг. по материалам клинической инфекционной больницы им.С.П.Боткина, г. Санкт-Петербург // Казанский медицинский</w:t>
      </w:r>
      <w:r>
        <w:rPr>
          <w:sz w:val="28"/>
          <w:szCs w:val="28"/>
        </w:rPr>
        <w:t xml:space="preserve"> </w:t>
      </w:r>
      <w:r w:rsidRPr="0054083C">
        <w:rPr>
          <w:sz w:val="28"/>
          <w:szCs w:val="28"/>
        </w:rPr>
        <w:t>журнал.— 2012.— Т. 93, № 2.— С. 522–526.</w:t>
      </w:r>
    </w:p>
    <w:p w:rsidR="0046070B" w:rsidRDefault="0046070B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Рахманова А.Г., Яковлев А.А., Комарова Д.В., Малашенков Е.А., Власова Ю.В</w:t>
      </w:r>
      <w:r w:rsidR="00FE6DF9">
        <w:rPr>
          <w:sz w:val="28"/>
          <w:szCs w:val="28"/>
        </w:rPr>
        <w:t>.</w:t>
      </w:r>
      <w:r>
        <w:rPr>
          <w:sz w:val="28"/>
          <w:szCs w:val="28"/>
        </w:rPr>
        <w:t>, Козлов А.А. Характеристика летальных исходов от туберкулёза у бо</w:t>
      </w:r>
      <w:r w:rsidR="001B3D84">
        <w:rPr>
          <w:sz w:val="28"/>
          <w:szCs w:val="28"/>
        </w:rPr>
        <w:t>льных с ВИЧ-инфекцией  //  ВИЧ-</w:t>
      </w:r>
      <w:r w:rsidR="00F339CB">
        <w:rPr>
          <w:sz w:val="28"/>
          <w:szCs w:val="28"/>
        </w:rPr>
        <w:t>инфекция и иммуносупрессии</w:t>
      </w:r>
      <w:r>
        <w:rPr>
          <w:sz w:val="28"/>
          <w:szCs w:val="28"/>
        </w:rPr>
        <w:t>.</w:t>
      </w:r>
      <w:r w:rsidR="00FE6DF9">
        <w:rPr>
          <w:sz w:val="28"/>
          <w:szCs w:val="28"/>
        </w:rPr>
        <w:t xml:space="preserve"> – 2012. – Т.4, № 2. – С. 120-123.</w:t>
      </w:r>
    </w:p>
    <w:p w:rsidR="008653EC" w:rsidRDefault="008653E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070B">
        <w:rPr>
          <w:sz w:val="28"/>
          <w:szCs w:val="28"/>
        </w:rPr>
        <w:t>Справка ВИЧ-инфекция</w:t>
      </w:r>
      <w:r>
        <w:rPr>
          <w:sz w:val="28"/>
          <w:szCs w:val="28"/>
        </w:rPr>
        <w:t xml:space="preserve"> в Российской Федерации на 30 июня 2017 года / Федеральный научно-методический центр</w:t>
      </w:r>
      <w:r w:rsidRPr="008653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8653EC">
        <w:rPr>
          <w:sz w:val="28"/>
          <w:szCs w:val="28"/>
        </w:rPr>
        <w:t>профилактике и борьбе со СПИДом ФБУН Центрального НИИ эпидемиологии</w:t>
      </w:r>
      <w:r>
        <w:rPr>
          <w:sz w:val="28"/>
          <w:szCs w:val="28"/>
        </w:rPr>
        <w:t xml:space="preserve"> </w:t>
      </w:r>
      <w:r w:rsidRPr="008653EC">
        <w:rPr>
          <w:sz w:val="28"/>
          <w:szCs w:val="28"/>
        </w:rPr>
        <w:t>Роспотребнадзора.</w:t>
      </w:r>
    </w:p>
    <w:p w:rsidR="00BA5A45" w:rsidRDefault="00BA5A4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Станкеева О.Б., Мусатов В.Б., Яковлев А.А. Токсоплазмоз головного мозга у ВИЧ-инфицированных пациентов  /</w:t>
      </w:r>
      <w:r w:rsidR="00F339CB">
        <w:rPr>
          <w:sz w:val="28"/>
          <w:szCs w:val="28"/>
        </w:rPr>
        <w:t>/ ВИЧ-инфекция и иммуносупрессии</w:t>
      </w:r>
      <w:r>
        <w:rPr>
          <w:sz w:val="28"/>
          <w:szCs w:val="28"/>
        </w:rPr>
        <w:t xml:space="preserve">. </w:t>
      </w:r>
      <w:r w:rsidR="001319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5A">
        <w:rPr>
          <w:sz w:val="28"/>
          <w:szCs w:val="28"/>
        </w:rPr>
        <w:t>2013. – Т.5, № 1. – С. 59-64.</w:t>
      </w:r>
    </w:p>
    <w:p w:rsidR="00E33706" w:rsidRDefault="00E33706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Степанова Е.В., Леонова О.Н., Кабанова В.И. Цитомегаловирусная инфекция у больных с ВИЧ  /</w:t>
      </w:r>
      <w:r w:rsidR="00F339CB">
        <w:rPr>
          <w:sz w:val="28"/>
          <w:szCs w:val="28"/>
        </w:rPr>
        <w:t>/ ВИЧ-инфекция и иммуносупрессии</w:t>
      </w:r>
      <w:r>
        <w:rPr>
          <w:sz w:val="28"/>
          <w:szCs w:val="28"/>
        </w:rPr>
        <w:t xml:space="preserve">. </w:t>
      </w:r>
      <w:r w:rsidR="001B3D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3D84">
        <w:rPr>
          <w:sz w:val="28"/>
          <w:szCs w:val="28"/>
        </w:rPr>
        <w:t>2013. – Т. 5, № 2. – С. 66-73.</w:t>
      </w:r>
    </w:p>
    <w:p w:rsidR="008653EC" w:rsidRDefault="008653E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Турсунов Р.А. Коинфекция ВИЧ и парентеральных вирусных гепатитов у наркозависимых // Научно-медицинский журнал «Вестник Авиценны». – 2012. – № 2. – С. 182-189.</w:t>
      </w:r>
    </w:p>
    <w:p w:rsidR="00D32DCA" w:rsidRPr="008653EC" w:rsidRDefault="00D32DCA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Хохлова А.В. Вирусные гепатиты в сочетании с ВИЧ-инфекцией на аутопсийном материале  /</w:t>
      </w:r>
      <w:r w:rsidR="00F339CB">
        <w:rPr>
          <w:sz w:val="28"/>
          <w:szCs w:val="28"/>
        </w:rPr>
        <w:t>/ ВИЧ-инфекция и иммуносупрессии</w:t>
      </w:r>
      <w:r>
        <w:rPr>
          <w:sz w:val="28"/>
          <w:szCs w:val="28"/>
        </w:rPr>
        <w:t>. – 2015. – Т. 7, № 2. – С. 77-84.</w:t>
      </w:r>
    </w:p>
    <w:p w:rsidR="001C5BE4" w:rsidRDefault="001C5BE4" w:rsidP="001C5BE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410">
        <w:rPr>
          <w:sz w:val="28"/>
          <w:szCs w:val="28"/>
        </w:rPr>
        <w:t>Цинзерлинг В. А. Важнейшие проблемы морфологической диагностики при ВИЧ-инфекции // ВИЧ-инфекция и иммуносупрессии.—2009.— № 2.— С. 31–37</w:t>
      </w:r>
      <w:r>
        <w:rPr>
          <w:sz w:val="28"/>
          <w:szCs w:val="28"/>
        </w:rPr>
        <w:t>.</w:t>
      </w:r>
    </w:p>
    <w:p w:rsidR="001C5BE4" w:rsidRDefault="001C5BE4" w:rsidP="001C5BE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Цинзерлинг В.А. ВИЧ-инфекция и туберкулёз. Проблемы клинико-морфологических сопоставлений  // Медицинский академический журнал. – 2013. – Т. 13, № 4. – С. 87-91.</w:t>
      </w:r>
    </w:p>
    <w:p w:rsidR="001C5BE4" w:rsidRPr="0013606B" w:rsidRDefault="001C5BE4" w:rsidP="001C5BE4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Цинзерлинг В. А., Комарова</w:t>
      </w:r>
      <w:r w:rsidRPr="001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В., Рахм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анова А. Г., Яковлев А. А., Леонова О. Н. </w:t>
      </w:r>
      <w:r w:rsidRPr="0013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морфологической диагностики и патоморфоз ВИЧ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 Архив патологии. – 2010. – №2. – С. 26-30.</w:t>
      </w:r>
      <w:r w:rsidRPr="001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BE4" w:rsidRPr="00B711DC" w:rsidRDefault="001C5BE4" w:rsidP="001C5BE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E1543">
        <w:rPr>
          <w:sz w:val="28"/>
          <w:szCs w:val="28"/>
        </w:rPr>
        <w:t>Цинзерлинг</w:t>
      </w:r>
      <w:r>
        <w:rPr>
          <w:sz w:val="28"/>
          <w:szCs w:val="28"/>
        </w:rPr>
        <w:t xml:space="preserve"> В.А., </w:t>
      </w:r>
      <w:r w:rsidRPr="003E1543">
        <w:rPr>
          <w:sz w:val="28"/>
          <w:szCs w:val="28"/>
        </w:rPr>
        <w:t>Мацко</w:t>
      </w:r>
      <w:r>
        <w:rPr>
          <w:sz w:val="28"/>
          <w:szCs w:val="28"/>
        </w:rPr>
        <w:t xml:space="preserve"> Д.Е</w:t>
      </w:r>
      <w:r w:rsidRPr="003E1543">
        <w:rPr>
          <w:sz w:val="28"/>
          <w:szCs w:val="28"/>
        </w:rPr>
        <w:t>. Инфекционные очаговые поражения головного мозга (морфологические аспекты)</w:t>
      </w:r>
      <w:r>
        <w:rPr>
          <w:sz w:val="28"/>
          <w:szCs w:val="28"/>
        </w:rPr>
        <w:t xml:space="preserve"> // </w:t>
      </w:r>
      <w:r w:rsidRPr="003E1543">
        <w:rPr>
          <w:sz w:val="28"/>
          <w:szCs w:val="28"/>
        </w:rPr>
        <w:t>Российский нейрохирургический</w:t>
      </w:r>
      <w:r>
        <w:rPr>
          <w:sz w:val="28"/>
          <w:szCs w:val="28"/>
        </w:rPr>
        <w:t xml:space="preserve"> журнал им. проф. А.Л. Поленова. – 2010. – Т.2, №1 – С</w:t>
      </w:r>
      <w:r w:rsidRPr="003E1543">
        <w:rPr>
          <w:sz w:val="28"/>
          <w:szCs w:val="28"/>
        </w:rPr>
        <w:t>.</w:t>
      </w:r>
      <w:r>
        <w:rPr>
          <w:sz w:val="28"/>
          <w:szCs w:val="28"/>
        </w:rPr>
        <w:t xml:space="preserve"> 20-27.</w:t>
      </w:r>
    </w:p>
    <w:p w:rsidR="00B711DC" w:rsidRDefault="00B711DC" w:rsidP="001C5BE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Цинзерлинг В.А. Поражения центральной нервной системы при ВИЧ-инфекции  // ВИЧ-инфекция и иммуносупрессии. – 2014. – Т.6, №1. – С. 40-45.</w:t>
      </w:r>
    </w:p>
    <w:p w:rsidR="001C5BE4" w:rsidRPr="003E1543" w:rsidRDefault="001C5BE4" w:rsidP="001C5BE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Чарушина И.П. Оппортунистические инвазивные микозы у ВИЧ-инфицированных пациентов  // Пермский медицинский журнал. – 2015. – Т. 32, № 1. – С. 71-77.</w:t>
      </w:r>
    </w:p>
    <w:p w:rsidR="00E30F0E" w:rsidRPr="00F7637C" w:rsidRDefault="00E30F0E" w:rsidP="00B9214C">
      <w:pPr>
        <w:pStyle w:val="a3"/>
        <w:numPr>
          <w:ilvl w:val="0"/>
          <w:numId w:val="11"/>
        </w:numPr>
        <w:spacing w:line="360" w:lineRule="auto"/>
        <w:jc w:val="both"/>
        <w:rPr>
          <w:rStyle w:val="doi"/>
          <w:sz w:val="28"/>
          <w:szCs w:val="28"/>
        </w:rPr>
      </w:pPr>
      <w:r>
        <w:rPr>
          <w:sz w:val="28"/>
          <w:szCs w:val="28"/>
        </w:rPr>
        <w:t xml:space="preserve">Шабунова А.А., Калачикова О.Н., Короленко А.В. Обзор мировых и региональных тенденций </w:t>
      </w:r>
      <w:r w:rsidR="00357608">
        <w:rPr>
          <w:sz w:val="28"/>
          <w:szCs w:val="28"/>
        </w:rPr>
        <w:t xml:space="preserve">заболеваемости ВИЧ-инфекцией и обусловленной ею смертности  // Электронный научный журнал «Социальные аспекты здоровья населения». – 2017. </w:t>
      </w:r>
      <w:r w:rsidR="00BA2689">
        <w:rPr>
          <w:sz w:val="28"/>
          <w:szCs w:val="28"/>
        </w:rPr>
        <w:t xml:space="preserve">– № 2 (54). </w:t>
      </w:r>
      <w:r w:rsidR="00357608">
        <w:rPr>
          <w:sz w:val="28"/>
          <w:szCs w:val="28"/>
        </w:rPr>
        <w:t xml:space="preserve">– </w:t>
      </w:r>
      <w:r w:rsidR="00357608" w:rsidRPr="00357608">
        <w:rPr>
          <w:rFonts w:ascii="Times New Roman" w:hAnsi="Times New Roman" w:cs="Times New Roman"/>
          <w:sz w:val="28"/>
          <w:szCs w:val="28"/>
        </w:rPr>
        <w:lastRenderedPageBreak/>
        <w:t>Режим</w:t>
      </w:r>
      <w:r w:rsidR="00357608">
        <w:rPr>
          <w:rFonts w:ascii="Times New Roman" w:hAnsi="Times New Roman" w:cs="Times New Roman"/>
          <w:sz w:val="28"/>
          <w:szCs w:val="28"/>
        </w:rPr>
        <w:t xml:space="preserve"> </w:t>
      </w:r>
      <w:r w:rsidR="00357608" w:rsidRPr="00357608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26" w:history="1">
        <w:r w:rsidR="00B25BC2" w:rsidRPr="0010418B">
          <w:rPr>
            <w:rStyle w:val="ab"/>
            <w:sz w:val="28"/>
            <w:szCs w:val="28"/>
          </w:rPr>
          <w:t>http://vestnik.mednet.ru/content/view/824/30/</w:t>
        </w:r>
      </w:hyperlink>
      <w:r w:rsidR="00B25BC2" w:rsidRPr="00B25BC2">
        <w:rPr>
          <w:sz w:val="28"/>
          <w:szCs w:val="28"/>
        </w:rPr>
        <w:t xml:space="preserve"> </w:t>
      </w:r>
      <w:r w:rsidR="00357608" w:rsidRPr="00357608">
        <w:rPr>
          <w:rStyle w:val="doi"/>
          <w:rFonts w:ascii="Times New Roman" w:hAnsi="Times New Roman" w:cs="Times New Roman"/>
          <w:sz w:val="28"/>
          <w:szCs w:val="28"/>
        </w:rPr>
        <w:t>, свободный</w:t>
      </w:r>
      <w:r w:rsidR="00F10DCD">
        <w:rPr>
          <w:rStyle w:val="doi"/>
          <w:rFonts w:ascii="Times New Roman" w:hAnsi="Times New Roman" w:cs="Times New Roman"/>
          <w:sz w:val="28"/>
          <w:szCs w:val="28"/>
        </w:rPr>
        <w:t xml:space="preserve"> </w:t>
      </w:r>
      <w:r w:rsidR="00F10DCD" w:rsidRPr="00F10DCD">
        <w:rPr>
          <w:sz w:val="28"/>
          <w:szCs w:val="28"/>
        </w:rPr>
        <w:t>(дата обращения: 30.04.2018)</w:t>
      </w:r>
      <w:r w:rsidR="00357608" w:rsidRPr="00357608">
        <w:rPr>
          <w:rStyle w:val="doi"/>
          <w:rFonts w:ascii="Times New Roman" w:hAnsi="Times New Roman" w:cs="Times New Roman"/>
          <w:sz w:val="28"/>
          <w:szCs w:val="28"/>
        </w:rPr>
        <w:t>. – Загл. с экрана.</w:t>
      </w:r>
    </w:p>
    <w:p w:rsidR="00F7637C" w:rsidRDefault="00F7637C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Style w:val="doi"/>
          <w:rFonts w:ascii="Times New Roman" w:hAnsi="Times New Roman" w:cs="Times New Roman"/>
          <w:sz w:val="28"/>
          <w:szCs w:val="28"/>
        </w:rPr>
        <w:t>Шеломов А.С., Степанова Е.В., Леонова О.Н., Смирнова Н.Л. Оппортунистические заболевания как причины поражения центральной нервной системы у больных ВИЧ-инфекцией  //  Журнал инфектологии</w:t>
      </w:r>
      <w:r w:rsidR="00FC6176">
        <w:rPr>
          <w:rStyle w:val="doi"/>
          <w:rFonts w:ascii="Times New Roman" w:hAnsi="Times New Roman" w:cs="Times New Roman"/>
          <w:sz w:val="28"/>
          <w:szCs w:val="28"/>
        </w:rPr>
        <w:t>. – 2016. – Т.8, № 3. – С. 107-115.</w:t>
      </w:r>
    </w:p>
    <w:p w:rsidR="00E30F0E" w:rsidRDefault="00E30F0E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Югай О.Ю., Кытманова Л.Ю. Особенности регистрации летальных случаев у пациентов с ВИЧ-инфекцией  // Вестник молодых учёных и специалистов Челябинской области. –</w:t>
      </w:r>
      <w:r w:rsidR="009F49A3">
        <w:rPr>
          <w:sz w:val="28"/>
          <w:szCs w:val="28"/>
        </w:rPr>
        <w:t xml:space="preserve"> 2016</w:t>
      </w:r>
      <w:r>
        <w:rPr>
          <w:sz w:val="28"/>
          <w:szCs w:val="28"/>
        </w:rPr>
        <w:t>. – Т. 2, № 3 (14). – С. 83-85.</w:t>
      </w:r>
    </w:p>
    <w:p w:rsidR="002B7AC3" w:rsidRDefault="002B7AC3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 А.А., Мусатов В.Б., Савченко М.А. Причины летальных исходов у ВИЧ-инфицированных пациентов, получавших антиретровирусную терапию  //</w:t>
      </w:r>
      <w:r w:rsidR="00F339CB">
        <w:rPr>
          <w:sz w:val="28"/>
          <w:szCs w:val="28"/>
        </w:rPr>
        <w:t xml:space="preserve">  ВИЧ-инфекция и иммуносупрессии</w:t>
      </w:r>
      <w:r>
        <w:rPr>
          <w:sz w:val="28"/>
          <w:szCs w:val="28"/>
        </w:rPr>
        <w:t xml:space="preserve">. – 2015. – Т. 7 , № 1. – С. 84-89. </w:t>
      </w:r>
    </w:p>
    <w:p w:rsidR="00014065" w:rsidRPr="00014065" w:rsidRDefault="00014065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Barve S</w:t>
      </w:r>
      <w:r w:rsidRPr="00014065">
        <w:rPr>
          <w:sz w:val="28"/>
          <w:szCs w:val="28"/>
          <w:lang w:val="en-US"/>
        </w:rPr>
        <w:t>., Kapoor R., Moghe A., Ramirez J. A., Eaton J. W., Gobejishvili L., Joshi-Barve S., McClain C. J.</w:t>
      </w:r>
      <w:r w:rsidRPr="00014065">
        <w:rPr>
          <w:lang w:val="en-US"/>
        </w:rPr>
        <w:t xml:space="preserve"> </w:t>
      </w:r>
      <w:r w:rsidRPr="00014065">
        <w:rPr>
          <w:sz w:val="28"/>
          <w:szCs w:val="28"/>
          <w:lang w:val="en-US"/>
        </w:rPr>
        <w:t>Focus on the liver: alcohol use, highly active antiretroviral therapy, and liver d</w:t>
      </w:r>
      <w:r>
        <w:rPr>
          <w:sz w:val="28"/>
          <w:szCs w:val="28"/>
          <w:lang w:val="en-US"/>
        </w:rPr>
        <w:t>isease in HIV-infected patients</w:t>
      </w:r>
      <w:r w:rsidRPr="00014065">
        <w:rPr>
          <w:sz w:val="28"/>
          <w:szCs w:val="28"/>
          <w:lang w:val="en-US"/>
        </w:rPr>
        <w:t xml:space="preserve">  //  </w:t>
      </w:r>
      <w:r w:rsidR="00F339CB">
        <w:rPr>
          <w:sz w:val="28"/>
          <w:szCs w:val="28"/>
          <w:lang w:val="en-US"/>
        </w:rPr>
        <w:t>Alcohol research &amp; h</w:t>
      </w:r>
      <w:r w:rsidRPr="00014065">
        <w:rPr>
          <w:sz w:val="28"/>
          <w:szCs w:val="28"/>
          <w:lang w:val="en-US"/>
        </w:rPr>
        <w:t>ealth</w:t>
      </w:r>
      <w:r w:rsidR="00F339CB">
        <w:rPr>
          <w:sz w:val="28"/>
          <w:szCs w:val="28"/>
          <w:lang w:val="en-US"/>
        </w:rPr>
        <w:t>: the journal</w:t>
      </w:r>
      <w:r w:rsidRPr="00014065">
        <w:rPr>
          <w:sz w:val="28"/>
          <w:szCs w:val="28"/>
          <w:lang w:val="en-US"/>
        </w:rPr>
        <w:t xml:space="preserve"> </w:t>
      </w:r>
      <w:r w:rsidR="00F339CB">
        <w:rPr>
          <w:sz w:val="28"/>
          <w:szCs w:val="28"/>
          <w:lang w:val="en-US"/>
        </w:rPr>
        <w:t>of the</w:t>
      </w:r>
      <w:r w:rsidRPr="00014065">
        <w:rPr>
          <w:sz w:val="28"/>
          <w:szCs w:val="28"/>
          <w:lang w:val="en-US"/>
        </w:rPr>
        <w:t xml:space="preserve"> National Institute on Alcohol Abuse and Alcoholism</w:t>
      </w:r>
      <w:r w:rsidR="00F339CB" w:rsidRPr="00F339CB">
        <w:rPr>
          <w:sz w:val="28"/>
          <w:szCs w:val="28"/>
          <w:lang w:val="en-US"/>
        </w:rPr>
        <w:t xml:space="preserve">. </w:t>
      </w:r>
      <w:r w:rsidR="00F339CB">
        <w:rPr>
          <w:sz w:val="28"/>
          <w:szCs w:val="28"/>
          <w:lang w:val="en-US"/>
        </w:rPr>
        <w:t>–</w:t>
      </w:r>
      <w:r w:rsidR="00F339CB" w:rsidRPr="00F339CB">
        <w:rPr>
          <w:sz w:val="28"/>
          <w:szCs w:val="28"/>
          <w:lang w:val="en-US"/>
        </w:rPr>
        <w:t xml:space="preserve"> 2010. </w:t>
      </w:r>
      <w:r w:rsidR="00F339CB">
        <w:rPr>
          <w:sz w:val="28"/>
          <w:szCs w:val="28"/>
          <w:lang w:val="en-US"/>
        </w:rPr>
        <w:t>–</w:t>
      </w:r>
      <w:r w:rsidR="00F339CB" w:rsidRPr="00F339CB">
        <w:rPr>
          <w:sz w:val="28"/>
          <w:szCs w:val="28"/>
          <w:lang w:val="en-US"/>
        </w:rPr>
        <w:t xml:space="preserve"> </w:t>
      </w:r>
      <w:r w:rsidR="00F339CB">
        <w:rPr>
          <w:sz w:val="28"/>
          <w:szCs w:val="28"/>
        </w:rPr>
        <w:t>Т</w:t>
      </w:r>
      <w:r w:rsidR="00F339CB" w:rsidRPr="00F339CB">
        <w:rPr>
          <w:sz w:val="28"/>
          <w:szCs w:val="28"/>
          <w:lang w:val="en-US"/>
        </w:rPr>
        <w:t xml:space="preserve">.33, № 3. </w:t>
      </w:r>
      <w:r w:rsidR="00F339CB">
        <w:rPr>
          <w:sz w:val="28"/>
          <w:szCs w:val="28"/>
          <w:lang w:val="en-US"/>
        </w:rPr>
        <w:t>–</w:t>
      </w:r>
      <w:r w:rsidR="00F339CB" w:rsidRPr="00F339CB">
        <w:rPr>
          <w:sz w:val="28"/>
          <w:szCs w:val="28"/>
          <w:lang w:val="en-US"/>
        </w:rPr>
        <w:t xml:space="preserve"> </w:t>
      </w:r>
      <w:r w:rsidR="00F339CB">
        <w:rPr>
          <w:sz w:val="28"/>
          <w:szCs w:val="28"/>
        </w:rPr>
        <w:t>С</w:t>
      </w:r>
      <w:r w:rsidR="00F339CB" w:rsidRPr="00F339CB">
        <w:rPr>
          <w:sz w:val="28"/>
          <w:szCs w:val="28"/>
          <w:lang w:val="en-US"/>
        </w:rPr>
        <w:t>. 229-236.</w:t>
      </w:r>
    </w:p>
    <w:p w:rsidR="00282CB1" w:rsidRPr="005D3DC2" w:rsidRDefault="00282CB1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282CB1">
        <w:rPr>
          <w:sz w:val="28"/>
          <w:szCs w:val="28"/>
          <w:lang w:val="en-US"/>
        </w:rPr>
        <w:t xml:space="preserve"> Chang C.</w:t>
      </w:r>
      <w:r>
        <w:rPr>
          <w:sz w:val="28"/>
          <w:szCs w:val="28"/>
          <w:lang w:val="en-US"/>
        </w:rPr>
        <w:t>C</w:t>
      </w:r>
      <w:r w:rsidRPr="00282CB1">
        <w:rPr>
          <w:sz w:val="28"/>
          <w:szCs w:val="28"/>
          <w:lang w:val="en-US"/>
        </w:rPr>
        <w:t xml:space="preserve">., Crane M., Zhou J., Mina M., Post J.J., Cameron B.A., Lloyd A.R., Jaworowski A., French M.A., Lewin S.R. </w:t>
      </w:r>
      <w:r>
        <w:rPr>
          <w:sz w:val="28"/>
          <w:szCs w:val="28"/>
          <w:lang w:val="en-US"/>
        </w:rPr>
        <w:t>HIV and co-infections</w:t>
      </w:r>
      <w:r w:rsidRPr="00282CB1">
        <w:rPr>
          <w:sz w:val="28"/>
          <w:szCs w:val="28"/>
          <w:lang w:val="en-US"/>
        </w:rPr>
        <w:t xml:space="preserve">  //  </w:t>
      </w:r>
      <w:r>
        <w:rPr>
          <w:sz w:val="28"/>
          <w:szCs w:val="28"/>
          <w:lang w:val="en-US"/>
        </w:rPr>
        <w:t xml:space="preserve">Immunological Reviews. – </w:t>
      </w:r>
      <w:r w:rsidRPr="00282CB1">
        <w:rPr>
          <w:sz w:val="28"/>
          <w:szCs w:val="28"/>
          <w:lang w:val="en-US"/>
        </w:rPr>
        <w:t xml:space="preserve">2013. </w:t>
      </w:r>
      <w:r>
        <w:rPr>
          <w:sz w:val="28"/>
          <w:szCs w:val="28"/>
          <w:lang w:val="en-US"/>
        </w:rPr>
        <w:t>–</w:t>
      </w:r>
      <w:r w:rsidRPr="00282CB1">
        <w:rPr>
          <w:sz w:val="28"/>
          <w:szCs w:val="28"/>
          <w:lang w:val="en-US"/>
        </w:rPr>
        <w:t xml:space="preserve"> № 254 (1). </w:t>
      </w:r>
      <w:r>
        <w:rPr>
          <w:sz w:val="28"/>
          <w:szCs w:val="28"/>
          <w:lang w:val="en-US"/>
        </w:rPr>
        <w:t>–</w:t>
      </w:r>
      <w:r w:rsidRPr="00282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282CB1">
        <w:rPr>
          <w:sz w:val="28"/>
          <w:szCs w:val="28"/>
          <w:lang w:val="en-US"/>
        </w:rPr>
        <w:t>. 114-142.</w:t>
      </w:r>
    </w:p>
    <w:p w:rsidR="005D3DC2" w:rsidRPr="00B25BC2" w:rsidRDefault="005D3DC2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5D3DC2">
        <w:rPr>
          <w:sz w:val="28"/>
          <w:szCs w:val="28"/>
          <w:lang w:val="en-US"/>
        </w:rPr>
        <w:t>Domingues C.</w:t>
      </w:r>
      <w:r>
        <w:rPr>
          <w:sz w:val="28"/>
          <w:szCs w:val="28"/>
          <w:lang w:val="en-US"/>
        </w:rPr>
        <w:t>S</w:t>
      </w:r>
      <w:r w:rsidRPr="005D3DC2">
        <w:rPr>
          <w:sz w:val="28"/>
          <w:szCs w:val="28"/>
          <w:lang w:val="en-US"/>
        </w:rPr>
        <w:t>., Waldman E.</w:t>
      </w:r>
      <w:r>
        <w:rPr>
          <w:sz w:val="28"/>
          <w:szCs w:val="28"/>
          <w:lang w:val="en-US"/>
        </w:rPr>
        <w:t>A</w:t>
      </w:r>
      <w:r w:rsidRPr="005D3DC2">
        <w:rPr>
          <w:sz w:val="28"/>
          <w:szCs w:val="28"/>
          <w:lang w:val="en-US"/>
        </w:rPr>
        <w:t>. Causes of death among people living with AIDS in the pre- and post-HAART Eras i</w:t>
      </w:r>
      <w:r>
        <w:rPr>
          <w:sz w:val="28"/>
          <w:szCs w:val="28"/>
          <w:lang w:val="en-US"/>
        </w:rPr>
        <w:t>n the city of São Paulo, Brazil</w:t>
      </w:r>
      <w:r w:rsidRPr="005D3DC2">
        <w:rPr>
          <w:sz w:val="28"/>
          <w:szCs w:val="28"/>
          <w:lang w:val="en-US"/>
        </w:rPr>
        <w:t xml:space="preserve">  //  </w:t>
      </w:r>
      <w:r>
        <w:rPr>
          <w:sz w:val="28"/>
          <w:szCs w:val="28"/>
          <w:lang w:val="en-US"/>
        </w:rPr>
        <w:t xml:space="preserve">PLoS One. – 2014. – </w:t>
      </w:r>
      <w:r w:rsidRPr="005D3DC2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 xml:space="preserve">9 (12). -  </w:t>
      </w:r>
      <w:r w:rsidR="00B25BC2" w:rsidRPr="00357608">
        <w:rPr>
          <w:rFonts w:ascii="Times New Roman" w:hAnsi="Times New Roman" w:cs="Times New Roman"/>
          <w:sz w:val="28"/>
          <w:szCs w:val="28"/>
        </w:rPr>
        <w:t>Режим</w:t>
      </w:r>
      <w:r w:rsidR="00B25BC2" w:rsidRPr="00B25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BC2" w:rsidRPr="00357608">
        <w:rPr>
          <w:rFonts w:ascii="Times New Roman" w:hAnsi="Times New Roman" w:cs="Times New Roman"/>
          <w:sz w:val="28"/>
          <w:szCs w:val="28"/>
        </w:rPr>
        <w:t>доступа</w:t>
      </w:r>
      <w:r w:rsidR="00B25BC2" w:rsidRPr="00B25B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7" w:tgtFrame="_blank" w:history="1">
        <w:r w:rsidR="00B25BC2" w:rsidRPr="00B25BC2">
          <w:rPr>
            <w:rStyle w:val="ab"/>
            <w:sz w:val="28"/>
            <w:szCs w:val="28"/>
            <w:lang w:val="en-US"/>
          </w:rPr>
          <w:t>10.1371/journal.pone.0114661</w:t>
        </w:r>
      </w:hyperlink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25BC2" w:rsidRPr="00357608">
        <w:rPr>
          <w:rStyle w:val="doi"/>
          <w:rFonts w:ascii="Times New Roman" w:hAnsi="Times New Roman" w:cs="Times New Roman"/>
          <w:sz w:val="28"/>
          <w:szCs w:val="28"/>
        </w:rPr>
        <w:t>свободный</w:t>
      </w:r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BC2" w:rsidRPr="00B25BC2">
        <w:rPr>
          <w:sz w:val="28"/>
          <w:szCs w:val="28"/>
          <w:lang w:val="en-US"/>
        </w:rPr>
        <w:t>(</w:t>
      </w:r>
      <w:r w:rsidR="00B25BC2" w:rsidRPr="00F10DCD">
        <w:rPr>
          <w:sz w:val="28"/>
          <w:szCs w:val="28"/>
        </w:rPr>
        <w:t>дата</w:t>
      </w:r>
      <w:r w:rsidR="00B25BC2" w:rsidRPr="00B25BC2">
        <w:rPr>
          <w:sz w:val="28"/>
          <w:szCs w:val="28"/>
          <w:lang w:val="en-US"/>
        </w:rPr>
        <w:t xml:space="preserve"> </w:t>
      </w:r>
      <w:r w:rsidR="00B25BC2" w:rsidRPr="00F10DCD">
        <w:rPr>
          <w:sz w:val="28"/>
          <w:szCs w:val="28"/>
        </w:rPr>
        <w:t>обращения</w:t>
      </w:r>
      <w:r w:rsidR="00B25BC2" w:rsidRPr="00B25BC2">
        <w:rPr>
          <w:sz w:val="28"/>
          <w:szCs w:val="28"/>
          <w:lang w:val="en-US"/>
        </w:rPr>
        <w:t>: 30.04.2018)</w:t>
      </w:r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B25BC2" w:rsidRPr="00357608">
        <w:rPr>
          <w:rStyle w:val="doi"/>
          <w:rFonts w:ascii="Times New Roman" w:hAnsi="Times New Roman" w:cs="Times New Roman"/>
          <w:sz w:val="28"/>
          <w:szCs w:val="28"/>
        </w:rPr>
        <w:t>Загл</w:t>
      </w:r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5BC2" w:rsidRPr="00357608">
        <w:rPr>
          <w:rStyle w:val="doi"/>
          <w:rFonts w:ascii="Times New Roman" w:hAnsi="Times New Roman" w:cs="Times New Roman"/>
          <w:sz w:val="28"/>
          <w:szCs w:val="28"/>
        </w:rPr>
        <w:t>с</w:t>
      </w:r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BC2" w:rsidRPr="00357608">
        <w:rPr>
          <w:rStyle w:val="doi"/>
          <w:rFonts w:ascii="Times New Roman" w:hAnsi="Times New Roman" w:cs="Times New Roman"/>
          <w:sz w:val="28"/>
          <w:szCs w:val="28"/>
        </w:rPr>
        <w:t>экрана</w:t>
      </w:r>
      <w:r w:rsidR="00B25BC2" w:rsidRPr="00B25BC2">
        <w:rPr>
          <w:rStyle w:val="doi"/>
          <w:rFonts w:ascii="Times New Roman" w:hAnsi="Times New Roman" w:cs="Times New Roman"/>
          <w:sz w:val="28"/>
          <w:szCs w:val="28"/>
          <w:lang w:val="en-US"/>
        </w:rPr>
        <w:t>.</w:t>
      </w:r>
    </w:p>
    <w:p w:rsidR="00F10DCD" w:rsidRPr="00ED11CD" w:rsidRDefault="009F49A3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9F49A3">
        <w:rPr>
          <w:sz w:val="28"/>
          <w:szCs w:val="28"/>
          <w:lang w:val="en-US"/>
        </w:rPr>
        <w:t>Kim Y.</w:t>
      </w:r>
      <w:r>
        <w:rPr>
          <w:sz w:val="28"/>
          <w:szCs w:val="28"/>
          <w:lang w:val="en-US"/>
        </w:rPr>
        <w:t>J</w:t>
      </w:r>
      <w:r w:rsidRPr="009F49A3">
        <w:rPr>
          <w:sz w:val="28"/>
          <w:szCs w:val="28"/>
          <w:lang w:val="en-US"/>
        </w:rPr>
        <w:t>., Woo J.</w:t>
      </w:r>
      <w:r>
        <w:rPr>
          <w:sz w:val="28"/>
          <w:szCs w:val="28"/>
          <w:lang w:val="en-US"/>
        </w:rPr>
        <w:t>H</w:t>
      </w:r>
      <w:r w:rsidRPr="009F49A3">
        <w:rPr>
          <w:sz w:val="28"/>
          <w:szCs w:val="28"/>
          <w:lang w:val="en-US"/>
        </w:rPr>
        <w:t>., Kim M.</w:t>
      </w:r>
      <w:r>
        <w:rPr>
          <w:sz w:val="28"/>
          <w:szCs w:val="28"/>
          <w:lang w:val="en-US"/>
        </w:rPr>
        <w:t>J</w:t>
      </w:r>
      <w:r w:rsidRPr="009F49A3">
        <w:rPr>
          <w:sz w:val="28"/>
          <w:szCs w:val="28"/>
          <w:lang w:val="en-US"/>
        </w:rPr>
        <w:t>., Park D.</w:t>
      </w:r>
      <w:r>
        <w:rPr>
          <w:sz w:val="28"/>
          <w:szCs w:val="28"/>
          <w:lang w:val="en-US"/>
        </w:rPr>
        <w:t>W</w:t>
      </w:r>
      <w:r w:rsidRPr="009F49A3">
        <w:rPr>
          <w:sz w:val="28"/>
          <w:szCs w:val="28"/>
          <w:lang w:val="en-US"/>
        </w:rPr>
        <w:t>., Song J.</w:t>
      </w:r>
      <w:r>
        <w:rPr>
          <w:sz w:val="28"/>
          <w:szCs w:val="28"/>
          <w:lang w:val="en-US"/>
        </w:rPr>
        <w:t>Y</w:t>
      </w:r>
      <w:r w:rsidRPr="009F49A3">
        <w:rPr>
          <w:sz w:val="28"/>
          <w:szCs w:val="28"/>
          <w:lang w:val="en-US"/>
        </w:rPr>
        <w:t>., Kim S.</w:t>
      </w:r>
      <w:r>
        <w:rPr>
          <w:sz w:val="28"/>
          <w:szCs w:val="28"/>
          <w:lang w:val="en-US"/>
        </w:rPr>
        <w:t>W</w:t>
      </w:r>
      <w:r w:rsidRPr="009F49A3">
        <w:rPr>
          <w:sz w:val="28"/>
          <w:szCs w:val="28"/>
          <w:lang w:val="en-US"/>
        </w:rPr>
        <w:t>., Choi J.</w:t>
      </w:r>
      <w:r>
        <w:rPr>
          <w:sz w:val="28"/>
          <w:szCs w:val="28"/>
          <w:lang w:val="en-US"/>
        </w:rPr>
        <w:t>Y</w:t>
      </w:r>
      <w:r w:rsidRPr="009F49A3">
        <w:rPr>
          <w:sz w:val="28"/>
          <w:szCs w:val="28"/>
          <w:lang w:val="en-US"/>
        </w:rPr>
        <w:t>., Kim J.</w:t>
      </w:r>
      <w:r>
        <w:rPr>
          <w:sz w:val="28"/>
          <w:szCs w:val="28"/>
          <w:lang w:val="en-US"/>
        </w:rPr>
        <w:t>M</w:t>
      </w:r>
      <w:r w:rsidRPr="009F49A3">
        <w:rPr>
          <w:sz w:val="28"/>
          <w:szCs w:val="28"/>
          <w:lang w:val="en-US"/>
        </w:rPr>
        <w:t>., Han S.</w:t>
      </w:r>
      <w:r>
        <w:rPr>
          <w:sz w:val="28"/>
          <w:szCs w:val="28"/>
          <w:lang w:val="en-US"/>
        </w:rPr>
        <w:t>H</w:t>
      </w:r>
      <w:r w:rsidRPr="009F49A3">
        <w:rPr>
          <w:sz w:val="28"/>
          <w:szCs w:val="28"/>
          <w:lang w:val="en-US"/>
        </w:rPr>
        <w:t>., Lee J.</w:t>
      </w:r>
      <w:r>
        <w:rPr>
          <w:sz w:val="28"/>
          <w:szCs w:val="28"/>
          <w:lang w:val="en-US"/>
        </w:rPr>
        <w:t>S</w:t>
      </w:r>
      <w:r w:rsidRPr="009F49A3">
        <w:rPr>
          <w:sz w:val="28"/>
          <w:szCs w:val="28"/>
          <w:lang w:val="en-US"/>
        </w:rPr>
        <w:t>., Choi B.Y., Lee J.</w:t>
      </w:r>
      <w:r>
        <w:rPr>
          <w:sz w:val="28"/>
          <w:szCs w:val="28"/>
          <w:lang w:val="en-US"/>
        </w:rPr>
        <w:t>S</w:t>
      </w:r>
      <w:r w:rsidRPr="009F49A3">
        <w:rPr>
          <w:sz w:val="28"/>
          <w:szCs w:val="28"/>
          <w:lang w:val="en-US"/>
        </w:rPr>
        <w:t>., Kim S.</w:t>
      </w:r>
      <w:r>
        <w:rPr>
          <w:sz w:val="28"/>
          <w:szCs w:val="28"/>
          <w:lang w:val="en-US"/>
        </w:rPr>
        <w:t>S</w:t>
      </w:r>
      <w:r w:rsidRPr="009F49A3">
        <w:rPr>
          <w:sz w:val="28"/>
          <w:szCs w:val="28"/>
          <w:lang w:val="en-US"/>
        </w:rPr>
        <w:t>., Kee M.</w:t>
      </w:r>
      <w:r>
        <w:rPr>
          <w:sz w:val="28"/>
          <w:szCs w:val="28"/>
          <w:lang w:val="en-US"/>
        </w:rPr>
        <w:t>K</w:t>
      </w:r>
      <w:r w:rsidRPr="009F49A3">
        <w:rPr>
          <w:sz w:val="28"/>
          <w:szCs w:val="28"/>
          <w:lang w:val="en-US"/>
        </w:rPr>
        <w:t>., Kang M.W., Kim S.I.</w:t>
      </w:r>
      <w:r w:rsidR="00215EBE" w:rsidRPr="00215EBE">
        <w:rPr>
          <w:sz w:val="28"/>
          <w:szCs w:val="28"/>
          <w:lang w:val="en-US"/>
        </w:rPr>
        <w:t xml:space="preserve"> </w:t>
      </w:r>
      <w:r w:rsidRPr="009F49A3">
        <w:rPr>
          <w:sz w:val="28"/>
          <w:szCs w:val="28"/>
          <w:lang w:val="en-US"/>
        </w:rPr>
        <w:t xml:space="preserve">Opportunistic diseases among HIV-infected </w:t>
      </w:r>
      <w:r w:rsidRPr="009F49A3">
        <w:rPr>
          <w:sz w:val="28"/>
          <w:szCs w:val="28"/>
          <w:lang w:val="en-US"/>
        </w:rPr>
        <w:lastRenderedPageBreak/>
        <w:t xml:space="preserve">patients: a multicenter-nationwide Korean HIV/AIDS cohort study, 2006 to 2013  // </w:t>
      </w:r>
      <w:r w:rsidR="00FE76F8" w:rsidRPr="00FE76F8">
        <w:rPr>
          <w:sz w:val="28"/>
          <w:szCs w:val="28"/>
          <w:lang w:val="en-US"/>
        </w:rPr>
        <w:t xml:space="preserve"> </w:t>
      </w:r>
      <w:r w:rsidRPr="009F49A3">
        <w:rPr>
          <w:sz w:val="28"/>
          <w:szCs w:val="28"/>
          <w:lang w:val="en-US"/>
        </w:rPr>
        <w:t xml:space="preserve">The Korean Journal of Internal Medicine. </w:t>
      </w:r>
      <w:r>
        <w:rPr>
          <w:sz w:val="28"/>
          <w:szCs w:val="28"/>
          <w:lang w:val="en-US"/>
        </w:rPr>
        <w:t>–</w:t>
      </w:r>
      <w:r w:rsidRPr="009F49A3">
        <w:rPr>
          <w:sz w:val="28"/>
          <w:szCs w:val="28"/>
          <w:lang w:val="en-US"/>
        </w:rPr>
        <w:t xml:space="preserve"> 2016. </w:t>
      </w:r>
      <w:r>
        <w:rPr>
          <w:sz w:val="28"/>
          <w:szCs w:val="28"/>
          <w:lang w:val="en-US"/>
        </w:rPr>
        <w:t>–</w:t>
      </w:r>
      <w:r w:rsidRPr="009F49A3">
        <w:rPr>
          <w:sz w:val="28"/>
          <w:szCs w:val="28"/>
          <w:lang w:val="en-US"/>
        </w:rPr>
        <w:t xml:space="preserve"> </w:t>
      </w:r>
      <w:r w:rsidR="00385CFA">
        <w:rPr>
          <w:sz w:val="28"/>
          <w:szCs w:val="28"/>
        </w:rPr>
        <w:t>Т</w:t>
      </w:r>
      <w:r w:rsidR="00385CFA" w:rsidRPr="00385C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31, </w:t>
      </w:r>
      <w:r w:rsidRPr="009F49A3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5</w:t>
      </w:r>
      <w:r w:rsidRPr="009F49A3">
        <w:rPr>
          <w:sz w:val="28"/>
          <w:szCs w:val="28"/>
          <w:lang w:val="en-US"/>
        </w:rPr>
        <w:t>.</w:t>
      </w:r>
      <w:r w:rsidR="00385CFA" w:rsidRPr="00385CFA">
        <w:rPr>
          <w:sz w:val="28"/>
          <w:szCs w:val="28"/>
          <w:lang w:val="en-US"/>
        </w:rPr>
        <w:t xml:space="preserve"> </w:t>
      </w:r>
      <w:r w:rsidR="00385CFA">
        <w:rPr>
          <w:sz w:val="28"/>
          <w:szCs w:val="28"/>
          <w:lang w:val="en-US"/>
        </w:rPr>
        <w:t>–</w:t>
      </w:r>
      <w:r w:rsidR="00385CFA" w:rsidRPr="00385CFA">
        <w:rPr>
          <w:sz w:val="28"/>
          <w:szCs w:val="28"/>
          <w:lang w:val="en-US"/>
        </w:rPr>
        <w:t xml:space="preserve"> </w:t>
      </w:r>
      <w:r w:rsidR="00385CFA">
        <w:rPr>
          <w:sz w:val="28"/>
          <w:szCs w:val="28"/>
        </w:rPr>
        <w:t>С</w:t>
      </w:r>
      <w:r w:rsidR="00385CFA" w:rsidRPr="00385CFA">
        <w:rPr>
          <w:sz w:val="28"/>
          <w:szCs w:val="28"/>
          <w:lang w:val="en-US"/>
        </w:rPr>
        <w:t>. 953-960.</w:t>
      </w:r>
    </w:p>
    <w:p w:rsidR="00ED11CD" w:rsidRDefault="00215EBE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Low A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Gavriilidis G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Larke N</w:t>
      </w:r>
      <w:r w:rsidRPr="00215EBE">
        <w:rPr>
          <w:sz w:val="28"/>
          <w:szCs w:val="28"/>
          <w:lang w:val="en-US"/>
        </w:rPr>
        <w:t>., B-Lajoie M.</w:t>
      </w:r>
      <w:r>
        <w:rPr>
          <w:sz w:val="28"/>
          <w:szCs w:val="28"/>
          <w:lang w:val="en-US"/>
        </w:rPr>
        <w:t>R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Drouin O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Stover J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Muhe L</w:t>
      </w:r>
      <w:r w:rsidRPr="00215EB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 Easterbrook P</w:t>
      </w:r>
      <w:r w:rsidRPr="00215EBE">
        <w:rPr>
          <w:sz w:val="28"/>
          <w:szCs w:val="28"/>
          <w:lang w:val="en-US"/>
        </w:rPr>
        <w:t xml:space="preserve">.. </w:t>
      </w:r>
      <w:r w:rsidR="00ED11CD" w:rsidRPr="00ED11CD">
        <w:rPr>
          <w:sz w:val="28"/>
          <w:szCs w:val="28"/>
          <w:lang w:val="en-US"/>
        </w:rPr>
        <w:t>Incidence of Opportunistic Infections and the Impact of Antiretroviral Therapy Among HIV-Infected Adults in Low- and Middle-Income Countries: A Systematic Review and Meta-analysis</w:t>
      </w:r>
      <w:r w:rsidRPr="00215EBE">
        <w:rPr>
          <w:sz w:val="28"/>
          <w:szCs w:val="28"/>
          <w:lang w:val="en-US"/>
        </w:rPr>
        <w:t xml:space="preserve">  // Clinical Infectious Diseases. </w:t>
      </w:r>
      <w:r>
        <w:rPr>
          <w:sz w:val="28"/>
          <w:szCs w:val="28"/>
          <w:lang w:val="en-US"/>
        </w:rPr>
        <w:t>–</w:t>
      </w:r>
      <w:r w:rsidRPr="00215EBE">
        <w:rPr>
          <w:sz w:val="28"/>
          <w:szCs w:val="28"/>
          <w:lang w:val="en-US"/>
        </w:rPr>
        <w:t xml:space="preserve"> 2016. </w:t>
      </w:r>
      <w:r>
        <w:rPr>
          <w:sz w:val="28"/>
          <w:szCs w:val="28"/>
          <w:lang w:val="en-US"/>
        </w:rPr>
        <w:t>–</w:t>
      </w:r>
      <w:r w:rsidRPr="00215E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215EBE">
        <w:rPr>
          <w:sz w:val="28"/>
          <w:szCs w:val="28"/>
          <w:lang w:val="en-US"/>
        </w:rPr>
        <w:t xml:space="preserve">. 62, № 12. </w:t>
      </w:r>
      <w:r>
        <w:rPr>
          <w:sz w:val="28"/>
          <w:szCs w:val="28"/>
          <w:lang w:val="en-US"/>
        </w:rPr>
        <w:t>–</w:t>
      </w:r>
      <w:r w:rsidRPr="00215E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215EBE">
        <w:rPr>
          <w:sz w:val="28"/>
          <w:szCs w:val="28"/>
          <w:lang w:val="en-US"/>
        </w:rPr>
        <w:t>. 1595-1603.</w:t>
      </w:r>
    </w:p>
    <w:p w:rsidR="00087371" w:rsidRPr="0013195A" w:rsidRDefault="00087371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087371">
        <w:rPr>
          <w:sz w:val="28"/>
          <w:szCs w:val="28"/>
          <w:lang w:val="en-US"/>
        </w:rPr>
        <w:t>Reichert C</w:t>
      </w:r>
      <w:r>
        <w:rPr>
          <w:sz w:val="28"/>
          <w:szCs w:val="28"/>
          <w:lang w:val="en-US"/>
        </w:rPr>
        <w:t>.</w:t>
      </w:r>
      <w:r w:rsidRPr="00087371">
        <w:rPr>
          <w:sz w:val="28"/>
          <w:szCs w:val="28"/>
          <w:lang w:val="en-US"/>
        </w:rPr>
        <w:t>M., O'Leary T.J., Levens D.L., Simrell C.R., Macher A.M. Autopsy pathology in the acqu</w:t>
      </w:r>
      <w:r>
        <w:rPr>
          <w:sz w:val="28"/>
          <w:szCs w:val="28"/>
          <w:lang w:val="en-US"/>
        </w:rPr>
        <w:t>ired immune deficiency syndrome</w:t>
      </w:r>
      <w:r w:rsidRPr="00087371">
        <w:rPr>
          <w:sz w:val="28"/>
          <w:szCs w:val="28"/>
          <w:lang w:val="en-US"/>
        </w:rPr>
        <w:t xml:space="preserve">  //  </w:t>
      </w:r>
      <w:r>
        <w:rPr>
          <w:sz w:val="28"/>
          <w:szCs w:val="28"/>
          <w:lang w:val="en-US"/>
        </w:rPr>
        <w:t xml:space="preserve">The American journal of pathology. </w:t>
      </w:r>
      <w:r w:rsidRPr="000873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– 1983. – № 112 (3). – С. 357-382. </w:t>
      </w:r>
    </w:p>
    <w:p w:rsidR="00282CB1" w:rsidRPr="00FE76F8" w:rsidRDefault="00282CB1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 w:rsidRPr="00FE76F8">
        <w:rPr>
          <w:sz w:val="28"/>
          <w:szCs w:val="28"/>
          <w:lang w:val="en-US"/>
        </w:rPr>
        <w:t>Shiels M.S., Engels E.A. Evolving epidemiology</w:t>
      </w:r>
      <w:r>
        <w:rPr>
          <w:sz w:val="28"/>
          <w:szCs w:val="28"/>
          <w:lang w:val="en-US"/>
        </w:rPr>
        <w:t xml:space="preserve"> of HIV-associated malignancies</w:t>
      </w:r>
      <w:r w:rsidRPr="00FE76F8">
        <w:rPr>
          <w:sz w:val="28"/>
          <w:szCs w:val="28"/>
          <w:lang w:val="en-US"/>
        </w:rPr>
        <w:t xml:space="preserve">  //  </w:t>
      </w:r>
      <w:r>
        <w:rPr>
          <w:sz w:val="28"/>
          <w:szCs w:val="28"/>
          <w:lang w:val="en-US"/>
        </w:rPr>
        <w:t>Current opinion in HIV and AIDS.</w:t>
      </w:r>
      <w:r w:rsidRPr="00D32D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D32DCA">
        <w:rPr>
          <w:sz w:val="28"/>
          <w:szCs w:val="28"/>
          <w:lang w:val="en-US"/>
        </w:rPr>
        <w:t xml:space="preserve"> 2017. </w:t>
      </w:r>
      <w:r>
        <w:rPr>
          <w:sz w:val="28"/>
          <w:szCs w:val="28"/>
          <w:lang w:val="en-US"/>
        </w:rPr>
        <w:t>–</w:t>
      </w:r>
      <w:r w:rsidRPr="00D32DCA">
        <w:rPr>
          <w:sz w:val="28"/>
          <w:szCs w:val="28"/>
          <w:lang w:val="en-US"/>
        </w:rPr>
        <w:t xml:space="preserve"> № 12 (1). – </w:t>
      </w:r>
      <w:r>
        <w:rPr>
          <w:sz w:val="28"/>
          <w:szCs w:val="28"/>
        </w:rPr>
        <w:t>С</w:t>
      </w:r>
      <w:r w:rsidRPr="00D32DCA">
        <w:rPr>
          <w:sz w:val="28"/>
          <w:szCs w:val="28"/>
          <w:lang w:val="en-US"/>
        </w:rPr>
        <w:t xml:space="preserve">. 6-11. </w:t>
      </w:r>
    </w:p>
    <w:p w:rsidR="0013195A" w:rsidRPr="00385CFA" w:rsidRDefault="00E33706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Sokulska M</w:t>
      </w:r>
      <w:r w:rsidRPr="00E33706">
        <w:rPr>
          <w:sz w:val="28"/>
          <w:szCs w:val="28"/>
          <w:lang w:val="en-US"/>
        </w:rPr>
        <w:t>.</w:t>
      </w:r>
      <w:r w:rsidR="0013195A" w:rsidRPr="0013195A">
        <w:rPr>
          <w:sz w:val="28"/>
          <w:szCs w:val="28"/>
          <w:lang w:val="en-US"/>
        </w:rPr>
        <w:t>, Kicia M</w:t>
      </w:r>
      <w:r w:rsidRPr="00E33706">
        <w:rPr>
          <w:sz w:val="28"/>
          <w:szCs w:val="28"/>
          <w:lang w:val="en-US"/>
        </w:rPr>
        <w:t>.</w:t>
      </w:r>
      <w:r w:rsidR="0013195A" w:rsidRPr="0013195A">
        <w:rPr>
          <w:sz w:val="28"/>
          <w:szCs w:val="28"/>
          <w:lang w:val="en-US"/>
        </w:rPr>
        <w:t>, Wesołowska M</w:t>
      </w:r>
      <w:r w:rsidRPr="00E33706">
        <w:rPr>
          <w:sz w:val="28"/>
          <w:szCs w:val="28"/>
          <w:lang w:val="en-US"/>
        </w:rPr>
        <w:t>.</w:t>
      </w:r>
      <w:r w:rsidR="0013195A" w:rsidRPr="0013195A">
        <w:rPr>
          <w:sz w:val="28"/>
          <w:szCs w:val="28"/>
          <w:lang w:val="en-US"/>
        </w:rPr>
        <w:t>, Hendrich A</w:t>
      </w:r>
      <w:r w:rsidRPr="00E33706">
        <w:rPr>
          <w:sz w:val="28"/>
          <w:szCs w:val="28"/>
          <w:lang w:val="en-US"/>
        </w:rPr>
        <w:t>.</w:t>
      </w:r>
      <w:r w:rsidR="0013195A" w:rsidRPr="0013195A">
        <w:rPr>
          <w:sz w:val="28"/>
          <w:szCs w:val="28"/>
          <w:lang w:val="en-US"/>
        </w:rPr>
        <w:t>B.</w:t>
      </w:r>
      <w:r w:rsidRPr="00E33706">
        <w:rPr>
          <w:sz w:val="28"/>
          <w:szCs w:val="28"/>
          <w:lang w:val="en-US"/>
        </w:rPr>
        <w:t xml:space="preserve"> Pneumocystis jirovecii--from a commensal to pathogen:</w:t>
      </w:r>
      <w:r>
        <w:rPr>
          <w:sz w:val="28"/>
          <w:szCs w:val="28"/>
          <w:lang w:val="en-US"/>
        </w:rPr>
        <w:t xml:space="preserve"> clinical and diagnostic review</w:t>
      </w:r>
      <w:r w:rsidRPr="00E33706">
        <w:rPr>
          <w:sz w:val="28"/>
          <w:szCs w:val="28"/>
          <w:lang w:val="en-US"/>
        </w:rPr>
        <w:t xml:space="preserve">  //  </w:t>
      </w:r>
      <w:r>
        <w:rPr>
          <w:sz w:val="28"/>
          <w:szCs w:val="28"/>
          <w:lang w:val="en-US"/>
        </w:rPr>
        <w:t>Parasitology Research.</w:t>
      </w:r>
      <w:r w:rsidRPr="00E337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E33706">
        <w:rPr>
          <w:sz w:val="28"/>
          <w:szCs w:val="28"/>
          <w:lang w:val="en-US"/>
        </w:rPr>
        <w:t xml:space="preserve"> 2015. </w:t>
      </w:r>
      <w:r>
        <w:rPr>
          <w:sz w:val="28"/>
          <w:szCs w:val="28"/>
          <w:lang w:val="en-US"/>
        </w:rPr>
        <w:t>–</w:t>
      </w:r>
      <w:r w:rsidRPr="00E33706">
        <w:rPr>
          <w:sz w:val="28"/>
          <w:szCs w:val="28"/>
          <w:lang w:val="en-US"/>
        </w:rPr>
        <w:t xml:space="preserve"> № 114 (10). – </w:t>
      </w:r>
      <w:r>
        <w:rPr>
          <w:sz w:val="28"/>
          <w:szCs w:val="28"/>
        </w:rPr>
        <w:t>С</w:t>
      </w:r>
      <w:r w:rsidRPr="00E33706">
        <w:rPr>
          <w:sz w:val="28"/>
          <w:szCs w:val="28"/>
          <w:lang w:val="en-US"/>
        </w:rPr>
        <w:t xml:space="preserve">. 3577-3585. </w:t>
      </w:r>
    </w:p>
    <w:p w:rsidR="00385CFA" w:rsidRDefault="00385CFA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UNAIDS data 2017.</w:t>
      </w:r>
      <w:r w:rsidRPr="00385CFA">
        <w:rPr>
          <w:lang w:val="en-US"/>
        </w:rPr>
        <w:t xml:space="preserve"> </w:t>
      </w:r>
      <w:r w:rsidRPr="00385CFA">
        <w:rPr>
          <w:sz w:val="28"/>
          <w:szCs w:val="28"/>
          <w:lang w:val="en-US"/>
        </w:rPr>
        <w:t xml:space="preserve">Geneva: UNAIDS; 2017 (http://www.unaids.org/en/dataanalysis/knowyourepidemic/epidemiologypublications, accessed </w:t>
      </w:r>
      <w:r w:rsidR="00D60AC6">
        <w:rPr>
          <w:sz w:val="28"/>
          <w:szCs w:val="28"/>
          <w:lang w:val="en-US"/>
        </w:rPr>
        <w:t>30 April</w:t>
      </w:r>
      <w:r w:rsidRPr="00385CFA">
        <w:rPr>
          <w:sz w:val="28"/>
          <w:szCs w:val="28"/>
          <w:lang w:val="en-US"/>
        </w:rPr>
        <w:t xml:space="preserve"> 2018).</w:t>
      </w:r>
    </w:p>
    <w:p w:rsidR="00D60AC6" w:rsidRPr="009F49A3" w:rsidRDefault="00ED11CD" w:rsidP="00B9214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Uno K</w:t>
      </w:r>
      <w:r w:rsidRPr="00ED11CD">
        <w:rPr>
          <w:sz w:val="28"/>
          <w:szCs w:val="28"/>
          <w:lang w:val="en-US"/>
        </w:rPr>
        <w:t>., Konishi M., Yoshimoto E., Kasahara K., Mori K., Maeda K., Ishida E., Konishi N., Murakawa K., Mikasa K. Fatal cytomegalovirus-associated adrenal insufficiency in an AIDS patient r</w:t>
      </w:r>
      <w:r>
        <w:rPr>
          <w:sz w:val="28"/>
          <w:szCs w:val="28"/>
          <w:lang w:val="en-US"/>
        </w:rPr>
        <w:t>eceiving corticosteroid therapy</w:t>
      </w:r>
      <w:r w:rsidR="00E33706" w:rsidRPr="00E33706">
        <w:rPr>
          <w:sz w:val="28"/>
          <w:szCs w:val="28"/>
          <w:lang w:val="en-US"/>
        </w:rPr>
        <w:t xml:space="preserve"> </w:t>
      </w:r>
      <w:r w:rsidRPr="00ED11CD">
        <w:rPr>
          <w:sz w:val="28"/>
          <w:szCs w:val="28"/>
          <w:lang w:val="en-US"/>
        </w:rPr>
        <w:t xml:space="preserve"> // </w:t>
      </w:r>
      <w:r w:rsidR="00E33706" w:rsidRPr="00E33706">
        <w:rPr>
          <w:sz w:val="28"/>
          <w:szCs w:val="28"/>
          <w:lang w:val="en-US"/>
        </w:rPr>
        <w:t xml:space="preserve"> </w:t>
      </w:r>
      <w:r w:rsidRPr="00ED11CD">
        <w:rPr>
          <w:sz w:val="28"/>
          <w:szCs w:val="28"/>
          <w:lang w:val="en-US"/>
        </w:rPr>
        <w:t xml:space="preserve">Internal Medicine. </w:t>
      </w:r>
      <w:r>
        <w:rPr>
          <w:sz w:val="28"/>
          <w:szCs w:val="28"/>
          <w:lang w:val="en-US"/>
        </w:rPr>
        <w:t>–</w:t>
      </w:r>
      <w:r w:rsidRPr="00ED11CD">
        <w:rPr>
          <w:sz w:val="28"/>
          <w:szCs w:val="28"/>
          <w:lang w:val="en-US"/>
        </w:rPr>
        <w:t xml:space="preserve"> 2007. </w:t>
      </w:r>
      <w:r>
        <w:rPr>
          <w:sz w:val="28"/>
          <w:szCs w:val="28"/>
          <w:lang w:val="en-US"/>
        </w:rPr>
        <w:t>–</w:t>
      </w:r>
      <w:r w:rsidRPr="00ED11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ED11CD">
        <w:rPr>
          <w:sz w:val="28"/>
          <w:szCs w:val="28"/>
          <w:lang w:val="en-US"/>
        </w:rPr>
        <w:t xml:space="preserve">.46, № 9. </w:t>
      </w:r>
      <w:r>
        <w:rPr>
          <w:sz w:val="28"/>
          <w:szCs w:val="28"/>
          <w:lang w:val="en-US"/>
        </w:rPr>
        <w:t>–</w:t>
      </w:r>
      <w:r w:rsidRPr="00ED11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="00F339CB">
        <w:rPr>
          <w:sz w:val="28"/>
          <w:szCs w:val="28"/>
          <w:lang w:val="en-US"/>
        </w:rPr>
        <w:t>.</w:t>
      </w:r>
      <w:r w:rsidR="00F339CB" w:rsidRPr="00F339CB">
        <w:rPr>
          <w:sz w:val="28"/>
          <w:szCs w:val="28"/>
          <w:lang w:val="en-US"/>
        </w:rPr>
        <w:t xml:space="preserve"> </w:t>
      </w:r>
      <w:r w:rsidRPr="00ED11CD">
        <w:rPr>
          <w:sz w:val="28"/>
          <w:szCs w:val="28"/>
          <w:lang w:val="en-US"/>
        </w:rPr>
        <w:t>617-620.</w:t>
      </w:r>
    </w:p>
    <w:p w:rsidR="00AC7884" w:rsidRPr="009F49A3" w:rsidRDefault="00AC7884" w:rsidP="00AC7884">
      <w:pPr>
        <w:spacing w:line="360" w:lineRule="auto"/>
        <w:jc w:val="both"/>
        <w:rPr>
          <w:sz w:val="28"/>
          <w:szCs w:val="28"/>
          <w:lang w:val="en-US"/>
        </w:rPr>
      </w:pPr>
    </w:p>
    <w:p w:rsidR="00AC7884" w:rsidRPr="009F49A3" w:rsidRDefault="00AC7884" w:rsidP="00AC7884">
      <w:pPr>
        <w:spacing w:line="360" w:lineRule="auto"/>
        <w:jc w:val="both"/>
        <w:rPr>
          <w:sz w:val="28"/>
          <w:szCs w:val="28"/>
          <w:lang w:val="en-US"/>
        </w:rPr>
      </w:pPr>
    </w:p>
    <w:p w:rsidR="00AC7884" w:rsidRPr="0093759C" w:rsidRDefault="00AC7884" w:rsidP="001256DF">
      <w:pPr>
        <w:spacing w:line="360" w:lineRule="auto"/>
        <w:rPr>
          <w:sz w:val="28"/>
          <w:szCs w:val="28"/>
          <w:lang w:val="en-US"/>
        </w:rPr>
      </w:pPr>
    </w:p>
    <w:sectPr w:rsidR="00AC7884" w:rsidRPr="0093759C" w:rsidSect="00AC7884">
      <w:headerReference w:type="default" r:id="rId2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B8" w:rsidRDefault="00720EB8" w:rsidP="00AC7884">
      <w:pPr>
        <w:spacing w:after="0" w:line="240" w:lineRule="auto"/>
      </w:pPr>
      <w:r>
        <w:separator/>
      </w:r>
    </w:p>
  </w:endnote>
  <w:endnote w:type="continuationSeparator" w:id="1">
    <w:p w:rsidR="00720EB8" w:rsidRDefault="00720EB8" w:rsidP="00AC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B8" w:rsidRDefault="00720EB8" w:rsidP="00AC7884">
      <w:pPr>
        <w:spacing w:after="0" w:line="240" w:lineRule="auto"/>
      </w:pPr>
      <w:r>
        <w:separator/>
      </w:r>
    </w:p>
  </w:footnote>
  <w:footnote w:type="continuationSeparator" w:id="1">
    <w:p w:rsidR="00720EB8" w:rsidRDefault="00720EB8" w:rsidP="00AC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85781"/>
      <w:docPartObj>
        <w:docPartGallery w:val="Page Numbers (Top of Page)"/>
        <w:docPartUnique/>
      </w:docPartObj>
    </w:sdtPr>
    <w:sdtContent>
      <w:p w:rsidR="00570C36" w:rsidRDefault="00570C36">
        <w:pPr>
          <w:pStyle w:val="a5"/>
          <w:jc w:val="right"/>
        </w:pPr>
        <w:fldSimple w:instr=" PAGE   \* MERGEFORMAT ">
          <w:r w:rsidR="00D67FC6">
            <w:rPr>
              <w:noProof/>
            </w:rPr>
            <w:t>53</w:t>
          </w:r>
        </w:fldSimple>
      </w:p>
    </w:sdtContent>
  </w:sdt>
  <w:p w:rsidR="00570C36" w:rsidRDefault="00570C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F0C"/>
    <w:multiLevelType w:val="multilevel"/>
    <w:tmpl w:val="58C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3D4"/>
    <w:multiLevelType w:val="multilevel"/>
    <w:tmpl w:val="58C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117B7"/>
    <w:multiLevelType w:val="hybridMultilevel"/>
    <w:tmpl w:val="1D58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53C5"/>
    <w:multiLevelType w:val="multilevel"/>
    <w:tmpl w:val="58C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30D5"/>
    <w:multiLevelType w:val="multilevel"/>
    <w:tmpl w:val="3FA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6580"/>
    <w:multiLevelType w:val="hybridMultilevel"/>
    <w:tmpl w:val="7B4CAE6E"/>
    <w:lvl w:ilvl="0" w:tplc="69D0B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3317"/>
    <w:multiLevelType w:val="hybridMultilevel"/>
    <w:tmpl w:val="38DA8842"/>
    <w:lvl w:ilvl="0" w:tplc="69D0B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A4BEC"/>
    <w:multiLevelType w:val="hybridMultilevel"/>
    <w:tmpl w:val="BA52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612D"/>
    <w:multiLevelType w:val="multilevel"/>
    <w:tmpl w:val="A8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F0D8F"/>
    <w:multiLevelType w:val="multilevel"/>
    <w:tmpl w:val="C75C8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EA54D0"/>
    <w:multiLevelType w:val="hybridMultilevel"/>
    <w:tmpl w:val="DCC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C7918"/>
    <w:multiLevelType w:val="hybridMultilevel"/>
    <w:tmpl w:val="BF141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901C9"/>
    <w:multiLevelType w:val="hybridMultilevel"/>
    <w:tmpl w:val="4EE8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E0AEB"/>
    <w:multiLevelType w:val="multilevel"/>
    <w:tmpl w:val="58C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703C3"/>
    <w:multiLevelType w:val="hybridMultilevel"/>
    <w:tmpl w:val="1F5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4C"/>
    <w:rsid w:val="00013031"/>
    <w:rsid w:val="00014065"/>
    <w:rsid w:val="00025DAA"/>
    <w:rsid w:val="00027477"/>
    <w:rsid w:val="00044925"/>
    <w:rsid w:val="00082145"/>
    <w:rsid w:val="0008471A"/>
    <w:rsid w:val="00087371"/>
    <w:rsid w:val="000B601A"/>
    <w:rsid w:val="000C3D91"/>
    <w:rsid w:val="000C56DC"/>
    <w:rsid w:val="000D0D62"/>
    <w:rsid w:val="000E5AD4"/>
    <w:rsid w:val="000E66F7"/>
    <w:rsid w:val="000F463E"/>
    <w:rsid w:val="001141B7"/>
    <w:rsid w:val="00114CEE"/>
    <w:rsid w:val="00121E97"/>
    <w:rsid w:val="001256DF"/>
    <w:rsid w:val="001308AA"/>
    <w:rsid w:val="0013195A"/>
    <w:rsid w:val="0013606B"/>
    <w:rsid w:val="00164E70"/>
    <w:rsid w:val="00172207"/>
    <w:rsid w:val="00172C2B"/>
    <w:rsid w:val="00176B9D"/>
    <w:rsid w:val="001974C5"/>
    <w:rsid w:val="001A7CD1"/>
    <w:rsid w:val="001B0A68"/>
    <w:rsid w:val="001B3CE6"/>
    <w:rsid w:val="001B3D84"/>
    <w:rsid w:val="001B3EE1"/>
    <w:rsid w:val="001B4F46"/>
    <w:rsid w:val="001C18EA"/>
    <w:rsid w:val="001C47A3"/>
    <w:rsid w:val="001C5BE4"/>
    <w:rsid w:val="001C63B7"/>
    <w:rsid w:val="001C640B"/>
    <w:rsid w:val="001C69CC"/>
    <w:rsid w:val="001E0D1A"/>
    <w:rsid w:val="001E40A2"/>
    <w:rsid w:val="001F1FA9"/>
    <w:rsid w:val="001F44E1"/>
    <w:rsid w:val="001F464C"/>
    <w:rsid w:val="001F5020"/>
    <w:rsid w:val="00202C88"/>
    <w:rsid w:val="00215EBE"/>
    <w:rsid w:val="0022262A"/>
    <w:rsid w:val="00231355"/>
    <w:rsid w:val="002423FC"/>
    <w:rsid w:val="00273F0C"/>
    <w:rsid w:val="00280F83"/>
    <w:rsid w:val="00282CB1"/>
    <w:rsid w:val="00283240"/>
    <w:rsid w:val="00293876"/>
    <w:rsid w:val="002B7AC3"/>
    <w:rsid w:val="002B7F2E"/>
    <w:rsid w:val="002C7575"/>
    <w:rsid w:val="002C7F1E"/>
    <w:rsid w:val="002E1A3B"/>
    <w:rsid w:val="002F0615"/>
    <w:rsid w:val="00305B6C"/>
    <w:rsid w:val="003122D5"/>
    <w:rsid w:val="00316E8E"/>
    <w:rsid w:val="0032390F"/>
    <w:rsid w:val="00332279"/>
    <w:rsid w:val="00345B6B"/>
    <w:rsid w:val="00347240"/>
    <w:rsid w:val="00357608"/>
    <w:rsid w:val="0036119C"/>
    <w:rsid w:val="00361608"/>
    <w:rsid w:val="00370606"/>
    <w:rsid w:val="003802E3"/>
    <w:rsid w:val="00385CFA"/>
    <w:rsid w:val="003A07D1"/>
    <w:rsid w:val="003A27D4"/>
    <w:rsid w:val="003A34E1"/>
    <w:rsid w:val="003B79C3"/>
    <w:rsid w:val="003C257D"/>
    <w:rsid w:val="003C3E31"/>
    <w:rsid w:val="003C673D"/>
    <w:rsid w:val="003D2932"/>
    <w:rsid w:val="003E0EFB"/>
    <w:rsid w:val="003E1379"/>
    <w:rsid w:val="003E1543"/>
    <w:rsid w:val="004118B5"/>
    <w:rsid w:val="00412478"/>
    <w:rsid w:val="0041306C"/>
    <w:rsid w:val="004170B5"/>
    <w:rsid w:val="004216E7"/>
    <w:rsid w:val="00427868"/>
    <w:rsid w:val="0044318D"/>
    <w:rsid w:val="0044471B"/>
    <w:rsid w:val="00444E61"/>
    <w:rsid w:val="00450C88"/>
    <w:rsid w:val="00451AFA"/>
    <w:rsid w:val="00452AC2"/>
    <w:rsid w:val="004543DB"/>
    <w:rsid w:val="0046070B"/>
    <w:rsid w:val="0046117F"/>
    <w:rsid w:val="00463D17"/>
    <w:rsid w:val="00483DCB"/>
    <w:rsid w:val="004941BE"/>
    <w:rsid w:val="004A517E"/>
    <w:rsid w:val="004A58C7"/>
    <w:rsid w:val="004C2ED6"/>
    <w:rsid w:val="004C4A22"/>
    <w:rsid w:val="004C56DC"/>
    <w:rsid w:val="004D6F8E"/>
    <w:rsid w:val="004F06E9"/>
    <w:rsid w:val="004F3723"/>
    <w:rsid w:val="004F4995"/>
    <w:rsid w:val="004F7822"/>
    <w:rsid w:val="00501CB0"/>
    <w:rsid w:val="00502EFE"/>
    <w:rsid w:val="00503CFA"/>
    <w:rsid w:val="00513AD0"/>
    <w:rsid w:val="00513C4F"/>
    <w:rsid w:val="00517F8F"/>
    <w:rsid w:val="005306F1"/>
    <w:rsid w:val="0054083C"/>
    <w:rsid w:val="00544309"/>
    <w:rsid w:val="00565DBB"/>
    <w:rsid w:val="00570C36"/>
    <w:rsid w:val="0057346D"/>
    <w:rsid w:val="00582C11"/>
    <w:rsid w:val="00590538"/>
    <w:rsid w:val="005919F4"/>
    <w:rsid w:val="005A2457"/>
    <w:rsid w:val="005A58BC"/>
    <w:rsid w:val="005B11FE"/>
    <w:rsid w:val="005B12DF"/>
    <w:rsid w:val="005C01B3"/>
    <w:rsid w:val="005C43D7"/>
    <w:rsid w:val="005D00C7"/>
    <w:rsid w:val="005D3DC2"/>
    <w:rsid w:val="005D6B62"/>
    <w:rsid w:val="005E10F0"/>
    <w:rsid w:val="005F09D6"/>
    <w:rsid w:val="005F7265"/>
    <w:rsid w:val="0060333D"/>
    <w:rsid w:val="00603959"/>
    <w:rsid w:val="00603A17"/>
    <w:rsid w:val="00611F04"/>
    <w:rsid w:val="0061352F"/>
    <w:rsid w:val="0062060B"/>
    <w:rsid w:val="00620C3C"/>
    <w:rsid w:val="00622E21"/>
    <w:rsid w:val="006273C7"/>
    <w:rsid w:val="00630A44"/>
    <w:rsid w:val="00630D07"/>
    <w:rsid w:val="00637005"/>
    <w:rsid w:val="0064287D"/>
    <w:rsid w:val="00667569"/>
    <w:rsid w:val="00672E9D"/>
    <w:rsid w:val="006750F7"/>
    <w:rsid w:val="006769FE"/>
    <w:rsid w:val="006A0BBA"/>
    <w:rsid w:val="006A29DA"/>
    <w:rsid w:val="006B3892"/>
    <w:rsid w:val="006C5DEC"/>
    <w:rsid w:val="006D0D77"/>
    <w:rsid w:val="006D3EB7"/>
    <w:rsid w:val="006D4A02"/>
    <w:rsid w:val="006F55E1"/>
    <w:rsid w:val="0071250B"/>
    <w:rsid w:val="00712A4C"/>
    <w:rsid w:val="00712B74"/>
    <w:rsid w:val="00713A9B"/>
    <w:rsid w:val="00714370"/>
    <w:rsid w:val="00720EB8"/>
    <w:rsid w:val="00726A2A"/>
    <w:rsid w:val="00734CE8"/>
    <w:rsid w:val="00737AF1"/>
    <w:rsid w:val="00756203"/>
    <w:rsid w:val="00760D89"/>
    <w:rsid w:val="007671CE"/>
    <w:rsid w:val="00772EAA"/>
    <w:rsid w:val="00774F5D"/>
    <w:rsid w:val="00781B8A"/>
    <w:rsid w:val="00782C51"/>
    <w:rsid w:val="007909EE"/>
    <w:rsid w:val="00790D50"/>
    <w:rsid w:val="007940E5"/>
    <w:rsid w:val="007A64CE"/>
    <w:rsid w:val="007A6BD1"/>
    <w:rsid w:val="007B3C7B"/>
    <w:rsid w:val="007B47C2"/>
    <w:rsid w:val="007B63D8"/>
    <w:rsid w:val="007E290C"/>
    <w:rsid w:val="00805E2D"/>
    <w:rsid w:val="008115F7"/>
    <w:rsid w:val="00820403"/>
    <w:rsid w:val="00821959"/>
    <w:rsid w:val="00825262"/>
    <w:rsid w:val="00826B10"/>
    <w:rsid w:val="008334F2"/>
    <w:rsid w:val="00834B3F"/>
    <w:rsid w:val="00845A43"/>
    <w:rsid w:val="00850956"/>
    <w:rsid w:val="008653EC"/>
    <w:rsid w:val="008B4205"/>
    <w:rsid w:val="008B5543"/>
    <w:rsid w:val="008B6838"/>
    <w:rsid w:val="008C22A7"/>
    <w:rsid w:val="008C5D0B"/>
    <w:rsid w:val="008D1C61"/>
    <w:rsid w:val="008D5059"/>
    <w:rsid w:val="008D735C"/>
    <w:rsid w:val="008E33B7"/>
    <w:rsid w:val="008E34ED"/>
    <w:rsid w:val="008E3F3B"/>
    <w:rsid w:val="009206D0"/>
    <w:rsid w:val="00922F71"/>
    <w:rsid w:val="00923EA5"/>
    <w:rsid w:val="00924FD9"/>
    <w:rsid w:val="00931FF2"/>
    <w:rsid w:val="0093264C"/>
    <w:rsid w:val="0093376A"/>
    <w:rsid w:val="0093759C"/>
    <w:rsid w:val="009438E6"/>
    <w:rsid w:val="00956852"/>
    <w:rsid w:val="00960CAA"/>
    <w:rsid w:val="00962EE2"/>
    <w:rsid w:val="00965A34"/>
    <w:rsid w:val="00981717"/>
    <w:rsid w:val="00984E5E"/>
    <w:rsid w:val="00994E05"/>
    <w:rsid w:val="009A4D28"/>
    <w:rsid w:val="009A5B1B"/>
    <w:rsid w:val="009B2078"/>
    <w:rsid w:val="009C18CE"/>
    <w:rsid w:val="009D1CDB"/>
    <w:rsid w:val="009F49A3"/>
    <w:rsid w:val="00A02A7A"/>
    <w:rsid w:val="00A1695D"/>
    <w:rsid w:val="00A254CD"/>
    <w:rsid w:val="00A349A9"/>
    <w:rsid w:val="00A37A8C"/>
    <w:rsid w:val="00A461FE"/>
    <w:rsid w:val="00A63C36"/>
    <w:rsid w:val="00A74F41"/>
    <w:rsid w:val="00A7746C"/>
    <w:rsid w:val="00A83549"/>
    <w:rsid w:val="00A905F7"/>
    <w:rsid w:val="00A92807"/>
    <w:rsid w:val="00AA227C"/>
    <w:rsid w:val="00AA22E6"/>
    <w:rsid w:val="00AA5DB2"/>
    <w:rsid w:val="00AB3B0A"/>
    <w:rsid w:val="00AB53F6"/>
    <w:rsid w:val="00AB78E9"/>
    <w:rsid w:val="00AC1755"/>
    <w:rsid w:val="00AC2849"/>
    <w:rsid w:val="00AC331F"/>
    <w:rsid w:val="00AC7884"/>
    <w:rsid w:val="00AD1B3F"/>
    <w:rsid w:val="00AE11F7"/>
    <w:rsid w:val="00AE34EB"/>
    <w:rsid w:val="00AE7631"/>
    <w:rsid w:val="00AF2F20"/>
    <w:rsid w:val="00B011D6"/>
    <w:rsid w:val="00B054CA"/>
    <w:rsid w:val="00B168D1"/>
    <w:rsid w:val="00B25BC2"/>
    <w:rsid w:val="00B27140"/>
    <w:rsid w:val="00B310C9"/>
    <w:rsid w:val="00B31882"/>
    <w:rsid w:val="00B36410"/>
    <w:rsid w:val="00B367DE"/>
    <w:rsid w:val="00B51F13"/>
    <w:rsid w:val="00B60734"/>
    <w:rsid w:val="00B612D3"/>
    <w:rsid w:val="00B659E4"/>
    <w:rsid w:val="00B711DC"/>
    <w:rsid w:val="00B743DB"/>
    <w:rsid w:val="00B76A5B"/>
    <w:rsid w:val="00B77FC9"/>
    <w:rsid w:val="00B77FDC"/>
    <w:rsid w:val="00B82E11"/>
    <w:rsid w:val="00B837E6"/>
    <w:rsid w:val="00B845A8"/>
    <w:rsid w:val="00B9214C"/>
    <w:rsid w:val="00B96489"/>
    <w:rsid w:val="00BA098D"/>
    <w:rsid w:val="00BA2689"/>
    <w:rsid w:val="00BA5A45"/>
    <w:rsid w:val="00BA719B"/>
    <w:rsid w:val="00BB0D93"/>
    <w:rsid w:val="00BD65FA"/>
    <w:rsid w:val="00BD6890"/>
    <w:rsid w:val="00BE0317"/>
    <w:rsid w:val="00C17A1F"/>
    <w:rsid w:val="00C253B8"/>
    <w:rsid w:val="00C25F3F"/>
    <w:rsid w:val="00C34DA3"/>
    <w:rsid w:val="00C412D7"/>
    <w:rsid w:val="00C416E1"/>
    <w:rsid w:val="00C42BAF"/>
    <w:rsid w:val="00C631C3"/>
    <w:rsid w:val="00C70FC4"/>
    <w:rsid w:val="00C80A74"/>
    <w:rsid w:val="00C969BD"/>
    <w:rsid w:val="00C97EA6"/>
    <w:rsid w:val="00CB6E31"/>
    <w:rsid w:val="00CE15EB"/>
    <w:rsid w:val="00CE287B"/>
    <w:rsid w:val="00CE2900"/>
    <w:rsid w:val="00CF4D00"/>
    <w:rsid w:val="00D32DCA"/>
    <w:rsid w:val="00D34629"/>
    <w:rsid w:val="00D5300B"/>
    <w:rsid w:val="00D60AC6"/>
    <w:rsid w:val="00D60DCA"/>
    <w:rsid w:val="00D67FC6"/>
    <w:rsid w:val="00D8235B"/>
    <w:rsid w:val="00D95C41"/>
    <w:rsid w:val="00D961BE"/>
    <w:rsid w:val="00DC0180"/>
    <w:rsid w:val="00DC040B"/>
    <w:rsid w:val="00DD2F80"/>
    <w:rsid w:val="00DE2003"/>
    <w:rsid w:val="00E006A8"/>
    <w:rsid w:val="00E007D2"/>
    <w:rsid w:val="00E00E9E"/>
    <w:rsid w:val="00E059A8"/>
    <w:rsid w:val="00E11456"/>
    <w:rsid w:val="00E14571"/>
    <w:rsid w:val="00E1477A"/>
    <w:rsid w:val="00E2657E"/>
    <w:rsid w:val="00E30EBE"/>
    <w:rsid w:val="00E30F0E"/>
    <w:rsid w:val="00E33706"/>
    <w:rsid w:val="00E45E17"/>
    <w:rsid w:val="00E47A9A"/>
    <w:rsid w:val="00E63806"/>
    <w:rsid w:val="00E76472"/>
    <w:rsid w:val="00E866AE"/>
    <w:rsid w:val="00E901B0"/>
    <w:rsid w:val="00EB1DE8"/>
    <w:rsid w:val="00ED11CD"/>
    <w:rsid w:val="00ED1B2A"/>
    <w:rsid w:val="00EE0B06"/>
    <w:rsid w:val="00EF6107"/>
    <w:rsid w:val="00F10DCD"/>
    <w:rsid w:val="00F1591D"/>
    <w:rsid w:val="00F15A8A"/>
    <w:rsid w:val="00F26F91"/>
    <w:rsid w:val="00F27051"/>
    <w:rsid w:val="00F2734D"/>
    <w:rsid w:val="00F323B7"/>
    <w:rsid w:val="00F339CB"/>
    <w:rsid w:val="00F41BA9"/>
    <w:rsid w:val="00F46F56"/>
    <w:rsid w:val="00F5044A"/>
    <w:rsid w:val="00F51A17"/>
    <w:rsid w:val="00F53DDC"/>
    <w:rsid w:val="00F71E37"/>
    <w:rsid w:val="00F7637C"/>
    <w:rsid w:val="00F851B5"/>
    <w:rsid w:val="00F86FC2"/>
    <w:rsid w:val="00FA05F2"/>
    <w:rsid w:val="00FA5BB0"/>
    <w:rsid w:val="00FA707C"/>
    <w:rsid w:val="00FA7F51"/>
    <w:rsid w:val="00FC58B7"/>
    <w:rsid w:val="00FC6176"/>
    <w:rsid w:val="00FD0970"/>
    <w:rsid w:val="00FD39E3"/>
    <w:rsid w:val="00FD3C01"/>
    <w:rsid w:val="00FE40ED"/>
    <w:rsid w:val="00FE5FE0"/>
    <w:rsid w:val="00FE6DF9"/>
    <w:rsid w:val="00FE7625"/>
    <w:rsid w:val="00FE76F8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B0"/>
  </w:style>
  <w:style w:type="paragraph" w:styleId="1">
    <w:name w:val="heading 1"/>
    <w:basedOn w:val="a"/>
    <w:next w:val="a"/>
    <w:link w:val="10"/>
    <w:uiPriority w:val="9"/>
    <w:qFormat/>
    <w:rsid w:val="0044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List Accent 5"/>
    <w:basedOn w:val="a1"/>
    <w:uiPriority w:val="72"/>
    <w:rsid w:val="00AC7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3">
    <w:name w:val="List Paragraph"/>
    <w:basedOn w:val="a"/>
    <w:uiPriority w:val="34"/>
    <w:qFormat/>
    <w:rsid w:val="00AC7884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AC7884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AC7884"/>
    <w:pPr>
      <w:shd w:val="clear" w:color="auto" w:fill="FFFFFF"/>
      <w:spacing w:before="300" w:after="0" w:line="0" w:lineRule="atLeast"/>
    </w:pPr>
    <w:rPr>
      <w:rFonts w:ascii="Batang" w:eastAsia="Batang" w:hAnsi="Batang" w:cs="Batang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C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884"/>
  </w:style>
  <w:style w:type="paragraph" w:styleId="a7">
    <w:name w:val="footer"/>
    <w:basedOn w:val="a"/>
    <w:link w:val="a8"/>
    <w:uiPriority w:val="99"/>
    <w:semiHidden/>
    <w:unhideWhenUsed/>
    <w:rsid w:val="00AC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884"/>
  </w:style>
  <w:style w:type="table" w:styleId="a9">
    <w:name w:val="Table Grid"/>
    <w:basedOn w:val="a1"/>
    <w:uiPriority w:val="59"/>
    <w:rsid w:val="00760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2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2060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6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2060B"/>
  </w:style>
  <w:style w:type="paragraph" w:customStyle="1" w:styleId="txt">
    <w:name w:val="txt"/>
    <w:basedOn w:val="a"/>
    <w:rsid w:val="00A0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44318D"/>
  </w:style>
  <w:style w:type="character" w:customStyle="1" w:styleId="submenu-table">
    <w:name w:val="submenu-table"/>
    <w:basedOn w:val="a0"/>
    <w:rsid w:val="0044318D"/>
  </w:style>
  <w:style w:type="character" w:customStyle="1" w:styleId="doi">
    <w:name w:val="doi"/>
    <w:basedOn w:val="a0"/>
    <w:rsid w:val="00357608"/>
  </w:style>
  <w:style w:type="character" w:styleId="ae">
    <w:name w:val="Emphasis"/>
    <w:basedOn w:val="a0"/>
    <w:uiPriority w:val="20"/>
    <w:qFormat/>
    <w:rsid w:val="0013606B"/>
    <w:rPr>
      <w:i/>
      <w:iCs/>
    </w:rPr>
  </w:style>
  <w:style w:type="character" w:customStyle="1" w:styleId="gi">
    <w:name w:val="gi"/>
    <w:basedOn w:val="a0"/>
    <w:rsid w:val="004F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vestnik.mednet.ru/content/view/824/30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yperlink" Target="https://doi.org/10.1371/journal.pone.0114661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89;&#1074;&#1086;&#1076;&#1085;&#1072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89;&#1074;&#1086;&#1076;&#1085;&#1072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76;&#1080;&#1072;&#1075;&#1088;&#1072;&#1084;&#1084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&lt;20 лет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1.3888888888888938E-2"/>
                  <c:y val="5.6120653217889777E-3"/>
                </c:manualLayout>
              </c:layout>
              <c:dLblPos val="outEnd"/>
              <c:showVal val="1"/>
            </c:dLbl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Лист1!$A$6:$A$8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Лист1!$B$6:$B$8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1.6000000000000052E-2</c:v>
                </c:pt>
                <c:pt idx="2">
                  <c:v>2.0000000000000052E-3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20-29 лет</c:v>
                </c:pt>
              </c:strCache>
            </c:strRef>
          </c:tx>
          <c:dLbls>
            <c:dLbl>
              <c:idx val="0"/>
              <c:layout>
                <c:manualLayout>
                  <c:x val="-1.5432220278020806E-2"/>
                  <c:y val="-2.8060326608944888E-3"/>
                </c:manualLayout>
              </c:layout>
              <c:dLblPos val="outEnd"/>
              <c:showVal val="1"/>
            </c:dLbl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Лист1!$A$6:$A$8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Лист1!$C$6:$C$8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0.44300000000000012</c:v>
                </c:pt>
                <c:pt idx="2">
                  <c:v>8.5000000000000048E-2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30-39 лет</c:v>
                </c:pt>
              </c:strCache>
            </c:strRef>
          </c:tx>
          <c:dLbls>
            <c:dLbl>
              <c:idx val="1"/>
              <c:layout>
                <c:manualLayout>
                  <c:x val="1.234567901234571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5432098765432154E-3"/>
                  <c:y val="1.403016330447244E-2"/>
                </c:manualLayout>
              </c:layout>
              <c:dLblPos val="outEnd"/>
              <c:showVal val="1"/>
            </c:dLbl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Лист1!$A$6:$A$8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Лист1!$D$6:$D$8</c:f>
              <c:numCache>
                <c:formatCode>0.00%</c:formatCode>
                <c:ptCount val="3"/>
                <c:pt idx="0">
                  <c:v>0.31800000000000117</c:v>
                </c:pt>
                <c:pt idx="1">
                  <c:v>0.36100000000000032</c:v>
                </c:pt>
                <c:pt idx="2">
                  <c:v>0.57900000000000063</c:v>
                </c:pt>
              </c:numCache>
            </c:numRef>
          </c:val>
        </c:ser>
        <c:ser>
          <c:idx val="3"/>
          <c:order val="3"/>
          <c:tx>
            <c:strRef>
              <c:f>Лист1!$E$5</c:f>
              <c:strCache>
                <c:ptCount val="1"/>
                <c:pt idx="0">
                  <c:v>40-49 лет</c:v>
                </c:pt>
              </c:strCache>
            </c:strRef>
          </c:tx>
          <c:dLbls>
            <c:dLbl>
              <c:idx val="0"/>
              <c:layout>
                <c:manualLayout>
                  <c:x val="1.5432098765432136E-2"/>
                  <c:y val="5.612065321788977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345679012345713E-2"/>
                  <c:y val="-2.806032660894488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259259259259314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Лист1!$A$6:$A$8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Лист1!$E$6:$E$8</c:f>
              <c:numCache>
                <c:formatCode>0.00%</c:formatCode>
                <c:ptCount val="3"/>
                <c:pt idx="0">
                  <c:v>0.27400000000000002</c:v>
                </c:pt>
                <c:pt idx="1">
                  <c:v>9.8000000000000254E-2</c:v>
                </c:pt>
                <c:pt idx="2">
                  <c:v>0.24400000000000024</c:v>
                </c:pt>
              </c:numCache>
            </c:numRef>
          </c:val>
        </c:ser>
        <c:ser>
          <c:idx val="4"/>
          <c:order val="4"/>
          <c:tx>
            <c:strRef>
              <c:f>Лист1!$F$5</c:f>
              <c:strCache>
                <c:ptCount val="1"/>
                <c:pt idx="0">
                  <c:v>&gt;50 лет</c:v>
                </c:pt>
              </c:strCache>
            </c:strRef>
          </c:tx>
          <c:dLbls>
            <c:dLbl>
              <c:idx val="0"/>
              <c:layout>
                <c:manualLayout>
                  <c:x val="1.5432098765432154E-3"/>
                  <c:y val="1.1224130643578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1728395061728409E-3"/>
                  <c:y val="8.4180979826835676E-3"/>
                </c:manualLayout>
              </c:layout>
              <c:dLblPos val="outEnd"/>
              <c:showVal val="1"/>
            </c:dLbl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Лист1!$A$6:$A$8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Лист1!$F$6:$F$8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8.2000000000000003E-2</c:v>
                </c:pt>
                <c:pt idx="2" formatCode="0%">
                  <c:v>9.0000000000000066E-2</c:v>
                </c:pt>
              </c:numCache>
            </c:numRef>
          </c:val>
        </c:ser>
        <c:dLbls>
          <c:showVal val="1"/>
        </c:dLbls>
        <c:axId val="131078400"/>
        <c:axId val="131100672"/>
      </c:barChart>
      <c:catAx>
        <c:axId val="131078400"/>
        <c:scaling>
          <c:orientation val="minMax"/>
        </c:scaling>
        <c:axPos val="b"/>
        <c:majorTickMark val="none"/>
        <c:tickLblPos val="nextTo"/>
        <c:crossAx val="131100672"/>
        <c:crosses val="autoZero"/>
        <c:auto val="1"/>
        <c:lblAlgn val="ctr"/>
        <c:lblOffset val="100"/>
      </c:catAx>
      <c:valAx>
        <c:axId val="131100672"/>
        <c:scaling>
          <c:orientation val="minMax"/>
        </c:scaling>
        <c:axPos val="l"/>
        <c:numFmt formatCode="0.00%" sourceLinked="1"/>
        <c:majorTickMark val="none"/>
        <c:tickLblPos val="nextTo"/>
        <c:crossAx val="131078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Лист1!$A$80</c:f>
              <c:strCache>
                <c:ptCount val="1"/>
                <c:pt idx="0">
                  <c:v>Кандидоз слизистых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Лист1!$B$80:$D$80</c:f>
              <c:numCache>
                <c:formatCode>0.00%</c:formatCode>
                <c:ptCount val="3"/>
                <c:pt idx="0">
                  <c:v>0.63600000000000245</c:v>
                </c:pt>
                <c:pt idx="1">
                  <c:v>0.49100000000000038</c:v>
                </c:pt>
                <c:pt idx="2">
                  <c:v>0.90800000000000003</c:v>
                </c:pt>
              </c:numCache>
            </c:numRef>
          </c:val>
        </c:ser>
        <c:ser>
          <c:idx val="1"/>
          <c:order val="1"/>
          <c:tx>
            <c:strRef>
              <c:f>Лист1!$A$81</c:f>
              <c:strCache>
                <c:ptCount val="1"/>
                <c:pt idx="0">
                  <c:v>Вирусные энцефалиты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Лист1!$B$81:$D$81</c:f>
              <c:numCache>
                <c:formatCode>0.00%</c:formatCode>
                <c:ptCount val="3"/>
                <c:pt idx="0" formatCode="0%">
                  <c:v>0.41000000000000031</c:v>
                </c:pt>
                <c:pt idx="1">
                  <c:v>0.42600000000000032</c:v>
                </c:pt>
                <c:pt idx="2">
                  <c:v>4.5000000000000012E-2</c:v>
                </c:pt>
              </c:numCache>
            </c:numRef>
          </c:val>
        </c:ser>
        <c:ser>
          <c:idx val="2"/>
          <c:order val="2"/>
          <c:tx>
            <c:strRef>
              <c:f>Лист1!$A$82</c:f>
              <c:strCache>
                <c:ptCount val="1"/>
                <c:pt idx="0">
                  <c:v>Туберкулёз 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Лист1!$B$82:$D$82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6.5000000000000002E-2</c:v>
                </c:pt>
                <c:pt idx="2">
                  <c:v>6.2000000000000034E-2</c:v>
                </c:pt>
              </c:numCache>
            </c:numRef>
          </c:val>
        </c:ser>
        <c:ser>
          <c:idx val="3"/>
          <c:order val="3"/>
          <c:tx>
            <c:strRef>
              <c:f>Лист1!$A$84</c:f>
              <c:strCache>
                <c:ptCount val="1"/>
                <c:pt idx="0">
                  <c:v>ЦМВ-эпинефрит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Лист1!$B$84:$D$84</c:f>
              <c:numCache>
                <c:formatCode>0.00%</c:formatCode>
                <c:ptCount val="3"/>
                <c:pt idx="0">
                  <c:v>0.22700000000000001</c:v>
                </c:pt>
                <c:pt idx="1">
                  <c:v>8.2000000000000003E-2</c:v>
                </c:pt>
                <c:pt idx="2" formatCode="0%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Лист1!$A$85</c:f>
              <c:strCache>
                <c:ptCount val="1"/>
                <c:pt idx="0">
                  <c:v>ДНК-вирусные эпинефриты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Лист1!$B$85:$D$85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8.2000000000000003E-2</c:v>
                </c:pt>
                <c:pt idx="2" formatCode="0%">
                  <c:v>8.0000000000000043E-2</c:v>
                </c:pt>
              </c:numCache>
            </c:numRef>
          </c:val>
        </c:ser>
        <c:ser>
          <c:idx val="5"/>
          <c:order val="5"/>
          <c:tx>
            <c:strRef>
              <c:f>Лист1!$A$86</c:f>
              <c:strCache>
                <c:ptCount val="1"/>
                <c:pt idx="0">
                  <c:v>Другое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Лист1!$B$79:$D$79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Лист1!$B$86:$D$86</c:f>
              <c:numCache>
                <c:formatCode>0.00%</c:formatCode>
                <c:ptCount val="3"/>
                <c:pt idx="0">
                  <c:v>0.59099999999999997</c:v>
                </c:pt>
                <c:pt idx="1">
                  <c:v>1.6000000000000021E-2</c:v>
                </c:pt>
                <c:pt idx="2">
                  <c:v>3.6999999999999998E-2</c:v>
                </c:pt>
              </c:numCache>
            </c:numRef>
          </c:val>
        </c:ser>
        <c:axId val="131783680"/>
        <c:axId val="131924736"/>
      </c:barChart>
      <c:catAx>
        <c:axId val="131783680"/>
        <c:scaling>
          <c:orientation val="minMax"/>
        </c:scaling>
        <c:axPos val="b"/>
        <c:tickLblPos val="nextTo"/>
        <c:crossAx val="131924736"/>
        <c:crosses val="autoZero"/>
        <c:auto val="1"/>
        <c:lblAlgn val="ctr"/>
        <c:lblOffset val="100"/>
      </c:catAx>
      <c:valAx>
        <c:axId val="131924736"/>
        <c:scaling>
          <c:orientation val="minMax"/>
        </c:scaling>
        <c:axPos val="l"/>
        <c:majorGridlines/>
        <c:numFmt formatCode="0.00%" sourceLinked="1"/>
        <c:tickLblPos val="nextTo"/>
        <c:crossAx val="13178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Лист1!$I$1</c:f>
              <c:strCache>
                <c:ptCount val="1"/>
                <c:pt idx="0">
                  <c:v>1996+1997</c:v>
                </c:pt>
              </c:strCache>
            </c:strRef>
          </c:tx>
          <c:errBars>
            <c:errBarType val="both"/>
            <c:errValType val="fixedVal"/>
            <c:val val="0.2"/>
          </c:errBars>
          <c:cat>
            <c:strRef>
              <c:f>[сводная.xlsx]Лист1!$A$2,[сводная.xlsx]Лист1!$A$6,[сводная.xlsx]Лист1!$A$9,[сводная.xlsx]Лист1!$A$12,[сводная.xlsx]Лист1!$A$16,[сводная.xlsx]Лист1!$A$20,[сводная.xlsx]Лист1!$A$25,[сводная.xlsx]Лист1!$A$29,[сводная.xlsx]Лист1!$A$36</c:f>
              <c:strCache>
                <c:ptCount val="9"/>
                <c:pt idx="0">
                  <c:v>Туберкулёз</c:v>
                </c:pt>
                <c:pt idx="1">
                  <c:v>ПЦП</c:v>
                </c:pt>
                <c:pt idx="2">
                  <c:v>Токсоплазмоз</c:v>
                </c:pt>
                <c:pt idx="3">
                  <c:v>Криптококкоз</c:v>
                </c:pt>
                <c:pt idx="4">
                  <c:v>Нехожкинские лимфомы</c:v>
                </c:pt>
                <c:pt idx="5">
                  <c:v>Вирусные энцефалиты</c:v>
                </c:pt>
                <c:pt idx="6">
                  <c:v>ЦМВИ</c:v>
                </c:pt>
                <c:pt idx="7">
                  <c:v>Кандидоз</c:v>
                </c:pt>
                <c:pt idx="8">
                  <c:v>Саркома Капоши</c:v>
                </c:pt>
              </c:strCache>
            </c:strRef>
          </c:cat>
          <c:val>
            <c:numRef>
              <c:f>[сводная.xlsx]Лист1!$I$2,[сводная.xlsx]Лист1!$I$6,[сводная.xlsx]Лист1!$I$9,[сводная.xlsx]Лист1!$I$12,[сводная.xlsx]Лист1!$I$16,[сводная.xlsx]Лист1!$I$20,[сводная.xlsx]Лист1!$I$25,[сводная.xlsx]Лист1!$I$29,[сводная.xlsx]Лист1!$I$36</c:f>
              <c:numCache>
                <c:formatCode>0.0%</c:formatCode>
                <c:ptCount val="9"/>
                <c:pt idx="0">
                  <c:v>0.31818181818181951</c:v>
                </c:pt>
                <c:pt idx="1">
                  <c:v>4.5454545454545463E-2</c:v>
                </c:pt>
                <c:pt idx="2">
                  <c:v>0.18181818181818277</c:v>
                </c:pt>
                <c:pt idx="3">
                  <c:v>0.13636363636363635</c:v>
                </c:pt>
                <c:pt idx="4">
                  <c:v>0</c:v>
                </c:pt>
                <c:pt idx="5">
                  <c:v>1</c:v>
                </c:pt>
                <c:pt idx="6">
                  <c:v>0.45454545454545453</c:v>
                </c:pt>
                <c:pt idx="7">
                  <c:v>0.68181818181818177</c:v>
                </c:pt>
                <c:pt idx="8">
                  <c:v>0.22727272727272727</c:v>
                </c:pt>
              </c:numCache>
            </c:numRef>
          </c:val>
        </c:ser>
        <c:ser>
          <c:idx val="1"/>
          <c:order val="1"/>
          <c:tx>
            <c:strRef>
              <c:f>Лист1!$O$1</c:f>
              <c:strCache>
                <c:ptCount val="1"/>
                <c:pt idx="0">
                  <c:v>2006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[сводная.xlsx]Лист1!$A$2,[сводная.xlsx]Лист1!$A$6,[сводная.xlsx]Лист1!$A$9,[сводная.xlsx]Лист1!$A$12,[сводная.xlsx]Лист1!$A$16,[сводная.xlsx]Лист1!$A$20,[сводная.xlsx]Лист1!$A$25,[сводная.xlsx]Лист1!$A$29,[сводная.xlsx]Лист1!$A$36</c:f>
              <c:strCache>
                <c:ptCount val="9"/>
                <c:pt idx="0">
                  <c:v>Туберкулёз</c:v>
                </c:pt>
                <c:pt idx="1">
                  <c:v>ПЦП</c:v>
                </c:pt>
                <c:pt idx="2">
                  <c:v>Токсоплазмоз</c:v>
                </c:pt>
                <c:pt idx="3">
                  <c:v>Криптококкоз</c:v>
                </c:pt>
                <c:pt idx="4">
                  <c:v>Нехожкинские лимфомы</c:v>
                </c:pt>
                <c:pt idx="5">
                  <c:v>Вирусные энцефалиты</c:v>
                </c:pt>
                <c:pt idx="6">
                  <c:v>ЦМВИ</c:v>
                </c:pt>
                <c:pt idx="7">
                  <c:v>Кандидоз</c:v>
                </c:pt>
                <c:pt idx="8">
                  <c:v>Саркома Капоши</c:v>
                </c:pt>
              </c:strCache>
            </c:strRef>
          </c:cat>
          <c:val>
            <c:numRef>
              <c:f>[сводная.xlsx]Лист1!$O$2,[сводная.xlsx]Лист1!$O$6,[сводная.xlsx]Лист1!$O$9,[сводная.xlsx]Лист1!$O$12,[сводная.xlsx]Лист1!$O$16,[сводная.xlsx]Лист1!$O$20,[сводная.xlsx]Лист1!$O$25,[сводная.xlsx]Лист1!$O$29,[сводная.xlsx]Лист1!$O$36</c:f>
              <c:numCache>
                <c:formatCode>0.0%</c:formatCode>
                <c:ptCount val="9"/>
                <c:pt idx="0">
                  <c:v>0.37704918032787094</c:v>
                </c:pt>
                <c:pt idx="1">
                  <c:v>8.1967213114754051E-2</c:v>
                </c:pt>
                <c:pt idx="2">
                  <c:v>6.5573770491803282E-2</c:v>
                </c:pt>
                <c:pt idx="3">
                  <c:v>3.2786885245901641E-2</c:v>
                </c:pt>
                <c:pt idx="4">
                  <c:v>4.9180327868852472E-2</c:v>
                </c:pt>
                <c:pt idx="5">
                  <c:v>0.50819672131147542</c:v>
                </c:pt>
                <c:pt idx="6">
                  <c:v>0.11475409836065574</c:v>
                </c:pt>
                <c:pt idx="7">
                  <c:v>0.52459016393442626</c:v>
                </c:pt>
                <c:pt idx="8">
                  <c:v>1.6393442622950821E-2</c:v>
                </c:pt>
              </c:numCache>
            </c:numRef>
          </c:val>
        </c:ser>
        <c:ser>
          <c:idx val="2"/>
          <c:order val="2"/>
          <c:tx>
            <c:strRef>
              <c:f>Лист1!$R$1</c:f>
              <c:strCache>
                <c:ptCount val="1"/>
                <c:pt idx="0">
                  <c:v>2016</c:v>
                </c:pt>
              </c:strCache>
            </c:strRef>
          </c:tx>
          <c:errBars>
            <c:errBarType val="both"/>
            <c:errValType val="stdErr"/>
          </c:errBars>
          <c:cat>
            <c:strRef>
              <c:f>[сводная.xlsx]Лист1!$A$2,[сводная.xlsx]Лист1!$A$6,[сводная.xlsx]Лист1!$A$9,[сводная.xlsx]Лист1!$A$12,[сводная.xlsx]Лист1!$A$16,[сводная.xlsx]Лист1!$A$20,[сводная.xlsx]Лист1!$A$25,[сводная.xlsx]Лист1!$A$29,[сводная.xlsx]Лист1!$A$36</c:f>
              <c:strCache>
                <c:ptCount val="9"/>
                <c:pt idx="0">
                  <c:v>Туберкулёз</c:v>
                </c:pt>
                <c:pt idx="1">
                  <c:v>ПЦП</c:v>
                </c:pt>
                <c:pt idx="2">
                  <c:v>Токсоплазмоз</c:v>
                </c:pt>
                <c:pt idx="3">
                  <c:v>Криптококкоз</c:v>
                </c:pt>
                <c:pt idx="4">
                  <c:v>Нехожкинские лимфомы</c:v>
                </c:pt>
                <c:pt idx="5">
                  <c:v>Вирусные энцефалиты</c:v>
                </c:pt>
                <c:pt idx="6">
                  <c:v>ЦМВИ</c:v>
                </c:pt>
                <c:pt idx="7">
                  <c:v>Кандидоз</c:v>
                </c:pt>
                <c:pt idx="8">
                  <c:v>Саркома Капоши</c:v>
                </c:pt>
              </c:strCache>
            </c:strRef>
          </c:cat>
          <c:val>
            <c:numRef>
              <c:f>[сводная.xlsx]Лист1!$R$2,[сводная.xlsx]Лист1!$R$6,[сводная.xlsx]Лист1!$R$9,[сводная.xlsx]Лист1!$R$12,[сводная.xlsx]Лист1!$R$16,[сводная.xlsx]Лист1!$R$20,[сводная.xlsx]Лист1!$R$25,[сводная.xlsx]Лист1!$R$29,[сводная.xlsx]Лист1!$R$36</c:f>
              <c:numCache>
                <c:formatCode>0.0%</c:formatCode>
                <c:ptCount val="9"/>
                <c:pt idx="0">
                  <c:v>0.37157107231920433</c:v>
                </c:pt>
                <c:pt idx="1">
                  <c:v>0.11221945137157109</c:v>
                </c:pt>
                <c:pt idx="2">
                  <c:v>5.9850374064837904E-2</c:v>
                </c:pt>
                <c:pt idx="3">
                  <c:v>5.4862842892768104E-2</c:v>
                </c:pt>
                <c:pt idx="4">
                  <c:v>8.7281795511221949E-2</c:v>
                </c:pt>
                <c:pt idx="5">
                  <c:v>0.19700748129675821</c:v>
                </c:pt>
                <c:pt idx="6">
                  <c:v>9.7256857855361603E-2</c:v>
                </c:pt>
                <c:pt idx="7">
                  <c:v>0.6009975062344175</c:v>
                </c:pt>
                <c:pt idx="8">
                  <c:v>4.987531172069847E-3</c:v>
                </c:pt>
              </c:numCache>
            </c:numRef>
          </c:val>
        </c:ser>
        <c:gapWidth val="75"/>
        <c:overlap val="-25"/>
        <c:axId val="131947136"/>
        <c:axId val="131961216"/>
      </c:barChart>
      <c:catAx>
        <c:axId val="131947136"/>
        <c:scaling>
          <c:orientation val="minMax"/>
        </c:scaling>
        <c:axPos val="b"/>
        <c:majorTickMark val="none"/>
        <c:tickLblPos val="nextTo"/>
        <c:crossAx val="131961216"/>
        <c:crosses val="autoZero"/>
        <c:auto val="1"/>
        <c:lblAlgn val="ctr"/>
        <c:lblOffset val="100"/>
      </c:catAx>
      <c:valAx>
        <c:axId val="131961216"/>
        <c:scaling>
          <c:orientation val="minMax"/>
        </c:scaling>
        <c:axPos val="l"/>
        <c:numFmt formatCode="0.0%" sourceLinked="1"/>
        <c:tickLblPos val="nextTo"/>
        <c:crossAx val="1319471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9.7299084996141497E-2"/>
          <c:y val="2.8395061728395062E-2"/>
          <c:w val="0.71836075335693828"/>
          <c:h val="0.89135802469135772"/>
        </c:manualLayout>
      </c:layout>
      <c:barChart>
        <c:barDir val="col"/>
        <c:grouping val="clustered"/>
        <c:ser>
          <c:idx val="0"/>
          <c:order val="0"/>
          <c:tx>
            <c:strRef>
              <c:f>Лист1!$I$1</c:f>
              <c:strCache>
                <c:ptCount val="1"/>
                <c:pt idx="0">
                  <c:v>1996+1997</c:v>
                </c:pt>
              </c:strCache>
            </c:strRef>
          </c:tx>
          <c:dLbls>
            <c:dLblPos val="inEnd"/>
            <c:showVal val="1"/>
          </c:dLbls>
          <c:errBars>
            <c:errBarType val="both"/>
            <c:errValType val="stdErr"/>
          </c:errBars>
          <c:cat>
            <c:strRef>
              <c:f>Лист1!$A$3:$A$5</c:f>
              <c:strCache>
                <c:ptCount val="3"/>
                <c:pt idx="0">
                  <c:v>активно текущий</c:v>
                </c:pt>
                <c:pt idx="1">
                  <c:v>умеренной активности</c:v>
                </c:pt>
                <c:pt idx="2">
                  <c:v>с минимальной активностью</c:v>
                </c:pt>
              </c:strCache>
            </c:strRef>
          </c:cat>
          <c:val>
            <c:numRef>
              <c:f>Лист1!$I$3:$I$5</c:f>
              <c:numCache>
                <c:formatCode>0.0%</c:formatCode>
                <c:ptCount val="3"/>
                <c:pt idx="0">
                  <c:v>0.18181818181818257</c:v>
                </c:pt>
                <c:pt idx="1">
                  <c:v>9.0909090909091064E-2</c:v>
                </c:pt>
                <c:pt idx="2">
                  <c:v>4.5454545454545463E-2</c:v>
                </c:pt>
              </c:numCache>
            </c:numRef>
          </c:val>
        </c:ser>
        <c:ser>
          <c:idx val="1"/>
          <c:order val="1"/>
          <c:tx>
            <c:strRef>
              <c:f>Лист1!$O$1</c:f>
              <c:strCache>
                <c:ptCount val="1"/>
                <c:pt idx="0">
                  <c:v>2006</c:v>
                </c:pt>
              </c:strCache>
            </c:strRef>
          </c:tx>
          <c:dLbls>
            <c:dLblPos val="inEnd"/>
            <c:showVal val="1"/>
          </c:dLbls>
          <c:errBars>
            <c:errBarType val="both"/>
            <c:errValType val="stdErr"/>
          </c:errBars>
          <c:cat>
            <c:strRef>
              <c:f>Лист1!$A$3:$A$5</c:f>
              <c:strCache>
                <c:ptCount val="3"/>
                <c:pt idx="0">
                  <c:v>активно текущий</c:v>
                </c:pt>
                <c:pt idx="1">
                  <c:v>умеренной активности</c:v>
                </c:pt>
                <c:pt idx="2">
                  <c:v>с минимальной активностью</c:v>
                </c:pt>
              </c:strCache>
            </c:strRef>
          </c:cat>
          <c:val>
            <c:numRef>
              <c:f>Лист1!$O$3:$O$5</c:f>
              <c:numCache>
                <c:formatCode>0.0%</c:formatCode>
                <c:ptCount val="3"/>
                <c:pt idx="0">
                  <c:v>0.29508196721311614</c:v>
                </c:pt>
                <c:pt idx="1">
                  <c:v>4.9180327868852472E-2</c:v>
                </c:pt>
                <c:pt idx="2">
                  <c:v>3.2786885245901641E-2</c:v>
                </c:pt>
              </c:numCache>
            </c:numRef>
          </c:val>
        </c:ser>
        <c:ser>
          <c:idx val="2"/>
          <c:order val="2"/>
          <c:tx>
            <c:strRef>
              <c:f>Лист1!$R$1</c:f>
              <c:strCache>
                <c:ptCount val="1"/>
                <c:pt idx="0">
                  <c:v>2016</c:v>
                </c:pt>
              </c:strCache>
            </c:strRef>
          </c:tx>
          <c:dLbls>
            <c:dLblPos val="inEnd"/>
            <c:showVal val="1"/>
          </c:dLbls>
          <c:errBars>
            <c:errBarType val="both"/>
            <c:errValType val="stdErr"/>
          </c:errBars>
          <c:cat>
            <c:strRef>
              <c:f>Лист1!$A$3:$A$5</c:f>
              <c:strCache>
                <c:ptCount val="3"/>
                <c:pt idx="0">
                  <c:v>активно текущий</c:v>
                </c:pt>
                <c:pt idx="1">
                  <c:v>умеренной активности</c:v>
                </c:pt>
                <c:pt idx="2">
                  <c:v>с минимальной активностью</c:v>
                </c:pt>
              </c:strCache>
            </c:strRef>
          </c:cat>
          <c:val>
            <c:numRef>
              <c:f>Лист1!$R$3:$R$5</c:f>
              <c:numCache>
                <c:formatCode>0.0%</c:formatCode>
                <c:ptCount val="3"/>
                <c:pt idx="0">
                  <c:v>0.27680798004987722</c:v>
                </c:pt>
                <c:pt idx="1">
                  <c:v>4.7381546134663374E-2</c:v>
                </c:pt>
                <c:pt idx="2">
                  <c:v>4.7381546134663374E-2</c:v>
                </c:pt>
              </c:numCache>
            </c:numRef>
          </c:val>
        </c:ser>
        <c:dLbls>
          <c:showVal val="1"/>
        </c:dLbls>
        <c:axId val="131988864"/>
        <c:axId val="132007040"/>
      </c:barChart>
      <c:catAx>
        <c:axId val="131988864"/>
        <c:scaling>
          <c:orientation val="minMax"/>
        </c:scaling>
        <c:axPos val="b"/>
        <c:majorTickMark val="none"/>
        <c:tickLblPos val="nextTo"/>
        <c:crossAx val="132007040"/>
        <c:crosses val="autoZero"/>
        <c:auto val="1"/>
        <c:lblAlgn val="ctr"/>
        <c:lblOffset val="100"/>
      </c:catAx>
      <c:valAx>
        <c:axId val="132007040"/>
        <c:scaling>
          <c:orientation val="minMax"/>
        </c:scaling>
        <c:axPos val="l"/>
        <c:numFmt formatCode="0.0%" sourceLinked="1"/>
        <c:majorTickMark val="none"/>
        <c:tickLblPos val="nextTo"/>
        <c:crossAx val="13198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Лист1!$S$80</c:f>
              <c:strCache>
                <c:ptCount val="1"/>
                <c:pt idx="0">
                  <c:v>1996+1997 годы</c:v>
                </c:pt>
              </c:strCache>
            </c:strRef>
          </c:tx>
          <c:dLbls>
            <c:dLbl>
              <c:idx val="0"/>
              <c:layout>
                <c:manualLayout>
                  <c:x val="1.976935749588138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769357495881386E-2"/>
                  <c:y val="4.2462845010615719E-3"/>
                </c:manualLayout>
              </c:layout>
              <c:showVal val="1"/>
            </c:dLbl>
            <c:dLbl>
              <c:idx val="2"/>
              <c:layout>
                <c:manualLayout>
                  <c:x val="2.63591433278418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68808347062053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2081274025260848"/>
                  <c:y val="1.2738853503184714E-2"/>
                </c:manualLayout>
              </c:layout>
              <c:showVal val="1"/>
            </c:dLbl>
            <c:showVal val="1"/>
          </c:dLbls>
          <c:errBars>
            <c:errBarType val="both"/>
            <c:errValType val="stdErr"/>
          </c:errBars>
          <c:cat>
            <c:strRef>
              <c:f>Лист1!$R$81:$R$85</c:f>
              <c:strCache>
                <c:ptCount val="5"/>
                <c:pt idx="0">
                  <c:v>ХВГВ</c:v>
                </c:pt>
                <c:pt idx="1">
                  <c:v>ХВГС</c:v>
                </c:pt>
                <c:pt idx="2">
                  <c:v>ХВГВ+С</c:v>
                </c:pt>
                <c:pt idx="3">
                  <c:v>ХНВГ</c:v>
                </c:pt>
                <c:pt idx="4">
                  <c:v>Другое</c:v>
                </c:pt>
              </c:strCache>
            </c:strRef>
          </c:cat>
          <c:val>
            <c:numRef>
              <c:f>Лист1!$S$81:$S$85</c:f>
              <c:numCache>
                <c:formatCode>0.00%</c:formatCode>
                <c:ptCount val="5"/>
                <c:pt idx="0">
                  <c:v>9.1000000000000025E-2</c:v>
                </c:pt>
                <c:pt idx="1">
                  <c:v>9.1000000000000025E-2</c:v>
                </c:pt>
                <c:pt idx="2" formatCode="General">
                  <c:v>0</c:v>
                </c:pt>
                <c:pt idx="3">
                  <c:v>4.5000000000000012E-2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Лист1!$T$80</c:f>
              <c:strCache>
                <c:ptCount val="1"/>
                <c:pt idx="0">
                  <c:v>2006 год</c:v>
                </c:pt>
              </c:strCache>
            </c:strRef>
          </c:tx>
          <c:dLbls>
            <c:dLbl>
              <c:idx val="0"/>
              <c:layout>
                <c:manualLayout>
                  <c:x val="8.34706205381658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7863638132548078E-2"/>
                  <c:y val="4.6297875185983915E-3"/>
                </c:manualLayout>
              </c:layout>
              <c:showVal val="1"/>
            </c:dLbl>
            <c:dLbl>
              <c:idx val="2"/>
              <c:layout>
                <c:manualLayout>
                  <c:x val="9.665019220208678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006040637012632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0060406370126328E-2"/>
                  <c:y val="4.2462845010615719E-3"/>
                </c:manualLayout>
              </c:layout>
              <c:showVal val="1"/>
            </c:dLbl>
            <c:showVal val="1"/>
          </c:dLbls>
          <c:errBars>
            <c:errBarType val="both"/>
            <c:errValType val="stdErr"/>
          </c:errBars>
          <c:cat>
            <c:strRef>
              <c:f>Лист1!$R$81:$R$85</c:f>
              <c:strCache>
                <c:ptCount val="5"/>
                <c:pt idx="0">
                  <c:v>ХВГВ</c:v>
                </c:pt>
                <c:pt idx="1">
                  <c:v>ХВГС</c:v>
                </c:pt>
                <c:pt idx="2">
                  <c:v>ХВГВ+С</c:v>
                </c:pt>
                <c:pt idx="3">
                  <c:v>ХНВГ</c:v>
                </c:pt>
                <c:pt idx="4">
                  <c:v>Другое</c:v>
                </c:pt>
              </c:strCache>
            </c:strRef>
          </c:cat>
          <c:val>
            <c:numRef>
              <c:f>Лист1!$T$81:$T$85</c:f>
              <c:numCache>
                <c:formatCode>0.00%</c:formatCode>
                <c:ptCount val="5"/>
                <c:pt idx="0">
                  <c:v>9.8000000000000226E-2</c:v>
                </c:pt>
                <c:pt idx="1">
                  <c:v>0.27800000000000002</c:v>
                </c:pt>
                <c:pt idx="2">
                  <c:v>0.443</c:v>
                </c:pt>
                <c:pt idx="3" formatCode="0%">
                  <c:v>0.05</c:v>
                </c:pt>
                <c:pt idx="4">
                  <c:v>1.6000000000000021E-2</c:v>
                </c:pt>
              </c:numCache>
            </c:numRef>
          </c:val>
        </c:ser>
        <c:ser>
          <c:idx val="2"/>
          <c:order val="2"/>
          <c:tx>
            <c:strRef>
              <c:f>Лист1!$U$80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9.225700164744647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225700164744647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0104338275672707"/>
                  <c:y val="-4.6297875185983915E-3"/>
                </c:manualLayout>
              </c:layout>
              <c:showVal val="1"/>
            </c:dLbl>
            <c:dLbl>
              <c:idx val="3"/>
              <c:layout>
                <c:manualLayout>
                  <c:x val="9.225700164744647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6650192202086788E-2"/>
                  <c:y val="-4.2462845010615719E-3"/>
                </c:manualLayout>
              </c:layout>
              <c:showVal val="1"/>
            </c:dLbl>
            <c:showVal val="1"/>
          </c:dLbls>
          <c:errBars>
            <c:errBarType val="both"/>
            <c:errValType val="stdErr"/>
          </c:errBars>
          <c:cat>
            <c:strRef>
              <c:f>Лист1!$R$81:$R$85</c:f>
              <c:strCache>
                <c:ptCount val="5"/>
                <c:pt idx="0">
                  <c:v>ХВГВ</c:v>
                </c:pt>
                <c:pt idx="1">
                  <c:v>ХВГС</c:v>
                </c:pt>
                <c:pt idx="2">
                  <c:v>ХВГВ+С</c:v>
                </c:pt>
                <c:pt idx="3">
                  <c:v>ХНВГ</c:v>
                </c:pt>
                <c:pt idx="4">
                  <c:v>Другое</c:v>
                </c:pt>
              </c:strCache>
            </c:strRef>
          </c:cat>
          <c:val>
            <c:numRef>
              <c:f>Лист1!$U$81:$U$85</c:f>
              <c:numCache>
                <c:formatCode>0.00%</c:formatCode>
                <c:ptCount val="5"/>
                <c:pt idx="0">
                  <c:v>5.1999999999999998E-2</c:v>
                </c:pt>
                <c:pt idx="1">
                  <c:v>0.33100000000000146</c:v>
                </c:pt>
                <c:pt idx="2">
                  <c:v>0.40100000000000002</c:v>
                </c:pt>
                <c:pt idx="3">
                  <c:v>2.5000000000000001E-2</c:v>
                </c:pt>
                <c:pt idx="4">
                  <c:v>2.0000000000000052E-3</c:v>
                </c:pt>
              </c:numCache>
            </c:numRef>
          </c:val>
        </c:ser>
        <c:dLbls>
          <c:showVal val="1"/>
        </c:dLbls>
        <c:gapWidth val="75"/>
        <c:axId val="132125056"/>
        <c:axId val="132126592"/>
      </c:barChart>
      <c:catAx>
        <c:axId val="132125056"/>
        <c:scaling>
          <c:orientation val="minMax"/>
        </c:scaling>
        <c:axPos val="l"/>
        <c:majorTickMark val="none"/>
        <c:tickLblPos val="nextTo"/>
        <c:crossAx val="132126592"/>
        <c:crosses val="autoZero"/>
        <c:auto val="1"/>
        <c:lblAlgn val="ctr"/>
        <c:lblOffset val="100"/>
      </c:catAx>
      <c:valAx>
        <c:axId val="132126592"/>
        <c:scaling>
          <c:orientation val="minMax"/>
        </c:scaling>
        <c:axPos val="b"/>
        <c:numFmt formatCode="0.00%" sourceLinked="1"/>
        <c:majorTickMark val="none"/>
        <c:tickLblPos val="nextTo"/>
        <c:crossAx val="1321250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1342411373242463E-2"/>
          <c:y val="7.1019429280605104E-2"/>
          <c:w val="0.51543538823481949"/>
          <c:h val="0.85796114143879065"/>
        </c:manualLayout>
      </c:layout>
      <c:doughnutChart>
        <c:varyColors val="1"/>
        <c:ser>
          <c:idx val="0"/>
          <c:order val="0"/>
          <c:tx>
            <c:strRef>
              <c:f>Лист1!$T$90</c:f>
              <c:strCache>
                <c:ptCount val="1"/>
                <c:pt idx="0">
                  <c:v>1996+1997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Percent val="1"/>
          </c:dLbls>
          <c:cat>
            <c:strRef>
              <c:f>Лист1!$S$91:$S$93</c:f>
              <c:strCache>
                <c:ptCount val="3"/>
                <c:pt idx="0">
                  <c:v>Высокой степени активности, значительная роль в танатогенезе</c:v>
                </c:pt>
                <c:pt idx="1">
                  <c:v>Умеренной степени активности, отягчал состояние, но не сыграл решающей роли</c:v>
                </c:pt>
                <c:pt idx="2">
                  <c:v>Минимальной степени активности, не повлиял на танатогенез</c:v>
                </c:pt>
              </c:strCache>
            </c:strRef>
          </c:cat>
          <c:val>
            <c:numRef>
              <c:f>Лист1!$T$91:$T$93</c:f>
              <c:numCache>
                <c:formatCode>0%</c:formatCode>
                <c:ptCount val="3"/>
                <c:pt idx="0">
                  <c:v>0.2</c:v>
                </c:pt>
                <c:pt idx="1">
                  <c:v>0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Лист1!$U$90</c:f>
              <c:strCache>
                <c:ptCount val="1"/>
                <c:pt idx="0">
                  <c:v>2006</c:v>
                </c:pt>
              </c:strCache>
            </c:strRef>
          </c:tx>
          <c:dLbls>
            <c:showPercent val="1"/>
          </c:dLbls>
          <c:cat>
            <c:strRef>
              <c:f>Лист1!$S$91:$S$93</c:f>
              <c:strCache>
                <c:ptCount val="3"/>
                <c:pt idx="0">
                  <c:v>Высокой степени активности, значительная роль в танатогенезе</c:v>
                </c:pt>
                <c:pt idx="1">
                  <c:v>Умеренной степени активности, отягчал состояние, но не сыграл решающей роли</c:v>
                </c:pt>
                <c:pt idx="2">
                  <c:v>Минимальной степени активности, не повлиял на танатогенез</c:v>
                </c:pt>
              </c:strCache>
            </c:strRef>
          </c:cat>
          <c:val>
            <c:numRef>
              <c:f>Лист1!$U$91:$U$93</c:f>
              <c:numCache>
                <c:formatCode>0%</c:formatCode>
                <c:ptCount val="3"/>
                <c:pt idx="0">
                  <c:v>0.13</c:v>
                </c:pt>
                <c:pt idx="1">
                  <c:v>0.11</c:v>
                </c:pt>
                <c:pt idx="2" formatCode="0.00%">
                  <c:v>0.75900000000000156</c:v>
                </c:pt>
              </c:numCache>
            </c:numRef>
          </c:val>
        </c:ser>
        <c:ser>
          <c:idx val="2"/>
          <c:order val="2"/>
          <c:tx>
            <c:strRef>
              <c:f>Лист1!$V$90</c:f>
              <c:strCache>
                <c:ptCount val="1"/>
                <c:pt idx="0">
                  <c:v>2016</c:v>
                </c:pt>
              </c:strCache>
            </c:strRef>
          </c:tx>
          <c:dLbls>
            <c:showPercent val="1"/>
          </c:dLbls>
          <c:cat>
            <c:strRef>
              <c:f>Лист1!$S$91:$S$93</c:f>
              <c:strCache>
                <c:ptCount val="3"/>
                <c:pt idx="0">
                  <c:v>Высокой степени активности, значительная роль в танатогенезе</c:v>
                </c:pt>
                <c:pt idx="1">
                  <c:v>Умеренной степени активности, отягчал состояние, но не сыграл решающей роли</c:v>
                </c:pt>
                <c:pt idx="2">
                  <c:v>Минимальной степени активности, не повлиял на танатогенез</c:v>
                </c:pt>
              </c:strCache>
            </c:strRef>
          </c:cat>
          <c:val>
            <c:numRef>
              <c:f>Лист1!$V$91:$V$93</c:f>
              <c:numCache>
                <c:formatCode>0.00%</c:formatCode>
                <c:ptCount val="3"/>
                <c:pt idx="0">
                  <c:v>0.14200000000000004</c:v>
                </c:pt>
                <c:pt idx="1">
                  <c:v>0.114</c:v>
                </c:pt>
                <c:pt idx="2">
                  <c:v>0.74500000000000144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мужчины</c:v>
                </c:pt>
              </c:strCache>
            </c:strRef>
          </c:tx>
          <c:dLbls>
            <c:dLblPos val="inEnd"/>
            <c:showVal val="1"/>
          </c:dLbls>
          <c:errBars>
            <c:errBarType val="both"/>
            <c:errValType val="stdErr"/>
          </c:errBars>
          <c:cat>
            <c:strRef>
              <c:f>Лист1!$B$1:$D$1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81.8</c:v>
                </c:pt>
                <c:pt idx="1">
                  <c:v>70.5</c:v>
                </c:pt>
                <c:pt idx="2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женщины</c:v>
                </c:pt>
              </c:strCache>
            </c:strRef>
          </c:tx>
          <c:dLbls>
            <c:dLblPos val="inEnd"/>
            <c:showVal val="1"/>
          </c:dLbls>
          <c:errBars>
            <c:errBarType val="both"/>
            <c:errValType val="stdErr"/>
          </c:errBars>
          <c:cat>
            <c:strRef>
              <c:f>Лист1!$B$1:$D$1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18.2</c:v>
                </c:pt>
                <c:pt idx="1">
                  <c:v>29.5</c:v>
                </c:pt>
                <c:pt idx="2">
                  <c:v>40.9</c:v>
                </c:pt>
              </c:numCache>
            </c:numRef>
          </c:val>
        </c:ser>
        <c:dLbls>
          <c:showVal val="1"/>
        </c:dLbls>
        <c:gapWidth val="75"/>
        <c:overlap val="40"/>
        <c:axId val="131118592"/>
        <c:axId val="131120128"/>
      </c:barChart>
      <c:catAx>
        <c:axId val="131118592"/>
        <c:scaling>
          <c:orientation val="minMax"/>
        </c:scaling>
        <c:axPos val="b"/>
        <c:majorTickMark val="none"/>
        <c:tickLblPos val="nextTo"/>
        <c:crossAx val="131120128"/>
        <c:crosses val="autoZero"/>
        <c:auto val="1"/>
        <c:lblAlgn val="ctr"/>
        <c:lblOffset val="100"/>
      </c:catAx>
      <c:valAx>
        <c:axId val="131120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11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Лист1!$A$11</c:f>
              <c:strCache>
                <c:ptCount val="1"/>
                <c:pt idx="0">
                  <c:v>ПИН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Лист1!$B$1:$D$1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Лист1!$B$11:$D$11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0.55700000000000005</c:v>
                </c:pt>
                <c:pt idx="2">
                  <c:v>0.47400000000000031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Хроническая алкогольная интоксикация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Лист1!$B$1:$D$1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Лист1!$B$12:$D$12</c:f>
              <c:numCache>
                <c:formatCode>0%</c:formatCode>
                <c:ptCount val="3"/>
                <c:pt idx="0" formatCode="0.00%">
                  <c:v>0.31800000000000123</c:v>
                </c:pt>
                <c:pt idx="1">
                  <c:v>0.54</c:v>
                </c:pt>
                <c:pt idx="2" formatCode="0.00%">
                  <c:v>0.57099999999999995</c:v>
                </c:pt>
              </c:numCache>
            </c:numRef>
          </c:val>
        </c:ser>
        <c:dLbls>
          <c:showVal val="1"/>
        </c:dLbls>
        <c:gapWidth val="75"/>
        <c:axId val="131322624"/>
        <c:axId val="131324160"/>
      </c:barChart>
      <c:catAx>
        <c:axId val="131322624"/>
        <c:scaling>
          <c:orientation val="minMax"/>
        </c:scaling>
        <c:axPos val="b"/>
        <c:majorTickMark val="none"/>
        <c:tickLblPos val="nextTo"/>
        <c:crossAx val="131324160"/>
        <c:crosses val="autoZero"/>
        <c:auto val="1"/>
        <c:lblAlgn val="ctr"/>
        <c:lblOffset val="100"/>
      </c:catAx>
      <c:valAx>
        <c:axId val="131324160"/>
        <c:scaling>
          <c:orientation val="minMax"/>
        </c:scaling>
        <c:axPos val="l"/>
        <c:numFmt formatCode="0%" sourceLinked="1"/>
        <c:majorTickMark val="none"/>
        <c:tickLblPos val="nextTo"/>
        <c:crossAx val="1313226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8.5360372286173436E-2"/>
          <c:y val="5.8928349951518473E-2"/>
          <c:w val="0.91463962771382989"/>
          <c:h val="0.622697919395035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Лист1!$B$13</c:f>
              <c:strCache>
                <c:ptCount val="1"/>
                <c:pt idx="0">
                  <c:v>1996+1997</c:v>
                </c:pt>
              </c:strCache>
            </c:strRef>
          </c:tx>
          <c:dLbls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Лист1!$A$14:$A$17</c:f>
              <c:strCache>
                <c:ptCount val="4"/>
                <c:pt idx="0">
                  <c:v>ВИЧ</c:v>
                </c:pt>
                <c:pt idx="1">
                  <c:v>Вирусные гепатиты</c:v>
                </c:pt>
                <c:pt idx="2">
                  <c:v>Другое</c:v>
                </c:pt>
                <c:pt idx="3">
                  <c:v>ВИЧ+Другое</c:v>
                </c:pt>
              </c:strCache>
            </c:strRef>
          </c:cat>
          <c:val>
            <c:numRef>
              <c:f>Лист1!$B$14:$B$17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2006</c:v>
                </c:pt>
              </c:strCache>
            </c:strRef>
          </c:tx>
          <c:dLbls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Лист1!$A$14:$A$17</c:f>
              <c:strCache>
                <c:ptCount val="4"/>
                <c:pt idx="0">
                  <c:v>ВИЧ</c:v>
                </c:pt>
                <c:pt idx="1">
                  <c:v>Вирусные гепатиты</c:v>
                </c:pt>
                <c:pt idx="2">
                  <c:v>Другое</c:v>
                </c:pt>
                <c:pt idx="3">
                  <c:v>ВИЧ+Другое</c:v>
                </c:pt>
              </c:strCache>
            </c:strRef>
          </c:cat>
          <c:val>
            <c:numRef>
              <c:f>Лист1!$C$14:$C$17</c:f>
              <c:numCache>
                <c:formatCode>0.00%</c:formatCode>
                <c:ptCount val="4"/>
                <c:pt idx="0">
                  <c:v>0.68899999999999995</c:v>
                </c:pt>
                <c:pt idx="1">
                  <c:v>0.115</c:v>
                </c:pt>
                <c:pt idx="2" formatCode="0%">
                  <c:v>0.18000000000000024</c:v>
                </c:pt>
                <c:pt idx="3">
                  <c:v>1.6000000000000021E-2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Лист1!$D$13</c:f>
              <c:strCache>
                <c:ptCount val="1"/>
                <c:pt idx="0">
                  <c:v>2016</c:v>
                </c:pt>
              </c:strCache>
            </c:strRef>
          </c:tx>
          <c:dLbls>
            <c:dLblPos val="outEnd"/>
            <c:showVal val="1"/>
          </c:dLbls>
          <c:errBars>
            <c:errBarType val="both"/>
            <c:errValType val="stdErr"/>
          </c:errBars>
          <c:cat>
            <c:strRef>
              <c:f>Лист1!$A$14:$A$17</c:f>
              <c:strCache>
                <c:ptCount val="4"/>
                <c:pt idx="0">
                  <c:v>ВИЧ</c:v>
                </c:pt>
                <c:pt idx="1">
                  <c:v>Вирусные гепатиты</c:v>
                </c:pt>
                <c:pt idx="2">
                  <c:v>Другое</c:v>
                </c:pt>
                <c:pt idx="3">
                  <c:v>ВИЧ+Другое</c:v>
                </c:pt>
              </c:strCache>
            </c:strRef>
          </c:cat>
          <c:val>
            <c:numRef>
              <c:f>Лист1!$D$14:$D$17</c:f>
              <c:numCache>
                <c:formatCode>0.00%</c:formatCode>
                <c:ptCount val="4"/>
                <c:pt idx="0" formatCode="0%">
                  <c:v>0.83000000000000063</c:v>
                </c:pt>
                <c:pt idx="1">
                  <c:v>0.113</c:v>
                </c:pt>
                <c:pt idx="2" formatCode="0%">
                  <c:v>4.0000000000000022E-2</c:v>
                </c:pt>
                <c:pt idx="3">
                  <c:v>1.7000000000000001E-2</c:v>
                </c:pt>
              </c:numCache>
            </c:numRef>
          </c:val>
        </c:ser>
        <c:dLbls>
          <c:showVal val="1"/>
        </c:dLbls>
        <c:gapWidth val="75"/>
        <c:overlap val="-25"/>
        <c:axId val="131360256"/>
        <c:axId val="131361792"/>
      </c:barChart>
      <c:catAx>
        <c:axId val="131360256"/>
        <c:scaling>
          <c:orientation val="minMax"/>
        </c:scaling>
        <c:axPos val="b"/>
        <c:majorTickMark val="none"/>
        <c:tickLblPos val="nextTo"/>
        <c:crossAx val="131361792"/>
        <c:crosses val="autoZero"/>
        <c:auto val="1"/>
        <c:lblAlgn val="ctr"/>
        <c:lblOffset val="100"/>
      </c:catAx>
      <c:valAx>
        <c:axId val="131361792"/>
        <c:scaling>
          <c:orientation val="minMax"/>
        </c:scaling>
        <c:axPos val="l"/>
        <c:numFmt formatCode="0%" sourceLinked="1"/>
        <c:majorTickMark val="none"/>
        <c:tickLblPos val="nextTo"/>
        <c:crossAx val="131360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Лист1!$A$22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Лист1!$B$21:$D$21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Лист1!$B$22:$D$22</c:f>
              <c:numCache>
                <c:formatCode>0%</c:formatCode>
                <c:ptCount val="3"/>
                <c:pt idx="0">
                  <c:v>0</c:v>
                </c:pt>
                <c:pt idx="1">
                  <c:v>0.05</c:v>
                </c:pt>
                <c:pt idx="2" formatCode="0.00%">
                  <c:v>1.4999999999999998E-2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Лист1!$B$21:$D$21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Лист1!$B$23:$D$23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0.14700000000000021</c:v>
                </c:pt>
                <c:pt idx="2" formatCode="0%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Лист1!$B$21:$D$21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Лист1!$B$24:$D$24</c:f>
              <c:numCache>
                <c:formatCode>0.00%</c:formatCode>
                <c:ptCount val="3"/>
                <c:pt idx="0" formatCode="0%">
                  <c:v>0</c:v>
                </c:pt>
                <c:pt idx="1">
                  <c:v>3.3000000000000002E-2</c:v>
                </c:pt>
                <c:pt idx="2">
                  <c:v>1.4999999999999998E-2</c:v>
                </c:pt>
              </c:numCache>
            </c:numRef>
          </c:val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4В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Лист1!$B$21:$D$21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Лист1!$B$25:$D$25</c:f>
              <c:numCache>
                <c:formatCode>0.00%</c:formatCode>
                <c:ptCount val="3"/>
                <c:pt idx="0">
                  <c:v>0.27200000000000002</c:v>
                </c:pt>
                <c:pt idx="1">
                  <c:v>0.47500000000000031</c:v>
                </c:pt>
                <c:pt idx="2">
                  <c:v>0.81299999999999994</c:v>
                </c:pt>
              </c:numCache>
            </c:numRef>
          </c:val>
        </c:ser>
        <c:ser>
          <c:idx val="4"/>
          <c:order val="4"/>
          <c:tx>
            <c:strRef>
              <c:f>Лист1!$A$26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Лист1!$B$21:$D$21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Лист1!$B$26:$D$26</c:f>
              <c:numCache>
                <c:formatCode>0.00%</c:formatCode>
                <c:ptCount val="3"/>
                <c:pt idx="0">
                  <c:v>0.72800000000000065</c:v>
                </c:pt>
                <c:pt idx="1">
                  <c:v>0.29500000000000032</c:v>
                </c:pt>
                <c:pt idx="2">
                  <c:v>5.7000000000000023E-2</c:v>
                </c:pt>
              </c:numCache>
            </c:numRef>
          </c:val>
        </c:ser>
        <c:dLbls>
          <c:showVal val="1"/>
        </c:dLbls>
        <c:overlap val="-25"/>
        <c:axId val="131515904"/>
        <c:axId val="131517440"/>
      </c:barChart>
      <c:catAx>
        <c:axId val="131515904"/>
        <c:scaling>
          <c:orientation val="minMax"/>
        </c:scaling>
        <c:axPos val="b"/>
        <c:majorTickMark val="none"/>
        <c:tickLblPos val="nextTo"/>
        <c:crossAx val="131517440"/>
        <c:crosses val="autoZero"/>
        <c:auto val="1"/>
        <c:lblAlgn val="ctr"/>
        <c:lblOffset val="100"/>
      </c:catAx>
      <c:valAx>
        <c:axId val="131517440"/>
        <c:scaling>
          <c:orientation val="minMax"/>
        </c:scaling>
        <c:delete val="1"/>
        <c:axPos val="l"/>
        <c:numFmt formatCode="0%" sourceLinked="1"/>
        <c:tickLblPos val="nextTo"/>
        <c:crossAx val="1315159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CD4+</a:t>
            </a:r>
            <a:r>
              <a:rPr lang="ru-RU"/>
              <a:t>,</a:t>
            </a:r>
            <a:r>
              <a:rPr lang="en-US"/>
              <a:t> </a:t>
            </a:r>
            <a:r>
              <a:rPr lang="ru-RU"/>
              <a:t>кл/мкл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v>CD4+</c:v>
          </c:tx>
          <c:dLbls>
            <c:numFmt formatCode="0.0%" sourceLinked="0"/>
            <c:showPercent val="1"/>
            <c:showLeaderLines val="1"/>
          </c:dLbls>
          <c:cat>
            <c:strRef>
              <c:f>Лист1!$A$29:$A$32</c:f>
              <c:strCache>
                <c:ptCount val="4"/>
                <c:pt idx="0">
                  <c:v>&lt;50</c:v>
                </c:pt>
                <c:pt idx="1">
                  <c:v>50-200</c:v>
                </c:pt>
                <c:pt idx="2">
                  <c:v>201-350</c:v>
                </c:pt>
                <c:pt idx="3">
                  <c:v>&gt;350</c:v>
                </c:pt>
              </c:strCache>
            </c:strRef>
          </c:cat>
          <c:val>
            <c:numRef>
              <c:f>Лист1!$B$29:$B$32</c:f>
              <c:numCache>
                <c:formatCode>0.0%</c:formatCode>
                <c:ptCount val="4"/>
                <c:pt idx="0">
                  <c:v>0.56899999999999995</c:v>
                </c:pt>
                <c:pt idx="1">
                  <c:v>0.34200000000000008</c:v>
                </c:pt>
                <c:pt idx="2">
                  <c:v>6.1000000000000013E-2</c:v>
                </c:pt>
                <c:pt idx="3">
                  <c:v>2.7000000000000111E-2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Лист1!$I$41</c:f>
              <c:strCache>
                <c:ptCount val="1"/>
                <c:pt idx="0">
                  <c:v>1996+1997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[диаграммки.xlsx]Лист1!$H$42,[диаграммки.xlsx]Лист1!$H$44,[диаграммки.xlsx]Лист1!$H$45,[диаграммки.xlsx]Лист1!$H$46,[диаграммки.xlsx]Лист1!$H$52,[диаграммки.xlsx]Лист1!$H$53,[диаграммки.xlsx]Лист1!$H$54,[диаграммки.xlsx]Лист1!$H$57,[диаграммки.xlsx]Лист1!$H$58</c:f>
              <c:strCache>
                <c:ptCount val="9"/>
                <c:pt idx="0">
                  <c:v>Туберкулёз </c:v>
                </c:pt>
                <c:pt idx="1">
                  <c:v>Пневмонии</c:v>
                </c:pt>
                <c:pt idx="2">
                  <c:v>ПЦП</c:v>
                </c:pt>
                <c:pt idx="3">
                  <c:v>Вирусные энцефалиты</c:v>
                </c:pt>
                <c:pt idx="4">
                  <c:v>Криптококкоз</c:v>
                </c:pt>
                <c:pt idx="5">
                  <c:v>Токсоплазмоз </c:v>
                </c:pt>
                <c:pt idx="6">
                  <c:v>Лимфомы</c:v>
                </c:pt>
                <c:pt idx="7">
                  <c:v>ЦМВИ</c:v>
                </c:pt>
                <c:pt idx="8">
                  <c:v>Другое</c:v>
                </c:pt>
              </c:strCache>
            </c:strRef>
          </c:cat>
          <c:val>
            <c:numRef>
              <c:f>[диаграммки.xlsx]Лист1!$I$42,[диаграммки.xlsx]Лист1!$I$44,[диаграммки.xlsx]Лист1!$I$45:$I$46,[диаграммки.xlsx]Лист1!$I$52,[диаграммки.xlsx]Лист1!$I$53,[диаграммки.xlsx]Лист1!$I$54,[диаграммки.xlsx]Лист1!$I$57,[диаграммки.xlsx]Лист1!$I$58</c:f>
              <c:numCache>
                <c:formatCode>0.00%</c:formatCode>
                <c:ptCount val="9"/>
                <c:pt idx="0">
                  <c:v>0.18200000000000024</c:v>
                </c:pt>
                <c:pt idx="1">
                  <c:v>4.5000000000000012E-2</c:v>
                </c:pt>
                <c:pt idx="2">
                  <c:v>4.5000000000000012E-2</c:v>
                </c:pt>
                <c:pt idx="3">
                  <c:v>0.27200000000000002</c:v>
                </c:pt>
                <c:pt idx="4">
                  <c:v>9.1000000000000025E-2</c:v>
                </c:pt>
                <c:pt idx="5">
                  <c:v>4.5000000000000012E-2</c:v>
                </c:pt>
                <c:pt idx="6">
                  <c:v>4.5000000000000012E-2</c:v>
                </c:pt>
                <c:pt idx="7">
                  <c:v>9.1000000000000025E-2</c:v>
                </c:pt>
                <c:pt idx="8">
                  <c:v>0.18200000000000024</c:v>
                </c:pt>
              </c:numCache>
            </c:numRef>
          </c:val>
        </c:ser>
        <c:ser>
          <c:idx val="1"/>
          <c:order val="1"/>
          <c:tx>
            <c:strRef>
              <c:f>Лист1!$J$41</c:f>
              <c:strCache>
                <c:ptCount val="1"/>
                <c:pt idx="0">
                  <c:v>2006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[диаграммки.xlsx]Лист1!$H$42,[диаграммки.xlsx]Лист1!$H$44,[диаграммки.xlsx]Лист1!$H$45,[диаграммки.xlsx]Лист1!$H$46,[диаграммки.xlsx]Лист1!$H$52,[диаграммки.xlsx]Лист1!$H$53,[диаграммки.xlsx]Лист1!$H$54,[диаграммки.xlsx]Лист1!$H$57,[диаграммки.xlsx]Лист1!$H$58</c:f>
              <c:strCache>
                <c:ptCount val="9"/>
                <c:pt idx="0">
                  <c:v>Туберкулёз </c:v>
                </c:pt>
                <c:pt idx="1">
                  <c:v>Пневмонии</c:v>
                </c:pt>
                <c:pt idx="2">
                  <c:v>ПЦП</c:v>
                </c:pt>
                <c:pt idx="3">
                  <c:v>Вирусные энцефалиты</c:v>
                </c:pt>
                <c:pt idx="4">
                  <c:v>Криптококкоз</c:v>
                </c:pt>
                <c:pt idx="5">
                  <c:v>Токсоплазмоз </c:v>
                </c:pt>
                <c:pt idx="6">
                  <c:v>Лимфомы</c:v>
                </c:pt>
                <c:pt idx="7">
                  <c:v>ЦМВИ</c:v>
                </c:pt>
                <c:pt idx="8">
                  <c:v>Другое</c:v>
                </c:pt>
              </c:strCache>
            </c:strRef>
          </c:cat>
          <c:val>
            <c:numRef>
              <c:f>[диаграммки.xlsx]Лист1!$J$42,[диаграммки.xlsx]Лист1!$J$44,[диаграммки.xlsx]Лист1!$J$45,[диаграммки.xlsx]Лист1!$J$46,[диаграммки.xlsx]Лист1!$J$52,[диаграммки.xlsx]Лист1!$J$53,[диаграммки.xlsx]Лист1!$J$54,[диаграммки.xlsx]Лист1!$J$57,[диаграммки.xlsx]Лист1!$J$58</c:f>
              <c:numCache>
                <c:formatCode>0.00%</c:formatCode>
                <c:ptCount val="9"/>
                <c:pt idx="0">
                  <c:v>0.29500000000000032</c:v>
                </c:pt>
                <c:pt idx="1">
                  <c:v>0.13100000000000001</c:v>
                </c:pt>
                <c:pt idx="2">
                  <c:v>8.2000000000000003E-2</c:v>
                </c:pt>
                <c:pt idx="3">
                  <c:v>4.9000000000000113E-2</c:v>
                </c:pt>
                <c:pt idx="4">
                  <c:v>3.3000000000000002E-2</c:v>
                </c:pt>
                <c:pt idx="5">
                  <c:v>6.6000000000000003E-2</c:v>
                </c:pt>
                <c:pt idx="6">
                  <c:v>6.6000000000000003E-2</c:v>
                </c:pt>
                <c:pt idx="7" formatCode="General">
                  <c:v>0</c:v>
                </c:pt>
                <c:pt idx="8">
                  <c:v>0.27900000000000008</c:v>
                </c:pt>
              </c:numCache>
            </c:numRef>
          </c:val>
        </c:ser>
        <c:ser>
          <c:idx val="2"/>
          <c:order val="2"/>
          <c:tx>
            <c:strRef>
              <c:f>Лист1!$K$41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3"/>
              <c:layout>
                <c:manualLayout>
                  <c:x val="2.204828574578327E-3"/>
                  <c:y val="1.1001100110011005E-2"/>
                </c:manualLayout>
              </c:layout>
              <c:showVal val="1"/>
            </c:dLbl>
            <c:showVal val="1"/>
          </c:dLbls>
          <c:errBars>
            <c:errBarType val="both"/>
            <c:errValType val="stdErr"/>
          </c:errBars>
          <c:cat>
            <c:strRef>
              <c:f>[диаграммки.xlsx]Лист1!$H$42,[диаграммки.xlsx]Лист1!$H$44,[диаграммки.xlsx]Лист1!$H$45,[диаграммки.xlsx]Лист1!$H$46,[диаграммки.xlsx]Лист1!$H$52,[диаграммки.xlsx]Лист1!$H$53,[диаграммки.xlsx]Лист1!$H$54,[диаграммки.xlsx]Лист1!$H$57,[диаграммки.xlsx]Лист1!$H$58</c:f>
              <c:strCache>
                <c:ptCount val="9"/>
                <c:pt idx="0">
                  <c:v>Туберкулёз </c:v>
                </c:pt>
                <c:pt idx="1">
                  <c:v>Пневмонии</c:v>
                </c:pt>
                <c:pt idx="2">
                  <c:v>ПЦП</c:v>
                </c:pt>
                <c:pt idx="3">
                  <c:v>Вирусные энцефалиты</c:v>
                </c:pt>
                <c:pt idx="4">
                  <c:v>Криптококкоз</c:v>
                </c:pt>
                <c:pt idx="5">
                  <c:v>Токсоплазмоз </c:v>
                </c:pt>
                <c:pt idx="6">
                  <c:v>Лимфомы</c:v>
                </c:pt>
                <c:pt idx="7">
                  <c:v>ЦМВИ</c:v>
                </c:pt>
                <c:pt idx="8">
                  <c:v>Другое</c:v>
                </c:pt>
              </c:strCache>
            </c:strRef>
          </c:cat>
          <c:val>
            <c:numRef>
              <c:f>[диаграммки.xlsx]Лист1!$K$42,[диаграммки.xlsx]Лист1!$K$44,[диаграммки.xlsx]Лист1!$K$45,[диаграммки.xlsx]Лист1!$K$46,[диаграммки.xlsx]Лист1!$K$52,[диаграммки.xlsx]Лист1!$K$53,[диаграммки.xlsx]Лист1!$K$54,[диаграммки.xlsx]Лист1!$K$57,[диаграммки.xlsx]Лист1!$K$58</c:f>
              <c:numCache>
                <c:formatCode>0%</c:formatCode>
                <c:ptCount val="9"/>
                <c:pt idx="0" formatCode="0.00%">
                  <c:v>0.26400000000000001</c:v>
                </c:pt>
                <c:pt idx="1">
                  <c:v>8.0000000000000043E-2</c:v>
                </c:pt>
                <c:pt idx="2" formatCode="0.00%">
                  <c:v>9.4000000000000028E-2</c:v>
                </c:pt>
                <c:pt idx="3">
                  <c:v>0.11</c:v>
                </c:pt>
                <c:pt idx="4">
                  <c:v>0.05</c:v>
                </c:pt>
                <c:pt idx="5">
                  <c:v>0.05</c:v>
                </c:pt>
                <c:pt idx="6" formatCode="0.00%">
                  <c:v>7.6999999999999999E-2</c:v>
                </c:pt>
                <c:pt idx="7" formatCode="0.00%">
                  <c:v>1.2E-2</c:v>
                </c:pt>
                <c:pt idx="8" formatCode="0.00%">
                  <c:v>0.26400000000000001</c:v>
                </c:pt>
              </c:numCache>
            </c:numRef>
          </c:val>
        </c:ser>
        <c:gapWidth val="75"/>
        <c:overlap val="100"/>
        <c:axId val="131609344"/>
        <c:axId val="131610880"/>
      </c:barChart>
      <c:catAx>
        <c:axId val="131609344"/>
        <c:scaling>
          <c:orientation val="minMax"/>
        </c:scaling>
        <c:axPos val="b"/>
        <c:majorTickMark val="none"/>
        <c:tickLblPos val="nextTo"/>
        <c:crossAx val="131610880"/>
        <c:crosses val="autoZero"/>
        <c:auto val="1"/>
        <c:lblAlgn val="ctr"/>
        <c:lblOffset val="100"/>
      </c:catAx>
      <c:valAx>
        <c:axId val="131610880"/>
        <c:scaling>
          <c:orientation val="minMax"/>
        </c:scaling>
        <c:delete val="1"/>
        <c:axPos val="l"/>
        <c:numFmt formatCode="0.00%" sourceLinked="1"/>
        <c:majorTickMark val="none"/>
        <c:tickLblPos val="nextTo"/>
        <c:crossAx val="1316093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Лист1!$H$47</c:f>
              <c:strCache>
                <c:ptCount val="1"/>
                <c:pt idx="0">
                  <c:v>ВИЧ-энцефалит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Лист1!$I$41:$K$41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Лист1!$I$47:$K$47</c:f>
              <c:numCache>
                <c:formatCode>0.00%</c:formatCode>
                <c:ptCount val="3"/>
                <c:pt idx="0">
                  <c:v>0.22700000000000001</c:v>
                </c:pt>
                <c:pt idx="1">
                  <c:v>3.3000000000000002E-2</c:v>
                </c:pt>
                <c:pt idx="2">
                  <c:v>1.2999999999999998E-2</c:v>
                </c:pt>
              </c:numCache>
            </c:numRef>
          </c:val>
        </c:ser>
        <c:ser>
          <c:idx val="1"/>
          <c:order val="1"/>
          <c:tx>
            <c:strRef>
              <c:f>Лист1!$H$48</c:f>
              <c:strCache>
                <c:ptCount val="1"/>
                <c:pt idx="0">
                  <c:v>неустановленной этиологии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Лист1!$I$41:$K$41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Лист1!$I$48:$K$48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4.7000000000000014E-2</c:v>
                </c:pt>
              </c:numCache>
            </c:numRef>
          </c:val>
        </c:ser>
        <c:ser>
          <c:idx val="2"/>
          <c:order val="2"/>
          <c:tx>
            <c:strRef>
              <c:f>Лист1!$H$50</c:f>
              <c:strCache>
                <c:ptCount val="1"/>
                <c:pt idx="0">
                  <c:v>ПМЛ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Лист1!$I$41:$K$41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Лист1!$I$50:$K$50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Лист1!$H$51</c:f>
              <c:strCache>
                <c:ptCount val="1"/>
                <c:pt idx="0">
                  <c:v>вызванные вирусами  из семейства герпес-вирусов</c:v>
                </c:pt>
              </c:strCache>
            </c:strRef>
          </c:tx>
          <c:dLbls>
            <c:showVal val="1"/>
          </c:dLbls>
          <c:errBars>
            <c:errBarType val="both"/>
            <c:errValType val="stdErr"/>
          </c:errBars>
          <c:cat>
            <c:strRef>
              <c:f>Лист1!$I$41:$K$41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Лист1!$I$51:$K$51</c:f>
              <c:numCache>
                <c:formatCode>0.00%</c:formatCode>
                <c:ptCount val="3"/>
                <c:pt idx="0">
                  <c:v>4.5000000000000012E-2</c:v>
                </c:pt>
                <c:pt idx="1">
                  <c:v>1.6000000000000021E-2</c:v>
                </c:pt>
                <c:pt idx="2" formatCode="0%">
                  <c:v>1.0000000000000005E-2</c:v>
                </c:pt>
              </c:numCache>
            </c:numRef>
          </c:val>
        </c:ser>
        <c:dLbls>
          <c:showVal val="1"/>
        </c:dLbls>
        <c:overlap val="-25"/>
        <c:axId val="131648512"/>
        <c:axId val="131683072"/>
      </c:barChart>
      <c:catAx>
        <c:axId val="131648512"/>
        <c:scaling>
          <c:orientation val="minMax"/>
        </c:scaling>
        <c:axPos val="b"/>
        <c:majorTickMark val="none"/>
        <c:tickLblPos val="nextTo"/>
        <c:crossAx val="131683072"/>
        <c:crosses val="autoZero"/>
        <c:auto val="1"/>
        <c:lblAlgn val="ctr"/>
        <c:lblOffset val="100"/>
      </c:catAx>
      <c:valAx>
        <c:axId val="131683072"/>
        <c:scaling>
          <c:orientation val="minMax"/>
        </c:scaling>
        <c:delete val="1"/>
        <c:axPos val="l"/>
        <c:numFmt formatCode="0.00%" sourceLinked="1"/>
        <c:majorTickMark val="none"/>
        <c:tickLblPos val="nextTo"/>
        <c:crossAx val="1316485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Лист1!$F$69</c:f>
              <c:strCache>
                <c:ptCount val="1"/>
                <c:pt idx="0">
                  <c:v>Туберкулёз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Лист1!$G$69:$I$69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1.6000000000000021E-2</c:v>
                </c:pt>
                <c:pt idx="2">
                  <c:v>4.2000000000000023E-2</c:v>
                </c:pt>
              </c:numCache>
            </c:numRef>
          </c:val>
        </c:ser>
        <c:ser>
          <c:idx val="1"/>
          <c:order val="1"/>
          <c:tx>
            <c:strRef>
              <c:f>Лист1!$F$70</c:f>
              <c:strCache>
                <c:ptCount val="1"/>
                <c:pt idx="0">
                  <c:v>Пневмонии 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Лист1!$G$70:$I$70</c:f>
              <c:numCache>
                <c:formatCode>0.00%</c:formatCode>
                <c:ptCount val="3"/>
                <c:pt idx="0">
                  <c:v>0.54500000000000004</c:v>
                </c:pt>
                <c:pt idx="1">
                  <c:v>0.21300000000000024</c:v>
                </c:pt>
                <c:pt idx="2">
                  <c:v>0.33400000000000146</c:v>
                </c:pt>
              </c:numCache>
            </c:numRef>
          </c:val>
        </c:ser>
        <c:ser>
          <c:idx val="2"/>
          <c:order val="2"/>
          <c:tx>
            <c:strRef>
              <c:f>Лист1!$F$71</c:f>
              <c:strCache>
                <c:ptCount val="1"/>
                <c:pt idx="0">
                  <c:v>Вирусные энцефалиты 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Лист1!$G$71:$I$71</c:f>
              <c:numCache>
                <c:formatCode>0.00%</c:formatCode>
                <c:ptCount val="3"/>
                <c:pt idx="0">
                  <c:v>0.36300000000000032</c:v>
                </c:pt>
                <c:pt idx="1">
                  <c:v>3.3000000000000002E-2</c:v>
                </c:pt>
                <c:pt idx="2">
                  <c:v>3.500000000000001E-2</c:v>
                </c:pt>
              </c:numCache>
            </c:numRef>
          </c:val>
        </c:ser>
        <c:ser>
          <c:idx val="3"/>
          <c:order val="3"/>
          <c:tx>
            <c:strRef>
              <c:f>Лист1!$F$73</c:f>
              <c:strCache>
                <c:ptCount val="1"/>
                <c:pt idx="0">
                  <c:v>ВИЧ-ассоциированные заболевания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Лист1!$G$73:$I$73</c:f>
              <c:numCache>
                <c:formatCode>0.00%</c:formatCode>
                <c:ptCount val="3"/>
                <c:pt idx="0">
                  <c:v>0.31800000000000123</c:v>
                </c:pt>
                <c:pt idx="1">
                  <c:v>4.9000000000000113E-2</c:v>
                </c:pt>
                <c:pt idx="2" formatCode="0%">
                  <c:v>7.0000000000000021E-2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Лист1!$F$74</c:f>
              <c:strCache>
                <c:ptCount val="1"/>
                <c:pt idx="0">
                  <c:v>ВИЧ-обусловленные заболевания/состояния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Лист1!$G$74:$I$74</c:f>
              <c:numCache>
                <c:formatCode>0.00%</c:formatCode>
                <c:ptCount val="3"/>
                <c:pt idx="0">
                  <c:v>9.1000000000000025E-2</c:v>
                </c:pt>
                <c:pt idx="1">
                  <c:v>6.5000000000000002E-2</c:v>
                </c:pt>
                <c:pt idx="2">
                  <c:v>0.15700000000000044</c:v>
                </c:pt>
              </c:numCache>
            </c:numRef>
          </c:val>
        </c:ser>
        <c:ser>
          <c:idx val="5"/>
          <c:order val="5"/>
          <c:tx>
            <c:strRef>
              <c:f>Лист1!$F$75</c:f>
              <c:strCache>
                <c:ptCount val="1"/>
                <c:pt idx="0">
                  <c:v>не связанные с ВИЧ-инфекцией</c:v>
                </c:pt>
              </c:strCache>
            </c:strRef>
          </c:tx>
          <c:cat>
            <c:strRef>
              <c:f>Лист1!$G$68:$I$68</c:f>
              <c:strCache>
                <c:ptCount val="3"/>
                <c:pt idx="0">
                  <c:v>1996+1997</c:v>
                </c:pt>
                <c:pt idx="1">
                  <c:v>2006</c:v>
                </c:pt>
                <c:pt idx="2">
                  <c:v>2016</c:v>
                </c:pt>
              </c:strCache>
            </c:strRef>
          </c:cat>
          <c:val>
            <c:numRef>
              <c:f>Лист1!$G$75:$I$75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9.8000000000000226E-2</c:v>
                </c:pt>
                <c:pt idx="2">
                  <c:v>0.10199999999999998</c:v>
                </c:pt>
              </c:numCache>
            </c:numRef>
          </c:val>
        </c:ser>
        <c:gapWidth val="55"/>
        <c:overlap val="100"/>
        <c:axId val="131731456"/>
        <c:axId val="131732992"/>
      </c:barChart>
      <c:catAx>
        <c:axId val="131731456"/>
        <c:scaling>
          <c:orientation val="minMax"/>
        </c:scaling>
        <c:axPos val="b"/>
        <c:majorTickMark val="none"/>
        <c:tickLblPos val="nextTo"/>
        <c:crossAx val="131732992"/>
        <c:crosses val="autoZero"/>
        <c:auto val="1"/>
        <c:lblAlgn val="ctr"/>
        <c:lblOffset val="100"/>
      </c:catAx>
      <c:valAx>
        <c:axId val="131732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73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0.26671</cdr:x>
      <cdr:y>0.07778</cdr:y>
    </cdr:from>
    <cdr:to>
      <cdr:x>0.36652</cdr:x>
      <cdr:y>0.15126</cdr:y>
    </cdr:to>
    <cdr:sp macro="" textlink="">
      <cdr:nvSpPr>
        <cdr:cNvPr id="2" name="TextBox 1"/>
        <cdr:cNvSpPr txBox="1"/>
      </cdr:nvSpPr>
      <cdr:spPr>
        <a:xfrm xmlns:a="http://schemas.openxmlformats.org/drawingml/2006/main" rot="21401433">
          <a:off x="2194888" y="352034"/>
          <a:ext cx="821396" cy="332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dirty="0"/>
            <a:t>2016</a:t>
          </a:r>
        </a:p>
      </cdr:txBody>
    </cdr:sp>
  </cdr:relSizeAnchor>
  <cdr:relSizeAnchor xmlns:cdr="http://schemas.openxmlformats.org/drawingml/2006/chartDrawing">
    <cdr:from>
      <cdr:x>0.27892</cdr:x>
      <cdr:y>0.14688</cdr:y>
    </cdr:from>
    <cdr:to>
      <cdr:x>0.34462</cdr:x>
      <cdr:y>0.22213</cdr:y>
    </cdr:to>
    <cdr:sp macro="" textlink="">
      <cdr:nvSpPr>
        <cdr:cNvPr id="3" name="TextBox 2"/>
        <cdr:cNvSpPr txBox="1"/>
      </cdr:nvSpPr>
      <cdr:spPr>
        <a:xfrm xmlns:a="http://schemas.openxmlformats.org/drawingml/2006/main" rot="21221013">
          <a:off x="1606603" y="465318"/>
          <a:ext cx="378437" cy="2383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dirty="0"/>
            <a:t>2006</a:t>
          </a:r>
        </a:p>
      </cdr:txBody>
    </cdr:sp>
  </cdr:relSizeAnchor>
  <cdr:relSizeAnchor xmlns:cdr="http://schemas.openxmlformats.org/drawingml/2006/chartDrawing">
    <cdr:from>
      <cdr:x>0.22562</cdr:x>
      <cdr:y>0.22969</cdr:y>
    </cdr:from>
    <cdr:to>
      <cdr:x>0.32959</cdr:x>
      <cdr:y>0.30077</cdr:y>
    </cdr:to>
    <cdr:sp macro="" textlink="">
      <cdr:nvSpPr>
        <cdr:cNvPr id="4" name="TextBox 3"/>
        <cdr:cNvSpPr txBox="1"/>
      </cdr:nvSpPr>
      <cdr:spPr>
        <a:xfrm xmlns:a="http://schemas.openxmlformats.org/drawingml/2006/main" rot="21215887">
          <a:off x="1299611" y="727676"/>
          <a:ext cx="598876" cy="2251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dirty="0"/>
            <a:t>1996+1997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18CA-5C39-4B05-AB53-996B872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13176</TotalTime>
  <Pages>73</Pages>
  <Words>14481</Words>
  <Characters>82545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2018-05-20T18:21:00Z</cp:lastPrinted>
  <dcterms:created xsi:type="dcterms:W3CDTF">2018-04-17T16:21:00Z</dcterms:created>
  <dcterms:modified xsi:type="dcterms:W3CDTF">2018-05-20T18:22:00Z</dcterms:modified>
</cp:coreProperties>
</file>