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E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9763D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F9763D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М</w:t>
      </w:r>
      <w:r w:rsidR="00217A45">
        <w:rPr>
          <w:rFonts w:ascii="Times New Roman" w:hAnsi="Times New Roman" w:cs="Times New Roman"/>
          <w:b/>
          <w:sz w:val="28"/>
          <w:szCs w:val="28"/>
        </w:rPr>
        <w:t xml:space="preserve">агистра </w:t>
      </w:r>
      <w:r w:rsidRPr="00F9763D">
        <w:rPr>
          <w:rFonts w:ascii="Times New Roman" w:hAnsi="Times New Roman" w:cs="Times New Roman"/>
          <w:b/>
          <w:sz w:val="28"/>
          <w:szCs w:val="28"/>
        </w:rPr>
        <w:t xml:space="preserve">2 курса </w:t>
      </w:r>
      <w:proofErr w:type="spellStart"/>
      <w:r w:rsidRPr="00F9763D">
        <w:rPr>
          <w:rFonts w:ascii="Times New Roman" w:hAnsi="Times New Roman" w:cs="Times New Roman"/>
          <w:b/>
          <w:sz w:val="28"/>
          <w:szCs w:val="28"/>
        </w:rPr>
        <w:t>Ф.С.Погорелова</w:t>
      </w:r>
      <w:proofErr w:type="spellEnd"/>
    </w:p>
    <w:p w:rsid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 xml:space="preserve">«Фискальные и </w:t>
      </w:r>
      <w:proofErr w:type="spellStart"/>
      <w:r w:rsidRPr="00F9763D">
        <w:rPr>
          <w:rFonts w:ascii="Times New Roman" w:hAnsi="Times New Roman" w:cs="Times New Roman"/>
          <w:b/>
          <w:sz w:val="28"/>
          <w:szCs w:val="28"/>
        </w:rPr>
        <w:t>парафискальные</w:t>
      </w:r>
      <w:proofErr w:type="spellEnd"/>
      <w:r w:rsidRPr="00F9763D">
        <w:rPr>
          <w:rFonts w:ascii="Times New Roman" w:hAnsi="Times New Roman" w:cs="Times New Roman"/>
          <w:b/>
          <w:sz w:val="28"/>
          <w:szCs w:val="28"/>
        </w:rPr>
        <w:t xml:space="preserve"> сборы»</w:t>
      </w:r>
    </w:p>
    <w:p w:rsid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3D" w:rsidRDefault="00F9763D" w:rsidP="00F9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 выполнена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Ф.С.Погореловым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тему, не утрачивающей своей актуальности уже более двух десятков лет.  На протяжении всего времени происходят действия по формированию сбалансированной ситуации в определении объема обязательных платежей в бюджеты и  выработке структуры таких платежей. 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Ф.С.Погорелова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исследуется вопрос о месте и допустимой доле неналоговых платежей в общем объеме обязательных публичных платежей,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обременяют хозяйствующих субъектов и вызывают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ответные действия, направленные на изменения действующего законодательства.  Проблема отсутствия достаточной определенности в перечне и объеме таких платежей признается на всех уровнях власти, однако не находит своего положительного разрешения.</w:t>
      </w:r>
    </w:p>
    <w:p w:rsidR="00F9763D" w:rsidRDefault="00F9763D" w:rsidP="00F9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Погорелый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обстоятельно и тщательно исследует всю совокупность публичных платежей неналогового характера, различая среди них фискальные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нефискальные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сборы.  Отдельно рассматривается вопрос о соотношении налоговых и неналоговых сборов</w:t>
      </w:r>
      <w:r w:rsidR="00217A45">
        <w:rPr>
          <w:rFonts w:ascii="Times New Roman" w:hAnsi="Times New Roman" w:cs="Times New Roman"/>
          <w:sz w:val="28"/>
          <w:szCs w:val="28"/>
        </w:rPr>
        <w:t>, с отражением особенностей торгового сбора</w:t>
      </w:r>
      <w:r>
        <w:rPr>
          <w:rFonts w:ascii="Times New Roman" w:hAnsi="Times New Roman" w:cs="Times New Roman"/>
          <w:sz w:val="28"/>
          <w:szCs w:val="28"/>
        </w:rPr>
        <w:t xml:space="preserve">. С опорой на немногочисленные научные работы магистр создает систему признаков, позволяющую увидеть различия в правовой природе обязательных платежей. </w:t>
      </w:r>
      <w:r w:rsidR="00217A45">
        <w:rPr>
          <w:rFonts w:ascii="Times New Roman" w:hAnsi="Times New Roman" w:cs="Times New Roman"/>
          <w:sz w:val="28"/>
          <w:szCs w:val="28"/>
        </w:rPr>
        <w:t xml:space="preserve">В работе должным образом использованы правовые позиции Конституционного Суда РФ.  </w:t>
      </w:r>
    </w:p>
    <w:p w:rsidR="00217A45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Заслугой автора является также и внимательное изучение относительно  нового платежа за пользованием автодорог (система «Платон»), выделение тех признаков, которые отличают данный сбор от иных, уже известных правовой системе РФ.</w:t>
      </w:r>
    </w:p>
    <w:p w:rsidR="00217A45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Достоинством работы является также попытка проанализировать бюджетную составляющую, в том числе вопрос правового статуса оператора таких платежей.</w:t>
      </w:r>
    </w:p>
    <w:p w:rsidR="00217A45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парафискалитетов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крайне редко звучит в научной литературе, поэтому следует поддержать автора в его критическом анализе правового регулирования публичных платежей.</w:t>
      </w:r>
    </w:p>
    <w:p w:rsidR="00217A45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работа не свободна от недостатков, в том числе стилистического  характера, а также неполного использования имеющихся доктринальных подходов 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Д.В.Винницкого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17A45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A45" w:rsidRPr="00F9763D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Н.А.Шевелева</w:t>
      </w:r>
      <w:proofErr w:type="spellEnd"/>
    </w:p>
    <w:sectPr w:rsidR="00217A45" w:rsidRPr="00F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4"/>
    <w:rsid w:val="00036C24"/>
    <w:rsid w:val="00100F8E"/>
    <w:rsid w:val="00217A45"/>
    <w:rsid w:val="0047533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Наталья Александровна</dc:creator>
  <cp:lastModifiedBy>Шевелева Наталья Александровна</cp:lastModifiedBy>
  <cp:revision>2</cp:revision>
  <dcterms:created xsi:type="dcterms:W3CDTF">2018-05-24T14:24:00Z</dcterms:created>
  <dcterms:modified xsi:type="dcterms:W3CDTF">2018-05-24T14:24:00Z</dcterms:modified>
</cp:coreProperties>
</file>