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4E2725" w14:textId="77777777" w:rsidR="00F9205A" w:rsidRPr="00F9205A" w:rsidRDefault="00F9205A" w:rsidP="004D2A3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0"/>
        <w:contextualSpacing w:val="0"/>
        <w:jc w:val="center"/>
        <w:rPr>
          <w:rFonts w:ascii="TimesNewRomanPSMT" w:eastAsia="SimSun" w:hAnsi="TimesNewRomanPSMT" w:cs="TimesNewRomanPSMT"/>
          <w:color w:val="000000"/>
          <w:kern w:val="2"/>
          <w:sz w:val="28"/>
          <w:szCs w:val="28"/>
          <w:lang w:eastAsia="zh-CN"/>
        </w:rPr>
      </w:pPr>
      <w:r w:rsidRPr="00F9205A">
        <w:rPr>
          <w:rFonts w:ascii="TimesNewRomanPSMT" w:eastAsia="SimSun" w:hAnsi="TimesNewRomanPSMT" w:cs="TimesNewRomanPSMT"/>
          <w:color w:val="000000"/>
          <w:kern w:val="2"/>
          <w:sz w:val="28"/>
          <w:szCs w:val="28"/>
          <w:lang w:eastAsia="zh-CN"/>
        </w:rPr>
        <w:t>St. Petersburg University</w:t>
      </w:r>
    </w:p>
    <w:p w14:paraId="094078E8" w14:textId="77777777" w:rsidR="00F9205A" w:rsidRPr="00F9205A" w:rsidRDefault="00F9205A" w:rsidP="004D2A3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0"/>
        <w:contextualSpacing w:val="0"/>
        <w:jc w:val="center"/>
        <w:rPr>
          <w:rFonts w:ascii="TimesNewRomanPSMT" w:eastAsia="SimSun" w:hAnsi="TimesNewRomanPSMT" w:cs="TimesNewRomanPSMT"/>
          <w:color w:val="000000"/>
          <w:kern w:val="2"/>
          <w:sz w:val="28"/>
          <w:szCs w:val="28"/>
          <w:lang w:eastAsia="zh-CN"/>
        </w:rPr>
      </w:pPr>
      <w:r w:rsidRPr="00F9205A">
        <w:rPr>
          <w:rFonts w:ascii="TimesNewRomanPSMT" w:eastAsia="SimSun" w:hAnsi="TimesNewRomanPSMT" w:cs="TimesNewRomanPSMT"/>
          <w:color w:val="000000"/>
          <w:kern w:val="2"/>
          <w:sz w:val="28"/>
          <w:szCs w:val="28"/>
          <w:lang w:eastAsia="zh-CN"/>
        </w:rPr>
        <w:t>Graduate School of Management</w:t>
      </w:r>
    </w:p>
    <w:p w14:paraId="096B142E" w14:textId="77777777" w:rsidR="00F9205A" w:rsidRPr="00F9205A" w:rsidRDefault="00F9205A" w:rsidP="004D2A3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0"/>
        <w:contextualSpacing w:val="0"/>
        <w:jc w:val="center"/>
        <w:rPr>
          <w:rFonts w:ascii="TimesNewRomanPSMT" w:eastAsia="SimSun" w:hAnsi="TimesNewRomanPSMT" w:cs="TimesNewRomanPSMT"/>
          <w:color w:val="000000"/>
          <w:kern w:val="2"/>
          <w:sz w:val="28"/>
          <w:szCs w:val="28"/>
          <w:lang w:eastAsia="zh-CN"/>
        </w:rPr>
      </w:pPr>
    </w:p>
    <w:p w14:paraId="34E5E8CE" w14:textId="77777777" w:rsidR="00FF4058" w:rsidRDefault="00FF4058" w:rsidP="004D2A3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0"/>
        <w:contextualSpacing w:val="0"/>
        <w:jc w:val="center"/>
        <w:rPr>
          <w:rFonts w:ascii="TimesNewRomanPSMT" w:eastAsia="SimSun" w:hAnsi="TimesNewRomanPSMT" w:cs="TimesNewRomanPSMT"/>
          <w:color w:val="000000"/>
          <w:kern w:val="2"/>
          <w:sz w:val="28"/>
          <w:szCs w:val="28"/>
          <w:lang w:eastAsia="zh-CN"/>
        </w:rPr>
      </w:pPr>
    </w:p>
    <w:p w14:paraId="6BF1EF84" w14:textId="49D614B9" w:rsidR="00F9205A" w:rsidRPr="00F9205A" w:rsidRDefault="00F9205A" w:rsidP="004D2A3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0"/>
        <w:contextualSpacing w:val="0"/>
        <w:jc w:val="center"/>
        <w:rPr>
          <w:rFonts w:ascii="TimesNewRomanPSMT" w:eastAsia="SimSun" w:hAnsi="TimesNewRomanPSMT" w:cs="TimesNewRomanPSMT"/>
          <w:color w:val="000000"/>
          <w:kern w:val="2"/>
          <w:sz w:val="28"/>
          <w:szCs w:val="28"/>
          <w:lang w:eastAsia="zh-CN"/>
        </w:rPr>
      </w:pPr>
      <w:r w:rsidRPr="00F9205A">
        <w:rPr>
          <w:rFonts w:ascii="TimesNewRomanPSMT" w:eastAsia="SimSun" w:hAnsi="TimesNewRomanPSMT" w:cs="TimesNewRomanPSMT"/>
          <w:color w:val="000000"/>
          <w:kern w:val="2"/>
          <w:sz w:val="28"/>
          <w:szCs w:val="28"/>
          <w:lang w:eastAsia="zh-CN"/>
        </w:rPr>
        <w:t xml:space="preserve">Master in </w:t>
      </w:r>
      <w:r w:rsidR="00291F4B">
        <w:rPr>
          <w:rFonts w:ascii="TimesNewRomanPSMT" w:eastAsia="SimSun" w:hAnsi="TimesNewRomanPSMT" w:cs="TimesNewRomanPSMT"/>
          <w:color w:val="000000"/>
          <w:kern w:val="2"/>
          <w:sz w:val="28"/>
          <w:szCs w:val="28"/>
          <w:lang w:eastAsia="zh-CN"/>
        </w:rPr>
        <w:t>Corporate Finance</w:t>
      </w:r>
    </w:p>
    <w:p w14:paraId="3B7E8DBE" w14:textId="77777777" w:rsidR="00F9205A" w:rsidRPr="00F9205A" w:rsidRDefault="00F9205A" w:rsidP="004D2A3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0"/>
        <w:contextualSpacing w:val="0"/>
        <w:rPr>
          <w:rFonts w:ascii="TimesNewRomanPSMT" w:eastAsia="SimSun" w:hAnsi="TimesNewRomanPSMT" w:cs="TimesNewRomanPSMT"/>
          <w:color w:val="000000"/>
          <w:kern w:val="2"/>
          <w:sz w:val="23"/>
          <w:szCs w:val="23"/>
          <w:lang w:eastAsia="zh-CN"/>
        </w:rPr>
      </w:pPr>
    </w:p>
    <w:p w14:paraId="0110965B" w14:textId="77777777" w:rsidR="00F9205A" w:rsidRPr="00F9205A" w:rsidRDefault="00F9205A" w:rsidP="004D2A3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0"/>
        <w:contextualSpacing w:val="0"/>
        <w:rPr>
          <w:rFonts w:ascii="TimesNewRomanPSMT" w:eastAsia="SimSun" w:hAnsi="TimesNewRomanPSMT" w:cs="TimesNewRomanPSMT"/>
          <w:color w:val="000000"/>
          <w:kern w:val="2"/>
          <w:sz w:val="23"/>
          <w:szCs w:val="23"/>
          <w:lang w:eastAsia="zh-CN"/>
        </w:rPr>
      </w:pPr>
    </w:p>
    <w:p w14:paraId="0FDBC564" w14:textId="1EFFEE83" w:rsidR="00291F4B" w:rsidRDefault="00291F4B" w:rsidP="004D2A3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0"/>
        <w:contextualSpacing w:val="0"/>
        <w:jc w:val="center"/>
        <w:rPr>
          <w:rFonts w:ascii="TimesNewRomanPSMT" w:eastAsia="SimSun" w:hAnsi="TimesNewRomanPSMT" w:cs="TimesNewRomanPSMT"/>
          <w:color w:val="000000"/>
          <w:kern w:val="2"/>
          <w:sz w:val="40"/>
          <w:szCs w:val="40"/>
          <w:lang w:eastAsia="zh-CN"/>
        </w:rPr>
      </w:pPr>
    </w:p>
    <w:p w14:paraId="5B6DD27B" w14:textId="4485054A" w:rsidR="00291F4B" w:rsidRDefault="00291F4B" w:rsidP="004D2A3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0"/>
        <w:contextualSpacing w:val="0"/>
        <w:jc w:val="center"/>
        <w:rPr>
          <w:rFonts w:ascii="TimesNewRomanPSMT" w:eastAsia="SimSun" w:hAnsi="TimesNewRomanPSMT" w:cs="TimesNewRomanPSMT"/>
          <w:color w:val="000000"/>
          <w:kern w:val="2"/>
          <w:sz w:val="40"/>
          <w:szCs w:val="40"/>
          <w:lang w:eastAsia="zh-CN"/>
        </w:rPr>
      </w:pPr>
    </w:p>
    <w:p w14:paraId="3E28D0EF" w14:textId="4A5E7C7A" w:rsidR="00291F4B" w:rsidRDefault="00291F4B" w:rsidP="004D2A3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0"/>
        <w:contextualSpacing w:val="0"/>
        <w:jc w:val="center"/>
        <w:rPr>
          <w:rFonts w:ascii="TimesNewRomanPSMT" w:eastAsia="SimSun" w:hAnsi="TimesNewRomanPSMT" w:cs="TimesNewRomanPSMT"/>
          <w:color w:val="000000"/>
          <w:kern w:val="2"/>
          <w:sz w:val="40"/>
          <w:szCs w:val="40"/>
          <w:lang w:eastAsia="zh-CN"/>
        </w:rPr>
      </w:pPr>
    </w:p>
    <w:p w14:paraId="5C796F16" w14:textId="77777777" w:rsidR="00F9205A" w:rsidRPr="00F9205A" w:rsidRDefault="00F9205A" w:rsidP="004D2A3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0"/>
        <w:contextualSpacing w:val="0"/>
        <w:rPr>
          <w:rFonts w:ascii="TimesNewRomanPSMT" w:eastAsia="SimSun" w:hAnsi="TimesNewRomanPSMT" w:cs="TimesNewRomanPSMT"/>
          <w:color w:val="000000"/>
          <w:kern w:val="2"/>
          <w:sz w:val="40"/>
          <w:szCs w:val="40"/>
          <w:lang w:eastAsia="zh-CN"/>
        </w:rPr>
      </w:pPr>
    </w:p>
    <w:p w14:paraId="0A28708F" w14:textId="6F074094" w:rsidR="00F9205A" w:rsidRDefault="00291F4B" w:rsidP="004D2A3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0"/>
        <w:contextualSpacing w:val="0"/>
        <w:jc w:val="center"/>
        <w:rPr>
          <w:rFonts w:ascii="TimesNewRomanPSMT" w:eastAsia="SimSun" w:hAnsi="TimesNewRomanPSMT" w:cs="TimesNewRomanPSMT"/>
          <w:color w:val="000000"/>
          <w:kern w:val="2"/>
          <w:sz w:val="23"/>
          <w:szCs w:val="23"/>
          <w:lang w:eastAsia="zh-CN"/>
        </w:rPr>
      </w:pPr>
      <w:r w:rsidRPr="00291F4B">
        <w:rPr>
          <w:rFonts w:ascii="TimesNewRomanPSMT" w:eastAsia="SimSun" w:hAnsi="TimesNewRomanPSMT" w:cs="TimesNewRomanPSMT"/>
          <w:color w:val="000000"/>
          <w:kern w:val="2"/>
          <w:sz w:val="40"/>
          <w:szCs w:val="40"/>
          <w:lang w:eastAsia="zh-CN"/>
        </w:rPr>
        <w:t>Influence of Working Capital Structure on Company Performance in Mergers and Acquisitions</w:t>
      </w:r>
    </w:p>
    <w:p w14:paraId="04456D13" w14:textId="4D58EAF5" w:rsidR="00291F4B" w:rsidRDefault="00291F4B" w:rsidP="004D2A3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0"/>
        <w:contextualSpacing w:val="0"/>
        <w:jc w:val="center"/>
        <w:rPr>
          <w:rFonts w:ascii="TimesNewRomanPSMT" w:eastAsia="SimSun" w:hAnsi="TimesNewRomanPSMT" w:cs="TimesNewRomanPSMT"/>
          <w:color w:val="000000"/>
          <w:kern w:val="2"/>
          <w:sz w:val="23"/>
          <w:szCs w:val="23"/>
          <w:lang w:eastAsia="zh-CN"/>
        </w:rPr>
      </w:pPr>
    </w:p>
    <w:p w14:paraId="673A910B" w14:textId="0113EFC6" w:rsidR="00291F4B" w:rsidRDefault="00291F4B" w:rsidP="004D2A3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0"/>
        <w:contextualSpacing w:val="0"/>
        <w:jc w:val="center"/>
        <w:rPr>
          <w:rFonts w:ascii="TimesNewRomanPSMT" w:eastAsia="SimSun" w:hAnsi="TimesNewRomanPSMT" w:cs="TimesNewRomanPSMT"/>
          <w:color w:val="000000"/>
          <w:kern w:val="2"/>
          <w:sz w:val="23"/>
          <w:szCs w:val="23"/>
          <w:lang w:eastAsia="zh-CN"/>
        </w:rPr>
      </w:pPr>
    </w:p>
    <w:p w14:paraId="74E239F8" w14:textId="5CD97814" w:rsidR="00291F4B" w:rsidRDefault="00291F4B" w:rsidP="004D2A3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0"/>
        <w:contextualSpacing w:val="0"/>
        <w:jc w:val="center"/>
        <w:rPr>
          <w:rFonts w:ascii="TimesNewRomanPSMT" w:eastAsia="SimSun" w:hAnsi="TimesNewRomanPSMT" w:cs="TimesNewRomanPSMT"/>
          <w:color w:val="000000"/>
          <w:kern w:val="2"/>
          <w:sz w:val="23"/>
          <w:szCs w:val="23"/>
          <w:lang w:eastAsia="zh-CN"/>
        </w:rPr>
      </w:pPr>
    </w:p>
    <w:p w14:paraId="1DE08EA1" w14:textId="638AD24A" w:rsidR="00291F4B" w:rsidRDefault="00291F4B" w:rsidP="004D2A3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0"/>
        <w:contextualSpacing w:val="0"/>
        <w:jc w:val="center"/>
        <w:rPr>
          <w:rFonts w:ascii="TimesNewRomanPSMT" w:eastAsia="SimSun" w:hAnsi="TimesNewRomanPSMT" w:cs="TimesNewRomanPSMT"/>
          <w:color w:val="000000"/>
          <w:kern w:val="2"/>
          <w:sz w:val="23"/>
          <w:szCs w:val="23"/>
          <w:lang w:eastAsia="zh-CN"/>
        </w:rPr>
      </w:pPr>
    </w:p>
    <w:p w14:paraId="5FB258FE" w14:textId="222D6B67" w:rsidR="00291F4B" w:rsidRDefault="00291F4B" w:rsidP="004D2A3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0"/>
        <w:contextualSpacing w:val="0"/>
        <w:jc w:val="center"/>
        <w:rPr>
          <w:rFonts w:ascii="TimesNewRomanPSMT" w:eastAsia="SimSun" w:hAnsi="TimesNewRomanPSMT" w:cs="TimesNewRomanPSMT"/>
          <w:color w:val="000000"/>
          <w:kern w:val="2"/>
          <w:sz w:val="23"/>
          <w:szCs w:val="23"/>
          <w:lang w:eastAsia="zh-CN"/>
        </w:rPr>
      </w:pPr>
    </w:p>
    <w:p w14:paraId="437E1C45" w14:textId="77777777" w:rsidR="00291F4B" w:rsidRPr="00F9205A" w:rsidRDefault="00291F4B" w:rsidP="004D2A3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0"/>
        <w:contextualSpacing w:val="0"/>
        <w:jc w:val="center"/>
        <w:rPr>
          <w:rFonts w:ascii="TimesNewRomanPSMT" w:eastAsia="SimSun" w:hAnsi="TimesNewRomanPSMT" w:cs="TimesNewRomanPSMT"/>
          <w:color w:val="000000"/>
          <w:kern w:val="2"/>
          <w:sz w:val="23"/>
          <w:szCs w:val="23"/>
          <w:lang w:eastAsia="zh-CN"/>
        </w:rPr>
      </w:pPr>
    </w:p>
    <w:p w14:paraId="4C72E5F4" w14:textId="77777777" w:rsidR="00F9205A" w:rsidRPr="00F9205A" w:rsidRDefault="00F9205A" w:rsidP="004D2A3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0"/>
        <w:contextualSpacing w:val="0"/>
        <w:rPr>
          <w:rFonts w:ascii="TimesNewRomanPSMT" w:eastAsia="SimSun" w:hAnsi="TimesNewRomanPSMT" w:cs="TimesNewRomanPSMT"/>
          <w:color w:val="000000"/>
          <w:kern w:val="2"/>
          <w:sz w:val="23"/>
          <w:szCs w:val="23"/>
          <w:lang w:eastAsia="zh-CN"/>
        </w:rPr>
      </w:pPr>
    </w:p>
    <w:p w14:paraId="6EECB0D5" w14:textId="77777777" w:rsidR="00F9205A" w:rsidRPr="00F9205A" w:rsidRDefault="00F9205A" w:rsidP="00FF405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0"/>
        <w:contextualSpacing w:val="0"/>
        <w:jc w:val="center"/>
        <w:rPr>
          <w:rFonts w:ascii="TimesNewRomanPSMT" w:eastAsia="SimSun" w:hAnsi="TimesNewRomanPSMT" w:cs="TimesNewRomanPSMT"/>
          <w:color w:val="000000"/>
          <w:kern w:val="2"/>
          <w:sz w:val="23"/>
          <w:szCs w:val="23"/>
          <w:lang w:eastAsia="zh-CN"/>
        </w:rPr>
      </w:pPr>
    </w:p>
    <w:p w14:paraId="34CEF6A9" w14:textId="22E58F44" w:rsidR="0098538A" w:rsidRDefault="00F9205A" w:rsidP="0098538A">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5103"/>
        <w:contextualSpacing w:val="0"/>
        <w:jc w:val="center"/>
        <w:rPr>
          <w:rFonts w:ascii="TimesNewRomanPSMT" w:eastAsia="SimSun" w:hAnsi="TimesNewRomanPSMT" w:cs="TimesNewRomanPSMT"/>
          <w:color w:val="000000"/>
          <w:kern w:val="2"/>
          <w:sz w:val="28"/>
          <w:szCs w:val="28"/>
          <w:lang w:eastAsia="zh-CN"/>
        </w:rPr>
      </w:pPr>
      <w:r w:rsidRPr="00F9205A">
        <w:rPr>
          <w:rFonts w:ascii="TimesNewRomanPSMT" w:eastAsia="SimSun" w:hAnsi="TimesNewRomanPSMT" w:cs="TimesNewRomanPSMT"/>
          <w:color w:val="000000"/>
          <w:kern w:val="2"/>
          <w:sz w:val="28"/>
          <w:szCs w:val="28"/>
          <w:lang w:eastAsia="zh-CN"/>
        </w:rPr>
        <w:t>Master’s Thesis by the 2</w:t>
      </w:r>
      <w:r w:rsidRPr="00F9205A">
        <w:rPr>
          <w:rFonts w:ascii="TimesNewRomanPSMT" w:eastAsia="SimSun" w:hAnsi="TimesNewRomanPSMT" w:cs="TimesNewRomanPSMT"/>
          <w:color w:val="000000"/>
          <w:kern w:val="2"/>
          <w:sz w:val="28"/>
          <w:szCs w:val="28"/>
          <w:vertAlign w:val="superscript"/>
          <w:lang w:eastAsia="zh-CN"/>
        </w:rPr>
        <w:t>nd</w:t>
      </w:r>
      <w:r w:rsidRPr="00F9205A">
        <w:rPr>
          <w:rFonts w:ascii="TimesNewRomanPSMT" w:eastAsia="SimSun" w:hAnsi="TimesNewRomanPSMT" w:cs="TimesNewRomanPSMT"/>
          <w:color w:val="000000"/>
          <w:kern w:val="2"/>
          <w:sz w:val="28"/>
          <w:szCs w:val="28"/>
          <w:lang w:eastAsia="zh-CN"/>
        </w:rPr>
        <w:t xml:space="preserve"> year student</w:t>
      </w:r>
    </w:p>
    <w:p w14:paraId="488D525D" w14:textId="7047403E" w:rsidR="00F9205A" w:rsidRPr="00F9205A" w:rsidRDefault="00F9205A" w:rsidP="0098538A">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5387"/>
        <w:contextualSpacing w:val="0"/>
        <w:jc w:val="center"/>
        <w:rPr>
          <w:rFonts w:ascii="TimesNewRomanPSMT" w:eastAsia="SimSun" w:hAnsi="TimesNewRomanPSMT" w:cs="TimesNewRomanPSMT"/>
          <w:color w:val="000000"/>
          <w:kern w:val="2"/>
          <w:sz w:val="28"/>
          <w:szCs w:val="28"/>
          <w:lang w:eastAsia="zh-CN"/>
        </w:rPr>
      </w:pPr>
      <w:r w:rsidRPr="00F9205A">
        <w:rPr>
          <w:rFonts w:ascii="TimesNewRomanPSMT" w:eastAsia="SimSun" w:hAnsi="TimesNewRomanPSMT" w:cs="TimesNewRomanPSMT"/>
          <w:color w:val="000000"/>
          <w:kern w:val="2"/>
          <w:sz w:val="28"/>
          <w:szCs w:val="28"/>
          <w:lang w:eastAsia="zh-CN"/>
        </w:rPr>
        <w:t xml:space="preserve">Concentration — </w:t>
      </w:r>
      <w:r w:rsidR="0098538A">
        <w:rPr>
          <w:rFonts w:ascii="TimesNewRomanPSMT" w:eastAsia="SimSun" w:hAnsi="TimesNewRomanPSMT" w:cs="TimesNewRomanPSMT"/>
          <w:color w:val="000000"/>
          <w:kern w:val="2"/>
          <w:sz w:val="28"/>
          <w:szCs w:val="28"/>
          <w:lang w:eastAsia="zh-CN"/>
        </w:rPr>
        <w:t>Corporate Finance</w:t>
      </w:r>
    </w:p>
    <w:p w14:paraId="709D86A9" w14:textId="2C6A54E4" w:rsidR="00F9205A" w:rsidRPr="00F9205A" w:rsidRDefault="00291F4B" w:rsidP="0098538A">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7371"/>
        <w:contextualSpacing w:val="0"/>
        <w:jc w:val="center"/>
        <w:rPr>
          <w:rFonts w:ascii="TimesNewRomanPSMT" w:eastAsia="SimSun" w:hAnsi="TimesNewRomanPSMT" w:cs="TimesNewRomanPSMT"/>
          <w:color w:val="000000"/>
          <w:kern w:val="2"/>
          <w:sz w:val="28"/>
          <w:szCs w:val="28"/>
          <w:lang w:eastAsia="zh-CN"/>
        </w:rPr>
      </w:pPr>
      <w:r>
        <w:rPr>
          <w:rFonts w:ascii="TimesNewRomanPSMT" w:eastAsia="SimSun" w:hAnsi="TimesNewRomanPSMT" w:cs="TimesNewRomanPSMT"/>
          <w:color w:val="000000"/>
          <w:kern w:val="2"/>
          <w:sz w:val="28"/>
          <w:szCs w:val="28"/>
          <w:lang w:eastAsia="zh-CN"/>
        </w:rPr>
        <w:t xml:space="preserve">Maksim </w:t>
      </w:r>
      <w:proofErr w:type="spellStart"/>
      <w:r>
        <w:rPr>
          <w:rFonts w:ascii="TimesNewRomanPSMT" w:eastAsia="SimSun" w:hAnsi="TimesNewRomanPSMT" w:cs="TimesNewRomanPSMT"/>
          <w:color w:val="000000"/>
          <w:kern w:val="2"/>
          <w:sz w:val="28"/>
          <w:szCs w:val="28"/>
          <w:lang w:eastAsia="zh-CN"/>
        </w:rPr>
        <w:t>Svidritskii</w:t>
      </w:r>
      <w:proofErr w:type="spellEnd"/>
    </w:p>
    <w:p w14:paraId="6643E92B" w14:textId="4320B4C3" w:rsidR="00F9205A" w:rsidRDefault="00F9205A" w:rsidP="004D2A3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4500"/>
        <w:contextualSpacing w:val="0"/>
        <w:rPr>
          <w:rFonts w:ascii="TimesNewRomanPSMT" w:eastAsia="SimSun" w:hAnsi="TimesNewRomanPSMT" w:cs="TimesNewRomanPSMT"/>
          <w:color w:val="000000"/>
          <w:kern w:val="2"/>
          <w:sz w:val="28"/>
          <w:szCs w:val="28"/>
          <w:lang w:eastAsia="zh-CN"/>
        </w:rPr>
      </w:pPr>
    </w:p>
    <w:p w14:paraId="58C36811" w14:textId="6BC9532B" w:rsidR="00291F4B" w:rsidRDefault="00291F4B" w:rsidP="004D2A3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4500"/>
        <w:contextualSpacing w:val="0"/>
        <w:rPr>
          <w:rFonts w:ascii="TimesNewRomanPSMT" w:eastAsia="SimSun" w:hAnsi="TimesNewRomanPSMT" w:cs="TimesNewRomanPSMT"/>
          <w:color w:val="000000"/>
          <w:kern w:val="2"/>
          <w:sz w:val="28"/>
          <w:szCs w:val="28"/>
          <w:lang w:eastAsia="zh-CN"/>
        </w:rPr>
      </w:pPr>
    </w:p>
    <w:p w14:paraId="25888A5D" w14:textId="52E850BD" w:rsidR="00291F4B" w:rsidRDefault="00291F4B" w:rsidP="004D2A3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4500"/>
        <w:contextualSpacing w:val="0"/>
        <w:rPr>
          <w:rFonts w:ascii="TimesNewRomanPSMT" w:eastAsia="SimSun" w:hAnsi="TimesNewRomanPSMT" w:cs="TimesNewRomanPSMT"/>
          <w:color w:val="000000"/>
          <w:kern w:val="2"/>
          <w:sz w:val="28"/>
          <w:szCs w:val="28"/>
          <w:lang w:eastAsia="zh-CN"/>
        </w:rPr>
      </w:pPr>
    </w:p>
    <w:p w14:paraId="356E3169" w14:textId="77777777" w:rsidR="00291F4B" w:rsidRPr="00F9205A" w:rsidRDefault="00291F4B" w:rsidP="004D2A3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4500"/>
        <w:contextualSpacing w:val="0"/>
        <w:rPr>
          <w:rFonts w:ascii="TimesNewRomanPSMT" w:eastAsia="SimSun" w:hAnsi="TimesNewRomanPSMT" w:cs="TimesNewRomanPSMT"/>
          <w:color w:val="000000"/>
          <w:kern w:val="2"/>
          <w:sz w:val="28"/>
          <w:szCs w:val="28"/>
          <w:lang w:eastAsia="zh-CN"/>
        </w:rPr>
      </w:pPr>
    </w:p>
    <w:p w14:paraId="5655067D" w14:textId="77777777" w:rsidR="00F9205A" w:rsidRPr="00F9205A" w:rsidRDefault="00F9205A" w:rsidP="0098538A">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7371"/>
        <w:contextualSpacing w:val="0"/>
        <w:jc w:val="center"/>
        <w:rPr>
          <w:rFonts w:ascii="TimesNewRomanPSMT" w:eastAsia="SimSun" w:hAnsi="TimesNewRomanPSMT" w:cs="TimesNewRomanPSMT"/>
          <w:color w:val="000000"/>
          <w:kern w:val="2"/>
          <w:sz w:val="28"/>
          <w:szCs w:val="28"/>
          <w:lang w:eastAsia="zh-CN"/>
        </w:rPr>
      </w:pPr>
      <w:r w:rsidRPr="00F9205A">
        <w:rPr>
          <w:rFonts w:ascii="TimesNewRomanPSMT" w:eastAsia="SimSun" w:hAnsi="TimesNewRomanPSMT" w:cs="TimesNewRomanPSMT"/>
          <w:color w:val="000000"/>
          <w:kern w:val="2"/>
          <w:sz w:val="28"/>
          <w:szCs w:val="28"/>
          <w:lang w:eastAsia="zh-CN"/>
        </w:rPr>
        <w:t>Research advisor:</w:t>
      </w:r>
    </w:p>
    <w:p w14:paraId="16E6CA85" w14:textId="27D31555" w:rsidR="00F9205A" w:rsidRPr="00F9205A" w:rsidRDefault="00346584" w:rsidP="0098538A">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5812"/>
        <w:contextualSpacing w:val="0"/>
        <w:jc w:val="center"/>
        <w:rPr>
          <w:rFonts w:ascii="TimesNewRomanPSMT" w:eastAsia="SimSun" w:hAnsi="TimesNewRomanPSMT" w:cs="TimesNewRomanPSMT"/>
          <w:color w:val="000000"/>
          <w:kern w:val="2"/>
          <w:sz w:val="28"/>
          <w:szCs w:val="28"/>
          <w:lang w:eastAsia="zh-CN"/>
        </w:rPr>
      </w:pPr>
      <w:r>
        <w:rPr>
          <w:rFonts w:ascii="TimesNewRomanPSMT" w:eastAsia="SimSun" w:hAnsi="TimesNewRomanPSMT" w:cs="TimesNewRomanPSMT"/>
          <w:color w:val="000000"/>
          <w:kern w:val="2"/>
          <w:sz w:val="28"/>
          <w:szCs w:val="28"/>
          <w:lang w:eastAsia="zh-CN"/>
        </w:rPr>
        <w:t>Senior Lecturer</w:t>
      </w:r>
      <w:r w:rsidR="00F9205A" w:rsidRPr="00F9205A">
        <w:rPr>
          <w:rFonts w:ascii="TimesNewRomanPSMT" w:eastAsia="SimSun" w:hAnsi="TimesNewRomanPSMT" w:cs="TimesNewRomanPSMT"/>
          <w:color w:val="000000"/>
          <w:kern w:val="2"/>
          <w:sz w:val="28"/>
          <w:szCs w:val="28"/>
          <w:lang w:eastAsia="zh-CN"/>
        </w:rPr>
        <w:t xml:space="preserve">, </w:t>
      </w:r>
      <w:proofErr w:type="spellStart"/>
      <w:r w:rsidR="00291F4B">
        <w:rPr>
          <w:rFonts w:ascii="TimesNewRomanPSMT" w:eastAsia="SimSun" w:hAnsi="TimesNewRomanPSMT" w:cs="TimesNewRomanPSMT"/>
          <w:color w:val="000000"/>
          <w:kern w:val="2"/>
          <w:sz w:val="28"/>
          <w:szCs w:val="28"/>
          <w:lang w:eastAsia="zh-CN"/>
        </w:rPr>
        <w:t>Egor</w:t>
      </w:r>
      <w:proofErr w:type="spellEnd"/>
      <w:r w:rsidR="00291F4B">
        <w:rPr>
          <w:rFonts w:ascii="TimesNewRomanPSMT" w:eastAsia="SimSun" w:hAnsi="TimesNewRomanPSMT" w:cs="TimesNewRomanPSMT"/>
          <w:color w:val="000000"/>
          <w:kern w:val="2"/>
          <w:sz w:val="28"/>
          <w:szCs w:val="28"/>
          <w:lang w:eastAsia="zh-CN"/>
        </w:rPr>
        <w:t xml:space="preserve"> D. </w:t>
      </w:r>
      <w:proofErr w:type="spellStart"/>
      <w:r w:rsidR="00291F4B">
        <w:rPr>
          <w:rFonts w:ascii="TimesNewRomanPSMT" w:eastAsia="SimSun" w:hAnsi="TimesNewRomanPSMT" w:cs="TimesNewRomanPSMT"/>
          <w:color w:val="000000"/>
          <w:kern w:val="2"/>
          <w:sz w:val="28"/>
          <w:szCs w:val="28"/>
          <w:lang w:eastAsia="zh-CN"/>
        </w:rPr>
        <w:t>Nikulin</w:t>
      </w:r>
      <w:proofErr w:type="spellEnd"/>
    </w:p>
    <w:p w14:paraId="2EF41361" w14:textId="77777777" w:rsidR="00F9205A" w:rsidRPr="00F9205A" w:rsidRDefault="00F9205A" w:rsidP="004D2A3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0"/>
        <w:contextualSpacing w:val="0"/>
        <w:rPr>
          <w:rFonts w:ascii="TimesNewRomanPSMT" w:eastAsia="SimSun" w:hAnsi="TimesNewRomanPSMT" w:cs="TimesNewRomanPSMT"/>
          <w:color w:val="000000"/>
          <w:kern w:val="2"/>
          <w:sz w:val="28"/>
          <w:szCs w:val="28"/>
          <w:lang w:eastAsia="zh-CN"/>
        </w:rPr>
      </w:pPr>
    </w:p>
    <w:p w14:paraId="64983984" w14:textId="1ED7875A" w:rsidR="00F9205A" w:rsidRDefault="00F9205A" w:rsidP="004D2A3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0"/>
        <w:contextualSpacing w:val="0"/>
        <w:rPr>
          <w:rFonts w:ascii="TimesNewRomanPSMT" w:eastAsia="SimSun" w:hAnsi="TimesNewRomanPSMT" w:cs="TimesNewRomanPSMT"/>
          <w:color w:val="000000"/>
          <w:kern w:val="2"/>
          <w:sz w:val="28"/>
          <w:szCs w:val="28"/>
          <w:lang w:eastAsia="zh-CN"/>
        </w:rPr>
      </w:pPr>
    </w:p>
    <w:p w14:paraId="4D7038FF" w14:textId="24586B92" w:rsidR="00291F4B" w:rsidRDefault="00291F4B" w:rsidP="004D2A3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0"/>
        <w:contextualSpacing w:val="0"/>
        <w:rPr>
          <w:rFonts w:ascii="TimesNewRomanPSMT" w:eastAsia="SimSun" w:hAnsi="TimesNewRomanPSMT" w:cs="TimesNewRomanPSMT"/>
          <w:color w:val="000000"/>
          <w:kern w:val="2"/>
          <w:sz w:val="28"/>
          <w:szCs w:val="28"/>
          <w:lang w:eastAsia="zh-CN"/>
        </w:rPr>
      </w:pPr>
    </w:p>
    <w:p w14:paraId="6F239169" w14:textId="1458EA34" w:rsidR="00291F4B" w:rsidRDefault="00291F4B" w:rsidP="004D2A3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0"/>
        <w:contextualSpacing w:val="0"/>
        <w:rPr>
          <w:rFonts w:ascii="TimesNewRomanPSMT" w:eastAsia="SimSun" w:hAnsi="TimesNewRomanPSMT" w:cs="TimesNewRomanPSMT"/>
          <w:color w:val="000000"/>
          <w:kern w:val="2"/>
          <w:sz w:val="28"/>
          <w:szCs w:val="28"/>
          <w:lang w:eastAsia="zh-CN"/>
        </w:rPr>
      </w:pPr>
    </w:p>
    <w:p w14:paraId="321D87B6" w14:textId="1D7C3BBD" w:rsidR="00291F4B" w:rsidRDefault="00291F4B" w:rsidP="004D2A3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0"/>
        <w:contextualSpacing w:val="0"/>
        <w:rPr>
          <w:rFonts w:ascii="TimesNewRomanPSMT" w:eastAsia="SimSun" w:hAnsi="TimesNewRomanPSMT" w:cs="TimesNewRomanPSMT"/>
          <w:color w:val="000000"/>
          <w:kern w:val="2"/>
          <w:sz w:val="28"/>
          <w:szCs w:val="28"/>
          <w:lang w:eastAsia="zh-CN"/>
        </w:rPr>
      </w:pPr>
    </w:p>
    <w:p w14:paraId="420C75BC" w14:textId="713C92D6" w:rsidR="00291F4B" w:rsidRDefault="00291F4B" w:rsidP="004D2A3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0"/>
        <w:contextualSpacing w:val="0"/>
        <w:rPr>
          <w:rFonts w:ascii="TimesNewRomanPSMT" w:eastAsia="SimSun" w:hAnsi="TimesNewRomanPSMT" w:cs="TimesNewRomanPSMT"/>
          <w:color w:val="000000"/>
          <w:kern w:val="2"/>
          <w:sz w:val="28"/>
          <w:szCs w:val="28"/>
          <w:lang w:eastAsia="zh-CN"/>
        </w:rPr>
      </w:pPr>
    </w:p>
    <w:p w14:paraId="3EE36F85" w14:textId="77777777" w:rsidR="00F9205A" w:rsidRPr="00F9205A" w:rsidRDefault="00F9205A" w:rsidP="004D2A3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0"/>
        <w:contextualSpacing w:val="0"/>
        <w:jc w:val="center"/>
        <w:rPr>
          <w:rFonts w:ascii="TimesNewRomanPSMT" w:eastAsia="SimSun" w:hAnsi="TimesNewRomanPSMT" w:cs="TimesNewRomanPSMT"/>
          <w:color w:val="000000"/>
          <w:kern w:val="2"/>
          <w:sz w:val="28"/>
          <w:szCs w:val="28"/>
          <w:lang w:eastAsia="zh-CN"/>
        </w:rPr>
      </w:pPr>
      <w:r w:rsidRPr="00F9205A">
        <w:rPr>
          <w:rFonts w:ascii="TimesNewRomanPSMT" w:eastAsia="SimSun" w:hAnsi="TimesNewRomanPSMT" w:cs="TimesNewRomanPSMT"/>
          <w:color w:val="000000"/>
          <w:kern w:val="2"/>
          <w:sz w:val="28"/>
          <w:szCs w:val="28"/>
          <w:lang w:eastAsia="zh-CN"/>
        </w:rPr>
        <w:t>St. Petersburg</w:t>
      </w:r>
    </w:p>
    <w:p w14:paraId="363A10BE" w14:textId="32AB9399" w:rsidR="00F9205A" w:rsidRPr="00F9205A" w:rsidRDefault="00C0655B" w:rsidP="004D2A38">
      <w:pPr>
        <w:widowControl w:val="0"/>
        <w:pBdr>
          <w:top w:val="single" w:sz="4" w:space="1" w:color="auto"/>
          <w:left w:val="single" w:sz="4" w:space="4" w:color="auto"/>
          <w:bottom w:val="single" w:sz="4" w:space="31" w:color="auto"/>
          <w:right w:val="single" w:sz="4" w:space="4" w:color="auto"/>
        </w:pBdr>
        <w:tabs>
          <w:tab w:val="left" w:pos="0"/>
        </w:tabs>
        <w:autoSpaceDE w:val="0"/>
        <w:autoSpaceDN w:val="0"/>
        <w:adjustRightInd w:val="0"/>
        <w:spacing w:after="0" w:line="240" w:lineRule="auto"/>
        <w:ind w:firstLine="0"/>
        <w:contextualSpacing w:val="0"/>
        <w:jc w:val="center"/>
        <w:rPr>
          <w:rFonts w:ascii="TimesNewRomanPSMT" w:eastAsia="SimSun" w:hAnsi="TimesNewRomanPSMT" w:cs="TimesNewRomanPSMT"/>
          <w:color w:val="000000"/>
          <w:kern w:val="2"/>
          <w:sz w:val="28"/>
          <w:szCs w:val="28"/>
          <w:lang w:eastAsia="zh-CN"/>
        </w:rPr>
      </w:pPr>
      <w:r>
        <w:rPr>
          <w:rFonts w:ascii="TimesNewRomanPSMT" w:eastAsia="SimSun" w:hAnsi="TimesNewRomanPSMT" w:cs="TimesNewRomanPSMT"/>
          <w:color w:val="000000"/>
          <w:kern w:val="2"/>
          <w:sz w:val="28"/>
          <w:szCs w:val="28"/>
          <w:lang w:eastAsia="zh-CN"/>
        </w:rPr>
        <w:t>2018</w:t>
      </w:r>
    </w:p>
    <w:p w14:paraId="2CE7DB61" w14:textId="68237E65" w:rsidR="00C3181F" w:rsidRDefault="00C3181F" w:rsidP="004D2A38">
      <w:pPr>
        <w:tabs>
          <w:tab w:val="left" w:pos="0"/>
        </w:tabs>
        <w:spacing w:after="160" w:line="259" w:lineRule="auto"/>
        <w:ind w:firstLine="0"/>
        <w:contextualSpacing w:val="0"/>
        <w:jc w:val="left"/>
      </w:pPr>
      <w:r>
        <w:br w:type="page"/>
      </w:r>
    </w:p>
    <w:p w14:paraId="011E669E" w14:textId="69602836" w:rsidR="00E565C5" w:rsidRDefault="009D6824" w:rsidP="009D6824">
      <w:pPr>
        <w:spacing w:after="160" w:line="259" w:lineRule="auto"/>
        <w:ind w:firstLine="0"/>
        <w:contextualSpacing w:val="0"/>
        <w:jc w:val="center"/>
        <w:rPr>
          <w:rFonts w:eastAsia="Times New Roman" w:cs="Times New Roman"/>
          <w:b/>
          <w:bCs/>
          <w:position w:val="-1"/>
          <w:szCs w:val="24"/>
        </w:rPr>
      </w:pPr>
      <w:r w:rsidRPr="009D6824">
        <w:rPr>
          <w:rFonts w:eastAsia="Times New Roman" w:cs="Times New Roman"/>
          <w:b/>
          <w:bCs/>
          <w:noProof/>
          <w:position w:val="-1"/>
          <w:szCs w:val="24"/>
          <w:lang w:val="ru-RU" w:eastAsia="ru-RU"/>
        </w:rPr>
        <w:lastRenderedPageBreak/>
        <w:drawing>
          <wp:inline distT="0" distB="0" distL="0" distR="0" wp14:anchorId="4B8B7188" wp14:editId="7205BCB9">
            <wp:extent cx="6152182" cy="7439025"/>
            <wp:effectExtent l="0" t="0" r="1270" b="0"/>
            <wp:docPr id="5" name="Рисунок 5" descr="D:\Desktop\Мусор\SMFU Konica1805241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Мусор\SMFU Konica18052410000-0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b="14552"/>
                    <a:stretch/>
                  </pic:blipFill>
                  <pic:spPr bwMode="auto">
                    <a:xfrm>
                      <a:off x="0" y="0"/>
                      <a:ext cx="6152515" cy="7439427"/>
                    </a:xfrm>
                    <a:prstGeom prst="rect">
                      <a:avLst/>
                    </a:prstGeom>
                    <a:noFill/>
                    <a:ln>
                      <a:noFill/>
                    </a:ln>
                    <a:extLst>
                      <a:ext uri="{53640926-AAD7-44D8-BBD7-CCE9431645EC}">
                        <a14:shadowObscured xmlns:a14="http://schemas.microsoft.com/office/drawing/2010/main"/>
                      </a:ext>
                    </a:extLst>
                  </pic:spPr>
                </pic:pic>
              </a:graphicData>
            </a:graphic>
          </wp:inline>
        </w:drawing>
      </w:r>
      <w:r w:rsidR="00E565C5">
        <w:rPr>
          <w:rFonts w:eastAsia="Times New Roman" w:cs="Times New Roman"/>
          <w:b/>
          <w:bCs/>
          <w:position w:val="-1"/>
          <w:szCs w:val="24"/>
        </w:rPr>
        <w:br w:type="page"/>
      </w:r>
    </w:p>
    <w:p w14:paraId="3C81411C" w14:textId="49EF6C66" w:rsidR="00393653" w:rsidRPr="00000AE3" w:rsidRDefault="00393653" w:rsidP="00B42221">
      <w:pPr>
        <w:spacing w:before="120" w:line="240" w:lineRule="auto"/>
        <w:ind w:right="4040"/>
        <w:jc w:val="left"/>
        <w:rPr>
          <w:rFonts w:eastAsia="Times New Roman" w:cs="Times New Roman"/>
          <w:szCs w:val="24"/>
        </w:rPr>
      </w:pPr>
      <w:r w:rsidRPr="00000AE3">
        <w:rPr>
          <w:rFonts w:eastAsia="Times New Roman" w:cs="Times New Roman"/>
          <w:b/>
          <w:bCs/>
          <w:position w:val="-1"/>
          <w:szCs w:val="24"/>
        </w:rPr>
        <w:lastRenderedPageBreak/>
        <w:t>АННОТАЦИЯ</w:t>
      </w:r>
    </w:p>
    <w:tbl>
      <w:tblPr>
        <w:tblW w:w="9248" w:type="dxa"/>
        <w:tblInd w:w="103" w:type="dxa"/>
        <w:tblLayout w:type="fixed"/>
        <w:tblCellMar>
          <w:left w:w="0" w:type="dxa"/>
          <w:right w:w="0" w:type="dxa"/>
        </w:tblCellMar>
        <w:tblLook w:val="01E0" w:firstRow="1" w:lastRow="1" w:firstColumn="1" w:lastColumn="1" w:noHBand="0" w:noVBand="0"/>
      </w:tblPr>
      <w:tblGrid>
        <w:gridCol w:w="3153"/>
        <w:gridCol w:w="6095"/>
      </w:tblGrid>
      <w:tr w:rsidR="00393653" w:rsidRPr="00000AE3" w14:paraId="0102B731" w14:textId="77777777" w:rsidTr="00F83847">
        <w:trPr>
          <w:trHeight w:val="353"/>
        </w:trPr>
        <w:tc>
          <w:tcPr>
            <w:tcW w:w="3153" w:type="dxa"/>
            <w:tcBorders>
              <w:top w:val="single" w:sz="4" w:space="0" w:color="000000"/>
              <w:left w:val="single" w:sz="4" w:space="0" w:color="000000"/>
              <w:bottom w:val="single" w:sz="4" w:space="0" w:color="000000"/>
              <w:right w:val="single" w:sz="4" w:space="0" w:color="000000"/>
            </w:tcBorders>
          </w:tcPr>
          <w:p w14:paraId="45ABB560" w14:textId="77777777" w:rsidR="00393653" w:rsidRPr="00000AE3" w:rsidRDefault="00393653" w:rsidP="00F83847">
            <w:pPr>
              <w:spacing w:after="0" w:line="240" w:lineRule="auto"/>
              <w:ind w:left="179" w:right="-20" w:firstLine="37"/>
              <w:jc w:val="left"/>
              <w:rPr>
                <w:rFonts w:eastAsia="Times New Roman" w:cs="Times New Roman"/>
                <w:szCs w:val="24"/>
              </w:rPr>
            </w:pPr>
            <w:proofErr w:type="spellStart"/>
            <w:r w:rsidRPr="00000AE3">
              <w:rPr>
                <w:rFonts w:eastAsia="Times New Roman" w:cs="Times New Roman"/>
                <w:szCs w:val="24"/>
              </w:rPr>
              <w:t>Автор</w:t>
            </w:r>
            <w:proofErr w:type="spellEnd"/>
          </w:p>
        </w:tc>
        <w:tc>
          <w:tcPr>
            <w:tcW w:w="6095" w:type="dxa"/>
            <w:tcBorders>
              <w:top w:val="single" w:sz="4" w:space="0" w:color="000000"/>
              <w:left w:val="single" w:sz="4" w:space="0" w:color="000000"/>
              <w:bottom w:val="single" w:sz="4" w:space="0" w:color="000000"/>
              <w:right w:val="single" w:sz="4" w:space="0" w:color="000000"/>
            </w:tcBorders>
          </w:tcPr>
          <w:p w14:paraId="6759F46C" w14:textId="72799C9E" w:rsidR="00393653" w:rsidRPr="00F83847" w:rsidRDefault="00F83847" w:rsidP="00F83847">
            <w:pPr>
              <w:spacing w:after="0" w:line="240" w:lineRule="auto"/>
              <w:ind w:left="271" w:right="147" w:firstLine="0"/>
              <w:jc w:val="left"/>
              <w:rPr>
                <w:rFonts w:cs="Times New Roman"/>
                <w:szCs w:val="24"/>
                <w:lang w:val="ru-RU"/>
              </w:rPr>
            </w:pPr>
            <w:proofErr w:type="spellStart"/>
            <w:r>
              <w:rPr>
                <w:rFonts w:cs="Times New Roman"/>
                <w:szCs w:val="24"/>
                <w:lang w:val="ru-RU"/>
              </w:rPr>
              <w:t>Свидрицкий</w:t>
            </w:r>
            <w:proofErr w:type="spellEnd"/>
            <w:r>
              <w:rPr>
                <w:rFonts w:cs="Times New Roman"/>
                <w:szCs w:val="24"/>
                <w:lang w:val="ru-RU"/>
              </w:rPr>
              <w:t xml:space="preserve"> Максим Евгеньевич</w:t>
            </w:r>
          </w:p>
        </w:tc>
      </w:tr>
      <w:tr w:rsidR="00393653" w:rsidRPr="00F83847" w14:paraId="3A58CBCF" w14:textId="77777777" w:rsidTr="00F83847">
        <w:trPr>
          <w:trHeight w:val="353"/>
        </w:trPr>
        <w:tc>
          <w:tcPr>
            <w:tcW w:w="3153" w:type="dxa"/>
            <w:tcBorders>
              <w:top w:val="single" w:sz="4" w:space="0" w:color="000000"/>
              <w:left w:val="single" w:sz="4" w:space="0" w:color="000000"/>
              <w:bottom w:val="single" w:sz="4" w:space="0" w:color="000000"/>
              <w:right w:val="single" w:sz="4" w:space="0" w:color="000000"/>
            </w:tcBorders>
          </w:tcPr>
          <w:p w14:paraId="603A921D" w14:textId="46F21D9D" w:rsidR="00393653" w:rsidRPr="00F83847" w:rsidRDefault="00393653" w:rsidP="00F83847">
            <w:pPr>
              <w:spacing w:after="0" w:line="240" w:lineRule="auto"/>
              <w:ind w:left="179" w:right="-20" w:firstLine="37"/>
              <w:jc w:val="left"/>
              <w:rPr>
                <w:rFonts w:eastAsia="Times New Roman" w:cs="Times New Roman"/>
                <w:szCs w:val="24"/>
                <w:lang w:val="ru-RU"/>
              </w:rPr>
            </w:pPr>
            <w:r w:rsidRPr="00000AE3">
              <w:rPr>
                <w:rFonts w:eastAsia="Times New Roman" w:cs="Times New Roman"/>
                <w:szCs w:val="24"/>
              </w:rPr>
              <w:t xml:space="preserve">Название </w:t>
            </w:r>
            <w:r w:rsidR="00F83847">
              <w:rPr>
                <w:rFonts w:eastAsia="Times New Roman" w:cs="Times New Roman"/>
                <w:szCs w:val="24"/>
                <w:lang w:val="ru-RU"/>
              </w:rPr>
              <w:t>магистерской диссертации</w:t>
            </w:r>
          </w:p>
        </w:tc>
        <w:tc>
          <w:tcPr>
            <w:tcW w:w="6095" w:type="dxa"/>
            <w:tcBorders>
              <w:top w:val="single" w:sz="4" w:space="0" w:color="000000"/>
              <w:left w:val="single" w:sz="4" w:space="0" w:color="000000"/>
              <w:bottom w:val="single" w:sz="4" w:space="0" w:color="000000"/>
              <w:right w:val="single" w:sz="4" w:space="0" w:color="000000"/>
            </w:tcBorders>
          </w:tcPr>
          <w:p w14:paraId="42044F08" w14:textId="755ED4C1" w:rsidR="00393653" w:rsidRPr="00F83847" w:rsidRDefault="00F83847" w:rsidP="00F83847">
            <w:pPr>
              <w:spacing w:after="0" w:line="240" w:lineRule="auto"/>
              <w:ind w:left="271" w:right="147" w:firstLine="0"/>
              <w:jc w:val="left"/>
              <w:rPr>
                <w:rFonts w:cs="Times New Roman"/>
                <w:szCs w:val="24"/>
                <w:lang w:val="ru-RU"/>
              </w:rPr>
            </w:pPr>
            <w:r>
              <w:rPr>
                <w:rFonts w:cs="Times New Roman"/>
                <w:szCs w:val="24"/>
                <w:lang w:val="ru-RU"/>
              </w:rPr>
              <w:t>Влияние структуры оборотного капитала на результативность компании по итогам сделок слияний и поглощений</w:t>
            </w:r>
          </w:p>
        </w:tc>
      </w:tr>
      <w:tr w:rsidR="00393653" w:rsidRPr="00000AE3" w14:paraId="6121A320" w14:textId="77777777" w:rsidTr="00F83847">
        <w:trPr>
          <w:trHeight w:val="353"/>
        </w:trPr>
        <w:tc>
          <w:tcPr>
            <w:tcW w:w="3153" w:type="dxa"/>
            <w:tcBorders>
              <w:top w:val="single" w:sz="4" w:space="0" w:color="000000"/>
              <w:left w:val="single" w:sz="4" w:space="0" w:color="000000"/>
              <w:bottom w:val="single" w:sz="4" w:space="0" w:color="000000"/>
              <w:right w:val="single" w:sz="4" w:space="0" w:color="000000"/>
            </w:tcBorders>
          </w:tcPr>
          <w:p w14:paraId="7B8F9F3C" w14:textId="66A92C23" w:rsidR="00393653" w:rsidRPr="003A4B2F" w:rsidRDefault="00F83847" w:rsidP="00F83847">
            <w:pPr>
              <w:spacing w:after="0" w:line="240" w:lineRule="auto"/>
              <w:ind w:left="179" w:right="-20" w:firstLine="37"/>
              <w:jc w:val="left"/>
              <w:rPr>
                <w:rFonts w:eastAsia="Times New Roman" w:cs="Times New Roman"/>
                <w:szCs w:val="24"/>
                <w:lang w:val="ru-RU"/>
              </w:rPr>
            </w:pPr>
            <w:r>
              <w:rPr>
                <w:rFonts w:eastAsia="Times New Roman" w:cs="Times New Roman"/>
                <w:szCs w:val="24"/>
                <w:lang w:val="ru-RU"/>
              </w:rPr>
              <w:t>Факультет</w:t>
            </w:r>
          </w:p>
        </w:tc>
        <w:tc>
          <w:tcPr>
            <w:tcW w:w="6095" w:type="dxa"/>
            <w:tcBorders>
              <w:top w:val="single" w:sz="4" w:space="0" w:color="000000"/>
              <w:left w:val="single" w:sz="4" w:space="0" w:color="000000"/>
              <w:bottom w:val="single" w:sz="4" w:space="0" w:color="000000"/>
              <w:right w:val="single" w:sz="4" w:space="0" w:color="000000"/>
            </w:tcBorders>
          </w:tcPr>
          <w:p w14:paraId="4FDCB53C" w14:textId="2EC3531E" w:rsidR="00393653" w:rsidRPr="00F83847" w:rsidRDefault="00F83847" w:rsidP="00F83847">
            <w:pPr>
              <w:spacing w:after="0" w:line="240" w:lineRule="auto"/>
              <w:ind w:left="271" w:right="147" w:firstLine="0"/>
              <w:jc w:val="left"/>
              <w:rPr>
                <w:rFonts w:cs="Times New Roman"/>
                <w:szCs w:val="24"/>
                <w:lang w:val="ru-RU"/>
              </w:rPr>
            </w:pPr>
            <w:r>
              <w:rPr>
                <w:rFonts w:cs="Times New Roman"/>
                <w:szCs w:val="24"/>
                <w:lang w:val="ru-RU"/>
              </w:rPr>
              <w:t>Высшая Школа Менеджмента</w:t>
            </w:r>
          </w:p>
        </w:tc>
      </w:tr>
      <w:tr w:rsidR="00393653" w:rsidRPr="00000AE3" w14:paraId="3B296B2C" w14:textId="77777777" w:rsidTr="00F83847">
        <w:trPr>
          <w:trHeight w:val="353"/>
        </w:trPr>
        <w:tc>
          <w:tcPr>
            <w:tcW w:w="3153" w:type="dxa"/>
            <w:tcBorders>
              <w:top w:val="single" w:sz="4" w:space="0" w:color="000000"/>
              <w:left w:val="single" w:sz="4" w:space="0" w:color="000000"/>
              <w:bottom w:val="single" w:sz="4" w:space="0" w:color="000000"/>
              <w:right w:val="single" w:sz="4" w:space="0" w:color="000000"/>
            </w:tcBorders>
          </w:tcPr>
          <w:p w14:paraId="627BE4C7" w14:textId="77777777" w:rsidR="00393653" w:rsidRPr="00000AE3" w:rsidRDefault="00393653" w:rsidP="00F83847">
            <w:pPr>
              <w:spacing w:after="0" w:line="240" w:lineRule="auto"/>
              <w:ind w:left="179" w:right="-20" w:firstLine="37"/>
              <w:jc w:val="left"/>
              <w:rPr>
                <w:rFonts w:eastAsia="Times New Roman" w:cs="Times New Roman"/>
                <w:szCs w:val="24"/>
              </w:rPr>
            </w:pPr>
            <w:proofErr w:type="spellStart"/>
            <w:r w:rsidRPr="00000AE3">
              <w:rPr>
                <w:rFonts w:eastAsia="Times New Roman" w:cs="Times New Roman"/>
                <w:szCs w:val="24"/>
              </w:rPr>
              <w:t>Направление</w:t>
            </w:r>
            <w:proofErr w:type="spellEnd"/>
            <w:r w:rsidRPr="00000AE3">
              <w:rPr>
                <w:rFonts w:eastAsia="Times New Roman" w:cs="Times New Roman"/>
                <w:szCs w:val="24"/>
              </w:rPr>
              <w:t xml:space="preserve"> </w:t>
            </w:r>
            <w:proofErr w:type="spellStart"/>
            <w:r w:rsidRPr="00000AE3">
              <w:rPr>
                <w:rFonts w:eastAsia="Times New Roman" w:cs="Times New Roman"/>
                <w:szCs w:val="24"/>
              </w:rPr>
              <w:t>подготовки</w:t>
            </w:r>
            <w:proofErr w:type="spellEnd"/>
          </w:p>
        </w:tc>
        <w:tc>
          <w:tcPr>
            <w:tcW w:w="6095" w:type="dxa"/>
            <w:tcBorders>
              <w:top w:val="single" w:sz="4" w:space="0" w:color="000000"/>
              <w:left w:val="single" w:sz="4" w:space="0" w:color="000000"/>
              <w:bottom w:val="single" w:sz="4" w:space="0" w:color="000000"/>
              <w:right w:val="single" w:sz="4" w:space="0" w:color="000000"/>
            </w:tcBorders>
          </w:tcPr>
          <w:p w14:paraId="4604A48C" w14:textId="6E871214" w:rsidR="00393653" w:rsidRPr="00F83847" w:rsidRDefault="00F83847" w:rsidP="00F83847">
            <w:pPr>
              <w:spacing w:after="0" w:line="240" w:lineRule="auto"/>
              <w:ind w:left="271" w:right="147" w:firstLine="0"/>
              <w:jc w:val="left"/>
              <w:rPr>
                <w:rFonts w:cs="Times New Roman"/>
                <w:szCs w:val="24"/>
                <w:lang w:val="ru-RU"/>
              </w:rPr>
            </w:pPr>
            <w:r>
              <w:rPr>
                <w:rFonts w:cs="Times New Roman"/>
                <w:szCs w:val="24"/>
                <w:lang w:val="ru-RU"/>
              </w:rPr>
              <w:t>Корпоративные финансы</w:t>
            </w:r>
          </w:p>
        </w:tc>
      </w:tr>
      <w:tr w:rsidR="00393653" w:rsidRPr="00000AE3" w14:paraId="742775C9" w14:textId="77777777" w:rsidTr="00F83847">
        <w:trPr>
          <w:trHeight w:val="353"/>
        </w:trPr>
        <w:tc>
          <w:tcPr>
            <w:tcW w:w="3153" w:type="dxa"/>
            <w:tcBorders>
              <w:top w:val="single" w:sz="4" w:space="0" w:color="000000"/>
              <w:left w:val="single" w:sz="4" w:space="0" w:color="000000"/>
              <w:bottom w:val="single" w:sz="4" w:space="0" w:color="000000"/>
              <w:right w:val="single" w:sz="4" w:space="0" w:color="000000"/>
            </w:tcBorders>
          </w:tcPr>
          <w:p w14:paraId="3F01486F" w14:textId="77777777" w:rsidR="00393653" w:rsidRPr="00000AE3" w:rsidRDefault="00393653" w:rsidP="00F83847">
            <w:pPr>
              <w:spacing w:after="0" w:line="240" w:lineRule="auto"/>
              <w:ind w:left="179" w:right="-20" w:firstLine="37"/>
              <w:jc w:val="left"/>
              <w:rPr>
                <w:rFonts w:eastAsia="Times New Roman" w:cs="Times New Roman"/>
                <w:szCs w:val="24"/>
              </w:rPr>
            </w:pPr>
            <w:proofErr w:type="spellStart"/>
            <w:r w:rsidRPr="00000AE3">
              <w:rPr>
                <w:rFonts w:eastAsia="Times New Roman" w:cs="Times New Roman"/>
                <w:szCs w:val="24"/>
              </w:rPr>
              <w:t>Год</w:t>
            </w:r>
            <w:proofErr w:type="spellEnd"/>
          </w:p>
        </w:tc>
        <w:tc>
          <w:tcPr>
            <w:tcW w:w="6095" w:type="dxa"/>
            <w:tcBorders>
              <w:top w:val="single" w:sz="4" w:space="0" w:color="000000"/>
              <w:left w:val="single" w:sz="4" w:space="0" w:color="000000"/>
              <w:bottom w:val="single" w:sz="4" w:space="0" w:color="000000"/>
              <w:right w:val="single" w:sz="4" w:space="0" w:color="000000"/>
            </w:tcBorders>
          </w:tcPr>
          <w:p w14:paraId="2F448ECF" w14:textId="6B7D8DD3" w:rsidR="00393653" w:rsidRPr="00F83847" w:rsidRDefault="00F83847" w:rsidP="00F83847">
            <w:pPr>
              <w:spacing w:after="0" w:line="240" w:lineRule="auto"/>
              <w:ind w:left="271" w:right="147" w:firstLine="0"/>
              <w:jc w:val="left"/>
              <w:rPr>
                <w:rFonts w:cs="Times New Roman"/>
                <w:szCs w:val="24"/>
                <w:lang w:val="ru-RU"/>
              </w:rPr>
            </w:pPr>
            <w:r>
              <w:rPr>
                <w:rFonts w:cs="Times New Roman"/>
                <w:szCs w:val="24"/>
                <w:lang w:val="ru-RU"/>
              </w:rPr>
              <w:t>2018</w:t>
            </w:r>
          </w:p>
        </w:tc>
      </w:tr>
      <w:tr w:rsidR="00393653" w:rsidRPr="00000AE3" w14:paraId="7E9B76D2" w14:textId="77777777" w:rsidTr="00F83847">
        <w:trPr>
          <w:trHeight w:val="353"/>
        </w:trPr>
        <w:tc>
          <w:tcPr>
            <w:tcW w:w="3153" w:type="dxa"/>
            <w:tcBorders>
              <w:top w:val="single" w:sz="4" w:space="0" w:color="000000"/>
              <w:left w:val="single" w:sz="4" w:space="0" w:color="000000"/>
              <w:bottom w:val="single" w:sz="4" w:space="0" w:color="000000"/>
              <w:right w:val="single" w:sz="4" w:space="0" w:color="000000"/>
            </w:tcBorders>
          </w:tcPr>
          <w:p w14:paraId="28DE9103" w14:textId="77777777" w:rsidR="00393653" w:rsidRPr="00000AE3" w:rsidRDefault="00393653" w:rsidP="00F83847">
            <w:pPr>
              <w:spacing w:after="0" w:line="240" w:lineRule="auto"/>
              <w:ind w:left="179" w:right="-20" w:firstLine="37"/>
              <w:jc w:val="left"/>
              <w:rPr>
                <w:rFonts w:eastAsia="Times New Roman" w:cs="Times New Roman"/>
                <w:szCs w:val="24"/>
              </w:rPr>
            </w:pPr>
            <w:proofErr w:type="spellStart"/>
            <w:r w:rsidRPr="00000AE3">
              <w:rPr>
                <w:rFonts w:eastAsia="Times New Roman" w:cs="Times New Roman"/>
                <w:szCs w:val="24"/>
              </w:rPr>
              <w:t>На</w:t>
            </w:r>
            <w:r w:rsidRPr="00000AE3">
              <w:rPr>
                <w:rFonts w:eastAsia="Times New Roman" w:cs="Times New Roman"/>
                <w:spacing w:val="2"/>
                <w:szCs w:val="24"/>
              </w:rPr>
              <w:t>у</w:t>
            </w:r>
            <w:r w:rsidRPr="00000AE3">
              <w:rPr>
                <w:rFonts w:eastAsia="Times New Roman" w:cs="Times New Roman"/>
                <w:spacing w:val="1"/>
                <w:szCs w:val="24"/>
              </w:rPr>
              <w:t>ч</w:t>
            </w:r>
            <w:r w:rsidRPr="00000AE3">
              <w:rPr>
                <w:rFonts w:eastAsia="Times New Roman" w:cs="Times New Roman"/>
                <w:szCs w:val="24"/>
              </w:rPr>
              <w:t>ный</w:t>
            </w:r>
            <w:proofErr w:type="spellEnd"/>
            <w:r w:rsidRPr="00000AE3">
              <w:rPr>
                <w:rFonts w:eastAsia="Times New Roman" w:cs="Times New Roman"/>
                <w:szCs w:val="24"/>
              </w:rPr>
              <w:t xml:space="preserve"> </w:t>
            </w:r>
            <w:proofErr w:type="spellStart"/>
            <w:r w:rsidRPr="00000AE3">
              <w:rPr>
                <w:rFonts w:eastAsia="Times New Roman" w:cs="Times New Roman"/>
                <w:spacing w:val="-1"/>
                <w:szCs w:val="24"/>
              </w:rPr>
              <w:t>р</w:t>
            </w:r>
            <w:r w:rsidRPr="00000AE3">
              <w:rPr>
                <w:rFonts w:eastAsia="Times New Roman" w:cs="Times New Roman"/>
                <w:spacing w:val="1"/>
                <w:szCs w:val="24"/>
              </w:rPr>
              <w:t>у</w:t>
            </w:r>
            <w:r w:rsidRPr="00000AE3">
              <w:rPr>
                <w:rFonts w:eastAsia="Times New Roman" w:cs="Times New Roman"/>
                <w:spacing w:val="-1"/>
                <w:szCs w:val="24"/>
              </w:rPr>
              <w:t>ково</w:t>
            </w:r>
            <w:r w:rsidRPr="00000AE3">
              <w:rPr>
                <w:rFonts w:eastAsia="Times New Roman" w:cs="Times New Roman"/>
                <w:szCs w:val="24"/>
              </w:rPr>
              <w:t>ди</w:t>
            </w:r>
            <w:r w:rsidRPr="00000AE3">
              <w:rPr>
                <w:rFonts w:eastAsia="Times New Roman" w:cs="Times New Roman"/>
                <w:spacing w:val="-1"/>
                <w:szCs w:val="24"/>
              </w:rPr>
              <w:t>т</w:t>
            </w:r>
            <w:r w:rsidRPr="00000AE3">
              <w:rPr>
                <w:rFonts w:eastAsia="Times New Roman" w:cs="Times New Roman"/>
                <w:szCs w:val="24"/>
              </w:rPr>
              <w:t>е</w:t>
            </w:r>
            <w:r w:rsidRPr="00000AE3">
              <w:rPr>
                <w:rFonts w:eastAsia="Times New Roman" w:cs="Times New Roman"/>
                <w:spacing w:val="-1"/>
                <w:szCs w:val="24"/>
              </w:rPr>
              <w:t>ль</w:t>
            </w:r>
            <w:proofErr w:type="spellEnd"/>
          </w:p>
        </w:tc>
        <w:tc>
          <w:tcPr>
            <w:tcW w:w="6095" w:type="dxa"/>
            <w:tcBorders>
              <w:top w:val="single" w:sz="4" w:space="0" w:color="000000"/>
              <w:left w:val="single" w:sz="4" w:space="0" w:color="000000"/>
              <w:bottom w:val="single" w:sz="4" w:space="0" w:color="000000"/>
              <w:right w:val="single" w:sz="4" w:space="0" w:color="000000"/>
            </w:tcBorders>
          </w:tcPr>
          <w:p w14:paraId="7D6DF6A1" w14:textId="62968C04" w:rsidR="00393653" w:rsidRPr="00F83847" w:rsidRDefault="00F83847" w:rsidP="00F83847">
            <w:pPr>
              <w:spacing w:after="0" w:line="240" w:lineRule="auto"/>
              <w:ind w:left="271" w:right="147" w:firstLine="0"/>
              <w:jc w:val="left"/>
              <w:rPr>
                <w:rFonts w:cs="Times New Roman"/>
                <w:szCs w:val="24"/>
                <w:lang w:val="ru-RU"/>
              </w:rPr>
            </w:pPr>
            <w:r>
              <w:rPr>
                <w:rFonts w:cs="Times New Roman"/>
                <w:szCs w:val="24"/>
                <w:lang w:val="ru-RU"/>
              </w:rPr>
              <w:t>Доцент, Никулин Егор Дмитриевич</w:t>
            </w:r>
          </w:p>
        </w:tc>
      </w:tr>
      <w:tr w:rsidR="00393653" w:rsidRPr="006D311A" w14:paraId="0456CB6C" w14:textId="77777777" w:rsidTr="00F83847">
        <w:trPr>
          <w:trHeight w:val="353"/>
        </w:trPr>
        <w:tc>
          <w:tcPr>
            <w:tcW w:w="3153" w:type="dxa"/>
            <w:tcBorders>
              <w:top w:val="single" w:sz="4" w:space="0" w:color="000000"/>
              <w:left w:val="single" w:sz="4" w:space="0" w:color="000000"/>
              <w:bottom w:val="single" w:sz="4" w:space="0" w:color="000000"/>
              <w:right w:val="single" w:sz="4" w:space="0" w:color="000000"/>
            </w:tcBorders>
          </w:tcPr>
          <w:p w14:paraId="2D2A4BB4" w14:textId="77777777" w:rsidR="00393653" w:rsidRPr="00D5338B" w:rsidRDefault="00393653" w:rsidP="00F83847">
            <w:pPr>
              <w:spacing w:after="0" w:line="240" w:lineRule="auto"/>
              <w:ind w:left="179" w:right="-20" w:firstLine="37"/>
              <w:jc w:val="left"/>
              <w:rPr>
                <w:rFonts w:eastAsia="Times New Roman" w:cs="Times New Roman"/>
                <w:szCs w:val="24"/>
                <w:lang w:val="ru-RU"/>
              </w:rPr>
            </w:pPr>
            <w:r w:rsidRPr="00000AE3">
              <w:rPr>
                <w:rFonts w:eastAsia="Times New Roman" w:cs="Times New Roman"/>
                <w:szCs w:val="24"/>
                <w:lang w:val="ru-RU"/>
              </w:rPr>
              <w:t>Описание</w:t>
            </w:r>
            <w:r w:rsidRPr="00000AE3">
              <w:rPr>
                <w:rFonts w:eastAsia="Times New Roman" w:cs="Times New Roman"/>
                <w:spacing w:val="16"/>
                <w:szCs w:val="24"/>
                <w:lang w:val="ru-RU"/>
              </w:rPr>
              <w:t xml:space="preserve"> </w:t>
            </w:r>
            <w:r w:rsidRPr="00000AE3">
              <w:rPr>
                <w:rFonts w:eastAsia="Times New Roman" w:cs="Times New Roman"/>
                <w:szCs w:val="24"/>
                <w:lang w:val="ru-RU"/>
              </w:rPr>
              <w:t>цели,</w:t>
            </w:r>
            <w:r w:rsidRPr="00000AE3">
              <w:rPr>
                <w:rFonts w:eastAsia="Times New Roman" w:cs="Times New Roman"/>
                <w:spacing w:val="16"/>
                <w:szCs w:val="24"/>
                <w:lang w:val="ru-RU"/>
              </w:rPr>
              <w:t xml:space="preserve"> </w:t>
            </w:r>
            <w:r w:rsidRPr="00000AE3">
              <w:rPr>
                <w:rFonts w:eastAsia="Times New Roman" w:cs="Times New Roman"/>
                <w:szCs w:val="24"/>
                <w:lang w:val="ru-RU"/>
              </w:rPr>
              <w:t>задач</w:t>
            </w:r>
            <w:r w:rsidRPr="00000AE3">
              <w:rPr>
                <w:rFonts w:eastAsia="Times New Roman" w:cs="Times New Roman"/>
                <w:spacing w:val="15"/>
                <w:szCs w:val="24"/>
                <w:lang w:val="ru-RU"/>
              </w:rPr>
              <w:t xml:space="preserve"> </w:t>
            </w:r>
            <w:r w:rsidRPr="00000AE3">
              <w:rPr>
                <w:rFonts w:eastAsia="Times New Roman" w:cs="Times New Roman"/>
                <w:szCs w:val="24"/>
                <w:lang w:val="ru-RU"/>
              </w:rPr>
              <w:t>и</w:t>
            </w:r>
            <w:r w:rsidRPr="00000AE3">
              <w:rPr>
                <w:rFonts w:eastAsia="Times New Roman" w:cs="Times New Roman"/>
                <w:spacing w:val="16"/>
                <w:szCs w:val="24"/>
                <w:lang w:val="ru-RU"/>
              </w:rPr>
              <w:t xml:space="preserve"> </w:t>
            </w:r>
            <w:r w:rsidRPr="00000AE3">
              <w:rPr>
                <w:rFonts w:eastAsia="Times New Roman" w:cs="Times New Roman"/>
                <w:szCs w:val="24"/>
                <w:lang w:val="ru-RU"/>
              </w:rPr>
              <w:t>основных</w:t>
            </w:r>
            <w:r w:rsidRPr="00000AE3">
              <w:rPr>
                <w:rFonts w:eastAsia="Times New Roman" w:cs="Times New Roman"/>
                <w:spacing w:val="17"/>
                <w:szCs w:val="24"/>
                <w:lang w:val="ru-RU"/>
              </w:rPr>
              <w:t xml:space="preserve"> </w:t>
            </w:r>
            <w:r w:rsidRPr="00000AE3">
              <w:rPr>
                <w:rFonts w:eastAsia="Times New Roman" w:cs="Times New Roman"/>
                <w:szCs w:val="24"/>
                <w:lang w:val="ru-RU"/>
              </w:rPr>
              <w:t>рез</w:t>
            </w:r>
            <w:r w:rsidRPr="00000AE3">
              <w:rPr>
                <w:rFonts w:eastAsia="Times New Roman" w:cs="Times New Roman"/>
                <w:spacing w:val="2"/>
                <w:szCs w:val="24"/>
                <w:lang w:val="ru-RU"/>
              </w:rPr>
              <w:t>у</w:t>
            </w:r>
            <w:r w:rsidRPr="00000AE3">
              <w:rPr>
                <w:rFonts w:eastAsia="Times New Roman" w:cs="Times New Roman"/>
                <w:szCs w:val="24"/>
                <w:lang w:val="ru-RU"/>
              </w:rPr>
              <w:t>льт</w:t>
            </w:r>
            <w:r w:rsidRPr="00000AE3">
              <w:rPr>
                <w:rFonts w:eastAsia="Times New Roman" w:cs="Times New Roman"/>
                <w:spacing w:val="1"/>
                <w:szCs w:val="24"/>
                <w:lang w:val="ru-RU"/>
              </w:rPr>
              <w:t>а</w:t>
            </w:r>
            <w:r w:rsidRPr="00D5338B">
              <w:rPr>
                <w:rFonts w:eastAsia="Times New Roman" w:cs="Times New Roman"/>
                <w:szCs w:val="24"/>
                <w:lang w:val="ru-RU"/>
              </w:rPr>
              <w:t>тов</w:t>
            </w:r>
          </w:p>
        </w:tc>
        <w:tc>
          <w:tcPr>
            <w:tcW w:w="6095" w:type="dxa"/>
            <w:tcBorders>
              <w:top w:val="single" w:sz="4" w:space="0" w:color="000000"/>
              <w:left w:val="single" w:sz="4" w:space="0" w:color="000000"/>
              <w:bottom w:val="single" w:sz="4" w:space="0" w:color="000000"/>
              <w:right w:val="single" w:sz="4" w:space="0" w:color="000000"/>
            </w:tcBorders>
          </w:tcPr>
          <w:p w14:paraId="09B9A5C3" w14:textId="011B1FFC" w:rsidR="006D311A" w:rsidRPr="006D311A" w:rsidRDefault="006D311A" w:rsidP="006D311A">
            <w:pPr>
              <w:ind w:left="130" w:right="147" w:firstLine="0"/>
              <w:contextualSpacing w:val="0"/>
              <w:rPr>
                <w:lang w:val="ru-RU"/>
              </w:rPr>
            </w:pPr>
            <w:r w:rsidRPr="006D311A">
              <w:rPr>
                <w:lang w:val="ru-RU"/>
              </w:rPr>
              <w:t>Основная цель исследования состоит в том, чтобы определить взаимосвязь между структурой оборотного капитала и результатами деятельности компании</w:t>
            </w:r>
            <w:r w:rsidRPr="006D311A">
              <w:rPr>
                <w:lang w:val="ru-RU"/>
              </w:rPr>
              <w:t xml:space="preserve"> </w:t>
            </w:r>
            <w:r>
              <w:rPr>
                <w:lang w:val="ru-RU"/>
              </w:rPr>
              <w:t>по итогам сделок слияний и поглощений</w:t>
            </w:r>
            <w:r w:rsidRPr="006D311A">
              <w:rPr>
                <w:lang w:val="ru-RU"/>
              </w:rPr>
              <w:t>.</w:t>
            </w:r>
          </w:p>
          <w:p w14:paraId="3218D0A7" w14:textId="0AA02B0E" w:rsidR="006D311A" w:rsidRPr="006D311A" w:rsidRDefault="006D311A" w:rsidP="006D311A">
            <w:pPr>
              <w:ind w:left="130" w:right="147" w:firstLine="0"/>
              <w:contextualSpacing w:val="0"/>
              <w:rPr>
                <w:lang w:val="ru-RU"/>
              </w:rPr>
            </w:pPr>
            <w:r>
              <w:rPr>
                <w:lang w:val="ru-RU"/>
              </w:rPr>
              <w:t>Задачами</w:t>
            </w:r>
            <w:r w:rsidRPr="006D311A">
              <w:rPr>
                <w:lang w:val="ru-RU"/>
              </w:rPr>
              <w:t xml:space="preserve"> данного исследования являются: определение основных характеристик оборотного капитала и управления оборотным капиталом фирм</w:t>
            </w:r>
            <w:r>
              <w:rPr>
                <w:lang w:val="ru-RU"/>
              </w:rPr>
              <w:t>ы</w:t>
            </w:r>
            <w:r w:rsidRPr="006D311A">
              <w:rPr>
                <w:lang w:val="ru-RU"/>
              </w:rPr>
              <w:t>; определ</w:t>
            </w:r>
            <w:r>
              <w:rPr>
                <w:lang w:val="ru-RU"/>
              </w:rPr>
              <w:t>ение</w:t>
            </w:r>
            <w:r w:rsidRPr="006D311A">
              <w:rPr>
                <w:lang w:val="ru-RU"/>
              </w:rPr>
              <w:t xml:space="preserve"> целевы</w:t>
            </w:r>
            <w:r>
              <w:rPr>
                <w:lang w:val="ru-RU"/>
              </w:rPr>
              <w:t>х</w:t>
            </w:r>
            <w:r w:rsidRPr="006D311A">
              <w:rPr>
                <w:lang w:val="ru-RU"/>
              </w:rPr>
              <w:t xml:space="preserve"> </w:t>
            </w:r>
            <w:r>
              <w:rPr>
                <w:lang w:val="ru-RU"/>
              </w:rPr>
              <w:t>показателей</w:t>
            </w:r>
            <w:r w:rsidRPr="006D311A">
              <w:rPr>
                <w:lang w:val="ru-RU"/>
              </w:rPr>
              <w:t xml:space="preserve"> оборотного капитала компани</w:t>
            </w:r>
            <w:r>
              <w:rPr>
                <w:lang w:val="ru-RU"/>
              </w:rPr>
              <w:t>и</w:t>
            </w:r>
            <w:r w:rsidRPr="006D311A">
              <w:rPr>
                <w:lang w:val="ru-RU"/>
              </w:rPr>
              <w:t xml:space="preserve"> как </w:t>
            </w:r>
            <w:r>
              <w:rPr>
                <w:lang w:val="ru-RU"/>
              </w:rPr>
              <w:t>базу</w:t>
            </w:r>
            <w:r w:rsidRPr="006D311A">
              <w:rPr>
                <w:lang w:val="ru-RU"/>
              </w:rPr>
              <w:t xml:space="preserve"> для дальнейших расчетов; определ</w:t>
            </w:r>
            <w:r>
              <w:rPr>
                <w:lang w:val="ru-RU"/>
              </w:rPr>
              <w:t>ение</w:t>
            </w:r>
            <w:r w:rsidRPr="006D311A">
              <w:rPr>
                <w:lang w:val="ru-RU"/>
              </w:rPr>
              <w:t xml:space="preserve"> ключевы</w:t>
            </w:r>
            <w:r>
              <w:rPr>
                <w:lang w:val="ru-RU"/>
              </w:rPr>
              <w:t>х</w:t>
            </w:r>
            <w:r w:rsidRPr="006D311A">
              <w:rPr>
                <w:lang w:val="ru-RU"/>
              </w:rPr>
              <w:t xml:space="preserve"> показател</w:t>
            </w:r>
            <w:r>
              <w:rPr>
                <w:lang w:val="ru-RU"/>
              </w:rPr>
              <w:t>ей</w:t>
            </w:r>
            <w:r w:rsidRPr="006D311A">
              <w:rPr>
                <w:lang w:val="ru-RU"/>
              </w:rPr>
              <w:t xml:space="preserve"> эффективности управления оборотным капиталом для компаний, которые будут отслеживаться для оценки взаимосвязи между управлением </w:t>
            </w:r>
            <w:r w:rsidR="001A7C79">
              <w:rPr>
                <w:lang w:val="ru-RU"/>
              </w:rPr>
              <w:t>оборотным капиталом</w:t>
            </w:r>
            <w:r w:rsidRPr="006D311A">
              <w:rPr>
                <w:lang w:val="ru-RU"/>
              </w:rPr>
              <w:t xml:space="preserve"> и </w:t>
            </w:r>
            <w:r w:rsidR="001A7C79">
              <w:rPr>
                <w:lang w:val="ru-RU"/>
              </w:rPr>
              <w:t>результативностью</w:t>
            </w:r>
            <w:r w:rsidRPr="006D311A">
              <w:rPr>
                <w:lang w:val="ru-RU"/>
              </w:rPr>
              <w:t xml:space="preserve"> по </w:t>
            </w:r>
            <w:r w:rsidR="001A7C79">
              <w:rPr>
                <w:lang w:val="ru-RU"/>
              </w:rPr>
              <w:t>итогам</w:t>
            </w:r>
            <w:r w:rsidRPr="006D311A">
              <w:rPr>
                <w:lang w:val="ru-RU"/>
              </w:rPr>
              <w:t xml:space="preserve"> сдел</w:t>
            </w:r>
            <w:r w:rsidR="001A7C79">
              <w:rPr>
                <w:lang w:val="ru-RU"/>
              </w:rPr>
              <w:t>ок</w:t>
            </w:r>
            <w:r w:rsidRPr="006D311A">
              <w:rPr>
                <w:lang w:val="ru-RU"/>
              </w:rPr>
              <w:t xml:space="preserve">; </w:t>
            </w:r>
            <w:r w:rsidR="001A7C79" w:rsidRPr="006D311A">
              <w:rPr>
                <w:lang w:val="ru-RU"/>
              </w:rPr>
              <w:t>разработ</w:t>
            </w:r>
            <w:r w:rsidR="001A7C79">
              <w:rPr>
                <w:lang w:val="ru-RU"/>
              </w:rPr>
              <w:t>ка</w:t>
            </w:r>
            <w:r w:rsidRPr="006D311A">
              <w:rPr>
                <w:lang w:val="ru-RU"/>
              </w:rPr>
              <w:t xml:space="preserve"> предложени</w:t>
            </w:r>
            <w:r w:rsidR="001A7C79">
              <w:rPr>
                <w:lang w:val="ru-RU"/>
              </w:rPr>
              <w:t>й</w:t>
            </w:r>
            <w:r w:rsidRPr="006D311A">
              <w:rPr>
                <w:lang w:val="ru-RU"/>
              </w:rPr>
              <w:t xml:space="preserve"> по управлению оборотным капиталом для компаний, участвующих в деятельности по слияниям и поглощениям.</w:t>
            </w:r>
          </w:p>
          <w:p w14:paraId="4AA70425" w14:textId="4516CC2E" w:rsidR="00F83847" w:rsidRPr="006D311A" w:rsidRDefault="006D311A" w:rsidP="006D311A">
            <w:pPr>
              <w:ind w:left="130" w:right="147" w:firstLine="0"/>
              <w:contextualSpacing w:val="0"/>
              <w:rPr>
                <w:lang w:val="ru-RU"/>
              </w:rPr>
            </w:pPr>
            <w:r w:rsidRPr="006D311A">
              <w:rPr>
                <w:lang w:val="ru-RU"/>
              </w:rPr>
              <w:t xml:space="preserve">Результаты работы </w:t>
            </w:r>
            <w:r w:rsidR="001A7C79" w:rsidRPr="006D311A">
              <w:rPr>
                <w:lang w:val="ru-RU"/>
              </w:rPr>
              <w:t>— это</w:t>
            </w:r>
            <w:r w:rsidRPr="006D311A">
              <w:rPr>
                <w:lang w:val="ru-RU"/>
              </w:rPr>
              <w:t xml:space="preserve"> четкое понимание взаимосвязи между структурой оборотного капитала и результатами деятельности компании при слияниях и поглощениях. В результате разработан и охарактеризован набор ключевых показателей, которые будут рассмотрены руководством, участвующим в сделках </w:t>
            </w:r>
            <w:r>
              <w:t>M</w:t>
            </w:r>
            <w:r w:rsidRPr="006D311A">
              <w:rPr>
                <w:lang w:val="ru-RU"/>
              </w:rPr>
              <w:t>&amp;</w:t>
            </w:r>
            <w:r>
              <w:t>A</w:t>
            </w:r>
            <w:r w:rsidRPr="006D311A">
              <w:rPr>
                <w:lang w:val="ru-RU"/>
              </w:rPr>
              <w:t>.</w:t>
            </w:r>
          </w:p>
        </w:tc>
      </w:tr>
      <w:tr w:rsidR="00393653" w:rsidRPr="00D31787" w14:paraId="59D1C47E" w14:textId="77777777" w:rsidTr="00F83847">
        <w:trPr>
          <w:trHeight w:val="353"/>
        </w:trPr>
        <w:tc>
          <w:tcPr>
            <w:tcW w:w="3153" w:type="dxa"/>
            <w:tcBorders>
              <w:top w:val="single" w:sz="4" w:space="0" w:color="000000"/>
              <w:left w:val="single" w:sz="4" w:space="0" w:color="000000"/>
              <w:bottom w:val="single" w:sz="4" w:space="0" w:color="000000"/>
              <w:right w:val="single" w:sz="4" w:space="0" w:color="000000"/>
            </w:tcBorders>
          </w:tcPr>
          <w:p w14:paraId="10C6A8C2" w14:textId="77777777" w:rsidR="00393653" w:rsidRPr="00000AE3" w:rsidRDefault="00393653" w:rsidP="00F83847">
            <w:pPr>
              <w:spacing w:after="0" w:line="240" w:lineRule="auto"/>
              <w:ind w:left="179" w:right="-20" w:firstLine="37"/>
              <w:jc w:val="left"/>
              <w:rPr>
                <w:rFonts w:eastAsia="Times New Roman" w:cs="Times New Roman"/>
                <w:szCs w:val="24"/>
              </w:rPr>
            </w:pPr>
            <w:proofErr w:type="spellStart"/>
            <w:r w:rsidRPr="00000AE3">
              <w:rPr>
                <w:rFonts w:eastAsia="Times New Roman" w:cs="Times New Roman"/>
                <w:szCs w:val="24"/>
              </w:rPr>
              <w:t>Ключевые</w:t>
            </w:r>
            <w:proofErr w:type="spellEnd"/>
            <w:r w:rsidRPr="00000AE3">
              <w:rPr>
                <w:rFonts w:eastAsia="Times New Roman" w:cs="Times New Roman"/>
                <w:spacing w:val="2"/>
                <w:szCs w:val="24"/>
              </w:rPr>
              <w:t xml:space="preserve"> </w:t>
            </w:r>
            <w:proofErr w:type="spellStart"/>
            <w:r w:rsidRPr="00000AE3">
              <w:rPr>
                <w:rFonts w:eastAsia="Times New Roman" w:cs="Times New Roman"/>
                <w:szCs w:val="24"/>
              </w:rPr>
              <w:t>слова</w:t>
            </w:r>
            <w:proofErr w:type="spellEnd"/>
          </w:p>
        </w:tc>
        <w:tc>
          <w:tcPr>
            <w:tcW w:w="6095" w:type="dxa"/>
            <w:tcBorders>
              <w:top w:val="single" w:sz="4" w:space="0" w:color="000000"/>
              <w:left w:val="single" w:sz="4" w:space="0" w:color="000000"/>
              <w:bottom w:val="single" w:sz="4" w:space="0" w:color="000000"/>
              <w:right w:val="single" w:sz="4" w:space="0" w:color="000000"/>
            </w:tcBorders>
          </w:tcPr>
          <w:p w14:paraId="3044C8A2" w14:textId="22C7CA4D" w:rsidR="00393653" w:rsidRPr="00D31787" w:rsidRDefault="00D31787" w:rsidP="00F83847">
            <w:pPr>
              <w:spacing w:after="0" w:line="240" w:lineRule="auto"/>
              <w:ind w:left="271" w:right="147" w:firstLine="0"/>
              <w:jc w:val="left"/>
              <w:rPr>
                <w:rFonts w:cs="Times New Roman"/>
                <w:szCs w:val="24"/>
                <w:lang w:val="ru-RU"/>
              </w:rPr>
            </w:pPr>
            <w:r>
              <w:rPr>
                <w:rFonts w:cs="Times New Roman"/>
                <w:szCs w:val="24"/>
                <w:lang w:val="ru-RU"/>
              </w:rPr>
              <w:t xml:space="preserve">Слияния и поглощения, оборотный капитал, результативность, </w:t>
            </w:r>
            <w:proofErr w:type="spellStart"/>
            <w:r>
              <w:rPr>
                <w:rFonts w:cs="Times New Roman"/>
                <w:szCs w:val="24"/>
                <w:lang w:val="ru-RU"/>
              </w:rPr>
              <w:t>Тобинс</w:t>
            </w:r>
            <w:proofErr w:type="spellEnd"/>
            <w:r>
              <w:rPr>
                <w:rFonts w:cs="Times New Roman"/>
                <w:szCs w:val="24"/>
                <w:lang w:val="ru-RU"/>
              </w:rPr>
              <w:t>-кью, дебиторская задолженность, кредиторская задолженность, запасы</w:t>
            </w:r>
          </w:p>
        </w:tc>
      </w:tr>
    </w:tbl>
    <w:p w14:paraId="4E5DA2F8" w14:textId="7E468FD5" w:rsidR="00393653" w:rsidRPr="00000AE3" w:rsidRDefault="00393653" w:rsidP="00393653">
      <w:pPr>
        <w:spacing w:before="120" w:line="240" w:lineRule="auto"/>
        <w:ind w:right="4195"/>
        <w:rPr>
          <w:rFonts w:eastAsia="Times New Roman" w:cs="Times New Roman"/>
          <w:szCs w:val="24"/>
        </w:rPr>
      </w:pPr>
      <w:r w:rsidRPr="00000AE3">
        <w:rPr>
          <w:rFonts w:eastAsia="Times New Roman" w:cs="Times New Roman"/>
          <w:b/>
          <w:bCs/>
          <w:szCs w:val="24"/>
        </w:rPr>
        <w:lastRenderedPageBreak/>
        <w:t>ABS</w:t>
      </w:r>
      <w:r w:rsidRPr="00000AE3">
        <w:rPr>
          <w:rFonts w:eastAsia="Times New Roman" w:cs="Times New Roman"/>
          <w:b/>
          <w:bCs/>
          <w:spacing w:val="1"/>
          <w:szCs w:val="24"/>
        </w:rPr>
        <w:t>T</w:t>
      </w:r>
      <w:r w:rsidRPr="00000AE3">
        <w:rPr>
          <w:rFonts w:eastAsia="Times New Roman" w:cs="Times New Roman"/>
          <w:b/>
          <w:bCs/>
          <w:szCs w:val="24"/>
        </w:rPr>
        <w:t>RACT</w:t>
      </w:r>
    </w:p>
    <w:tbl>
      <w:tblPr>
        <w:tblW w:w="9248" w:type="dxa"/>
        <w:tblInd w:w="103" w:type="dxa"/>
        <w:tblLayout w:type="fixed"/>
        <w:tblCellMar>
          <w:left w:w="0" w:type="dxa"/>
          <w:right w:w="0" w:type="dxa"/>
        </w:tblCellMar>
        <w:tblLook w:val="01E0" w:firstRow="1" w:lastRow="1" w:firstColumn="1" w:lastColumn="1" w:noHBand="0" w:noVBand="0"/>
      </w:tblPr>
      <w:tblGrid>
        <w:gridCol w:w="3153"/>
        <w:gridCol w:w="6095"/>
      </w:tblGrid>
      <w:tr w:rsidR="00393653" w:rsidRPr="00000AE3" w14:paraId="16E41A2F" w14:textId="77777777" w:rsidTr="006D311A">
        <w:trPr>
          <w:trHeight w:val="339"/>
        </w:trPr>
        <w:tc>
          <w:tcPr>
            <w:tcW w:w="3153" w:type="dxa"/>
            <w:tcBorders>
              <w:top w:val="single" w:sz="4" w:space="0" w:color="000000"/>
              <w:left w:val="single" w:sz="4" w:space="0" w:color="000000"/>
              <w:bottom w:val="single" w:sz="4" w:space="0" w:color="000000"/>
              <w:right w:val="single" w:sz="4" w:space="0" w:color="000000"/>
            </w:tcBorders>
          </w:tcPr>
          <w:p w14:paraId="7941E3B3" w14:textId="77777777" w:rsidR="00393653" w:rsidRPr="00000AE3" w:rsidRDefault="00393653" w:rsidP="006D311A">
            <w:pPr>
              <w:spacing w:after="0" w:line="240" w:lineRule="auto"/>
              <w:ind w:left="179" w:right="136" w:firstLine="0"/>
              <w:rPr>
                <w:rFonts w:eastAsia="Times New Roman" w:cs="Times New Roman"/>
                <w:szCs w:val="24"/>
              </w:rPr>
            </w:pPr>
            <w:r w:rsidRPr="00000AE3">
              <w:rPr>
                <w:rFonts w:eastAsia="Times New Roman" w:cs="Times New Roman"/>
                <w:szCs w:val="24"/>
              </w:rPr>
              <w:t>Master</w:t>
            </w:r>
            <w:r w:rsidRPr="00000AE3">
              <w:rPr>
                <w:rFonts w:eastAsia="Times New Roman" w:cs="Times New Roman"/>
                <w:spacing w:val="-6"/>
                <w:szCs w:val="24"/>
              </w:rPr>
              <w:t xml:space="preserve"> </w:t>
            </w:r>
            <w:r w:rsidRPr="00000AE3">
              <w:rPr>
                <w:rFonts w:eastAsia="Times New Roman" w:cs="Times New Roman"/>
                <w:szCs w:val="24"/>
              </w:rPr>
              <w:t>Student's</w:t>
            </w:r>
            <w:r w:rsidRPr="00000AE3">
              <w:rPr>
                <w:rFonts w:eastAsia="Times New Roman" w:cs="Times New Roman"/>
                <w:spacing w:val="-8"/>
                <w:szCs w:val="24"/>
              </w:rPr>
              <w:t xml:space="preserve"> </w:t>
            </w:r>
            <w:r w:rsidRPr="00000AE3">
              <w:rPr>
                <w:rFonts w:eastAsia="Times New Roman" w:cs="Times New Roman"/>
                <w:spacing w:val="1"/>
                <w:szCs w:val="24"/>
              </w:rPr>
              <w:t>Na</w:t>
            </w:r>
            <w:r w:rsidRPr="00000AE3">
              <w:rPr>
                <w:rFonts w:eastAsia="Times New Roman" w:cs="Times New Roman"/>
                <w:szCs w:val="24"/>
              </w:rPr>
              <w:t>me</w:t>
            </w:r>
          </w:p>
        </w:tc>
        <w:tc>
          <w:tcPr>
            <w:tcW w:w="6095" w:type="dxa"/>
            <w:tcBorders>
              <w:top w:val="single" w:sz="4" w:space="0" w:color="000000"/>
              <w:left w:val="single" w:sz="4" w:space="0" w:color="000000"/>
              <w:bottom w:val="single" w:sz="4" w:space="0" w:color="000000"/>
              <w:right w:val="single" w:sz="4" w:space="0" w:color="000000"/>
            </w:tcBorders>
          </w:tcPr>
          <w:p w14:paraId="6FC94189" w14:textId="26701F15" w:rsidR="00393653" w:rsidRPr="006D311A" w:rsidRDefault="006D311A" w:rsidP="006D311A">
            <w:pPr>
              <w:spacing w:after="0" w:line="240" w:lineRule="auto"/>
              <w:ind w:left="147" w:right="132" w:firstLine="0"/>
              <w:rPr>
                <w:rFonts w:cs="Times New Roman"/>
                <w:szCs w:val="24"/>
              </w:rPr>
            </w:pPr>
            <w:r>
              <w:rPr>
                <w:rFonts w:cs="Times New Roman"/>
                <w:szCs w:val="24"/>
              </w:rPr>
              <w:t xml:space="preserve">Maksim </w:t>
            </w:r>
            <w:proofErr w:type="spellStart"/>
            <w:r>
              <w:rPr>
                <w:rFonts w:cs="Times New Roman"/>
                <w:szCs w:val="24"/>
              </w:rPr>
              <w:t>Svidritskii</w:t>
            </w:r>
            <w:proofErr w:type="spellEnd"/>
          </w:p>
        </w:tc>
      </w:tr>
      <w:tr w:rsidR="00393653" w:rsidRPr="00000AE3" w14:paraId="3E18C928" w14:textId="77777777" w:rsidTr="006D311A">
        <w:trPr>
          <w:trHeight w:val="339"/>
        </w:trPr>
        <w:tc>
          <w:tcPr>
            <w:tcW w:w="3153" w:type="dxa"/>
            <w:tcBorders>
              <w:top w:val="single" w:sz="4" w:space="0" w:color="000000"/>
              <w:left w:val="single" w:sz="4" w:space="0" w:color="000000"/>
              <w:bottom w:val="single" w:sz="4" w:space="0" w:color="000000"/>
              <w:right w:val="single" w:sz="4" w:space="0" w:color="000000"/>
            </w:tcBorders>
          </w:tcPr>
          <w:p w14:paraId="47CD48D4" w14:textId="77777777" w:rsidR="00393653" w:rsidRPr="00000AE3" w:rsidRDefault="00393653" w:rsidP="006D311A">
            <w:pPr>
              <w:spacing w:after="0" w:line="240" w:lineRule="auto"/>
              <w:ind w:left="179" w:right="136" w:firstLine="0"/>
              <w:rPr>
                <w:rFonts w:eastAsia="Times New Roman" w:cs="Times New Roman"/>
                <w:szCs w:val="24"/>
              </w:rPr>
            </w:pPr>
            <w:r w:rsidRPr="00000AE3">
              <w:rPr>
                <w:rFonts w:eastAsia="Times New Roman" w:cs="Times New Roman"/>
                <w:szCs w:val="24"/>
              </w:rPr>
              <w:t>Master</w:t>
            </w:r>
            <w:r w:rsidRPr="00000AE3">
              <w:rPr>
                <w:rFonts w:eastAsia="Times New Roman" w:cs="Times New Roman"/>
                <w:spacing w:val="-6"/>
                <w:szCs w:val="24"/>
              </w:rPr>
              <w:t xml:space="preserve"> </w:t>
            </w:r>
            <w:r w:rsidRPr="00000AE3">
              <w:rPr>
                <w:rFonts w:eastAsia="Times New Roman" w:cs="Times New Roman"/>
                <w:szCs w:val="24"/>
              </w:rPr>
              <w:t>Thes</w:t>
            </w:r>
            <w:r w:rsidRPr="00000AE3">
              <w:rPr>
                <w:rFonts w:eastAsia="Times New Roman" w:cs="Times New Roman"/>
                <w:spacing w:val="1"/>
                <w:szCs w:val="24"/>
              </w:rPr>
              <w:t>i</w:t>
            </w:r>
            <w:r w:rsidRPr="00000AE3">
              <w:rPr>
                <w:rFonts w:eastAsia="Times New Roman" w:cs="Times New Roman"/>
                <w:szCs w:val="24"/>
              </w:rPr>
              <w:t>s</w:t>
            </w:r>
            <w:r w:rsidRPr="00000AE3">
              <w:rPr>
                <w:rFonts w:eastAsia="Times New Roman" w:cs="Times New Roman"/>
                <w:spacing w:val="-6"/>
                <w:szCs w:val="24"/>
              </w:rPr>
              <w:t xml:space="preserve"> </w:t>
            </w:r>
            <w:r w:rsidRPr="00000AE3">
              <w:rPr>
                <w:rFonts w:eastAsia="Times New Roman" w:cs="Times New Roman"/>
                <w:szCs w:val="24"/>
              </w:rPr>
              <w:t>Title</w:t>
            </w:r>
          </w:p>
        </w:tc>
        <w:tc>
          <w:tcPr>
            <w:tcW w:w="6095" w:type="dxa"/>
            <w:tcBorders>
              <w:top w:val="single" w:sz="4" w:space="0" w:color="000000"/>
              <w:left w:val="single" w:sz="4" w:space="0" w:color="000000"/>
              <w:bottom w:val="single" w:sz="4" w:space="0" w:color="000000"/>
              <w:right w:val="single" w:sz="4" w:space="0" w:color="000000"/>
            </w:tcBorders>
          </w:tcPr>
          <w:p w14:paraId="296FB8FF" w14:textId="59260E18" w:rsidR="00393653" w:rsidRPr="00000AE3" w:rsidRDefault="006D311A" w:rsidP="006D311A">
            <w:pPr>
              <w:spacing w:after="0" w:line="240" w:lineRule="auto"/>
              <w:ind w:left="147" w:right="132" w:firstLine="0"/>
              <w:rPr>
                <w:rFonts w:cs="Times New Roman"/>
                <w:szCs w:val="24"/>
              </w:rPr>
            </w:pPr>
            <w:r>
              <w:rPr>
                <w:rFonts w:cs="Times New Roman"/>
                <w:szCs w:val="24"/>
              </w:rPr>
              <w:t>Influence of Working Capital Structure on Company Performance in Mergers and Acquisitions</w:t>
            </w:r>
          </w:p>
        </w:tc>
      </w:tr>
      <w:tr w:rsidR="00393653" w:rsidRPr="00000AE3" w14:paraId="743C2139" w14:textId="77777777" w:rsidTr="006D311A">
        <w:trPr>
          <w:trHeight w:val="339"/>
        </w:trPr>
        <w:tc>
          <w:tcPr>
            <w:tcW w:w="3153" w:type="dxa"/>
            <w:tcBorders>
              <w:top w:val="single" w:sz="4" w:space="0" w:color="000000"/>
              <w:left w:val="single" w:sz="4" w:space="0" w:color="000000"/>
              <w:bottom w:val="single" w:sz="4" w:space="0" w:color="000000"/>
              <w:right w:val="single" w:sz="4" w:space="0" w:color="000000"/>
            </w:tcBorders>
          </w:tcPr>
          <w:p w14:paraId="57E9D80D" w14:textId="2A3D063F" w:rsidR="00393653" w:rsidRPr="003A4B2F" w:rsidRDefault="006D311A" w:rsidP="006D311A">
            <w:pPr>
              <w:spacing w:after="0" w:line="240" w:lineRule="auto"/>
              <w:ind w:left="179" w:right="136" w:firstLine="0"/>
              <w:rPr>
                <w:rFonts w:eastAsia="Times New Roman" w:cs="Times New Roman"/>
                <w:szCs w:val="24"/>
              </w:rPr>
            </w:pPr>
            <w:r>
              <w:rPr>
                <w:rFonts w:eastAsia="Times New Roman" w:cs="Times New Roman"/>
                <w:szCs w:val="24"/>
              </w:rPr>
              <w:t>Faculty</w:t>
            </w:r>
          </w:p>
        </w:tc>
        <w:tc>
          <w:tcPr>
            <w:tcW w:w="6095" w:type="dxa"/>
            <w:tcBorders>
              <w:top w:val="single" w:sz="4" w:space="0" w:color="000000"/>
              <w:left w:val="single" w:sz="4" w:space="0" w:color="000000"/>
              <w:bottom w:val="single" w:sz="4" w:space="0" w:color="000000"/>
              <w:right w:val="single" w:sz="4" w:space="0" w:color="000000"/>
            </w:tcBorders>
          </w:tcPr>
          <w:p w14:paraId="4112405E" w14:textId="721536F9" w:rsidR="00393653" w:rsidRPr="00000AE3" w:rsidRDefault="006D311A" w:rsidP="006D311A">
            <w:pPr>
              <w:spacing w:after="0" w:line="240" w:lineRule="auto"/>
              <w:ind w:left="147" w:right="132" w:firstLine="0"/>
              <w:rPr>
                <w:rFonts w:cs="Times New Roman"/>
                <w:szCs w:val="24"/>
              </w:rPr>
            </w:pPr>
            <w:r>
              <w:rPr>
                <w:rFonts w:cs="Times New Roman"/>
                <w:szCs w:val="24"/>
              </w:rPr>
              <w:t>Graduate School of Management</w:t>
            </w:r>
          </w:p>
        </w:tc>
      </w:tr>
      <w:tr w:rsidR="00393653" w:rsidRPr="00000AE3" w14:paraId="00A7FB79" w14:textId="77777777" w:rsidTr="006D311A">
        <w:trPr>
          <w:trHeight w:val="339"/>
        </w:trPr>
        <w:tc>
          <w:tcPr>
            <w:tcW w:w="3153" w:type="dxa"/>
            <w:tcBorders>
              <w:top w:val="single" w:sz="4" w:space="0" w:color="000000"/>
              <w:left w:val="single" w:sz="4" w:space="0" w:color="000000"/>
              <w:bottom w:val="single" w:sz="4" w:space="0" w:color="000000"/>
              <w:right w:val="single" w:sz="4" w:space="0" w:color="000000"/>
            </w:tcBorders>
          </w:tcPr>
          <w:p w14:paraId="41D3880F" w14:textId="77777777" w:rsidR="00393653" w:rsidRPr="00000AE3" w:rsidRDefault="00393653" w:rsidP="006D311A">
            <w:pPr>
              <w:spacing w:after="0" w:line="240" w:lineRule="auto"/>
              <w:ind w:left="179" w:right="136" w:firstLine="0"/>
              <w:rPr>
                <w:rFonts w:eastAsia="Times New Roman" w:cs="Times New Roman"/>
                <w:szCs w:val="24"/>
              </w:rPr>
            </w:pPr>
            <w:r w:rsidRPr="00000AE3">
              <w:rPr>
                <w:rFonts w:eastAsia="Times New Roman" w:cs="Times New Roman"/>
                <w:szCs w:val="24"/>
              </w:rPr>
              <w:t>Main</w:t>
            </w:r>
            <w:r w:rsidRPr="00000AE3">
              <w:rPr>
                <w:rFonts w:eastAsia="Times New Roman" w:cs="Times New Roman"/>
                <w:spacing w:val="-5"/>
                <w:szCs w:val="24"/>
              </w:rPr>
              <w:t xml:space="preserve"> </w:t>
            </w:r>
            <w:r w:rsidRPr="00000AE3">
              <w:rPr>
                <w:rFonts w:eastAsia="Times New Roman" w:cs="Times New Roman"/>
                <w:szCs w:val="24"/>
              </w:rPr>
              <w:t>field</w:t>
            </w:r>
            <w:r w:rsidRPr="00000AE3">
              <w:rPr>
                <w:rFonts w:eastAsia="Times New Roman" w:cs="Times New Roman"/>
                <w:spacing w:val="-3"/>
                <w:szCs w:val="24"/>
              </w:rPr>
              <w:t xml:space="preserve"> </w:t>
            </w:r>
            <w:r w:rsidRPr="00000AE3">
              <w:rPr>
                <w:rFonts w:eastAsia="Times New Roman" w:cs="Times New Roman"/>
                <w:szCs w:val="24"/>
              </w:rPr>
              <w:t>of</w:t>
            </w:r>
            <w:r w:rsidRPr="00000AE3">
              <w:rPr>
                <w:rFonts w:eastAsia="Times New Roman" w:cs="Times New Roman"/>
                <w:spacing w:val="-3"/>
                <w:szCs w:val="24"/>
              </w:rPr>
              <w:t xml:space="preserve"> </w:t>
            </w:r>
            <w:r w:rsidRPr="00000AE3">
              <w:rPr>
                <w:rFonts w:eastAsia="Times New Roman" w:cs="Times New Roman"/>
                <w:szCs w:val="24"/>
              </w:rPr>
              <w:t>stu</w:t>
            </w:r>
            <w:r w:rsidRPr="00000AE3">
              <w:rPr>
                <w:rFonts w:eastAsia="Times New Roman" w:cs="Times New Roman"/>
                <w:spacing w:val="-1"/>
                <w:szCs w:val="24"/>
              </w:rPr>
              <w:t>d</w:t>
            </w:r>
            <w:r w:rsidRPr="00000AE3">
              <w:rPr>
                <w:rFonts w:eastAsia="Times New Roman" w:cs="Times New Roman"/>
                <w:szCs w:val="24"/>
              </w:rPr>
              <w:t>y</w:t>
            </w:r>
          </w:p>
        </w:tc>
        <w:tc>
          <w:tcPr>
            <w:tcW w:w="6095" w:type="dxa"/>
            <w:tcBorders>
              <w:top w:val="single" w:sz="4" w:space="0" w:color="000000"/>
              <w:left w:val="single" w:sz="4" w:space="0" w:color="000000"/>
              <w:bottom w:val="single" w:sz="4" w:space="0" w:color="000000"/>
              <w:right w:val="single" w:sz="4" w:space="0" w:color="000000"/>
            </w:tcBorders>
          </w:tcPr>
          <w:p w14:paraId="6B178721" w14:textId="41858C1B" w:rsidR="00393653" w:rsidRPr="00000AE3" w:rsidRDefault="006D311A" w:rsidP="006D311A">
            <w:pPr>
              <w:spacing w:after="0" w:line="240" w:lineRule="auto"/>
              <w:ind w:left="147" w:right="132" w:firstLine="0"/>
              <w:rPr>
                <w:rFonts w:cs="Times New Roman"/>
                <w:szCs w:val="24"/>
              </w:rPr>
            </w:pPr>
            <w:r>
              <w:rPr>
                <w:rFonts w:cs="Times New Roman"/>
                <w:szCs w:val="24"/>
              </w:rPr>
              <w:t>Corporate Finance</w:t>
            </w:r>
          </w:p>
        </w:tc>
      </w:tr>
      <w:tr w:rsidR="00393653" w:rsidRPr="00000AE3" w14:paraId="46CB4C5C" w14:textId="77777777" w:rsidTr="006D311A">
        <w:trPr>
          <w:trHeight w:val="339"/>
        </w:trPr>
        <w:tc>
          <w:tcPr>
            <w:tcW w:w="3153" w:type="dxa"/>
            <w:tcBorders>
              <w:top w:val="single" w:sz="4" w:space="0" w:color="000000"/>
              <w:left w:val="single" w:sz="4" w:space="0" w:color="000000"/>
              <w:bottom w:val="single" w:sz="4" w:space="0" w:color="000000"/>
              <w:right w:val="single" w:sz="4" w:space="0" w:color="000000"/>
            </w:tcBorders>
          </w:tcPr>
          <w:p w14:paraId="4766F572" w14:textId="77777777" w:rsidR="00393653" w:rsidRPr="00000AE3" w:rsidRDefault="00393653" w:rsidP="006D311A">
            <w:pPr>
              <w:spacing w:after="0" w:line="240" w:lineRule="auto"/>
              <w:ind w:left="179" w:right="136" w:firstLine="0"/>
              <w:rPr>
                <w:rFonts w:eastAsia="Times New Roman" w:cs="Times New Roman"/>
                <w:szCs w:val="24"/>
              </w:rPr>
            </w:pPr>
            <w:r w:rsidRPr="00000AE3">
              <w:rPr>
                <w:rFonts w:eastAsia="Times New Roman" w:cs="Times New Roman"/>
                <w:szCs w:val="24"/>
              </w:rPr>
              <w:t>Year</w:t>
            </w:r>
          </w:p>
        </w:tc>
        <w:tc>
          <w:tcPr>
            <w:tcW w:w="6095" w:type="dxa"/>
            <w:tcBorders>
              <w:top w:val="single" w:sz="4" w:space="0" w:color="000000"/>
              <w:left w:val="single" w:sz="4" w:space="0" w:color="000000"/>
              <w:bottom w:val="single" w:sz="4" w:space="0" w:color="000000"/>
              <w:right w:val="single" w:sz="4" w:space="0" w:color="000000"/>
            </w:tcBorders>
          </w:tcPr>
          <w:p w14:paraId="53E301DD" w14:textId="091C381C" w:rsidR="00393653" w:rsidRPr="00000AE3" w:rsidRDefault="006D311A" w:rsidP="006D311A">
            <w:pPr>
              <w:spacing w:after="0" w:line="240" w:lineRule="auto"/>
              <w:ind w:left="147" w:right="132" w:firstLine="0"/>
              <w:rPr>
                <w:rFonts w:cs="Times New Roman"/>
                <w:szCs w:val="24"/>
              </w:rPr>
            </w:pPr>
            <w:r>
              <w:rPr>
                <w:rFonts w:cs="Times New Roman"/>
                <w:szCs w:val="24"/>
              </w:rPr>
              <w:t>2018</w:t>
            </w:r>
          </w:p>
        </w:tc>
      </w:tr>
      <w:tr w:rsidR="00393653" w:rsidRPr="00000AE3" w14:paraId="3A263D81" w14:textId="77777777" w:rsidTr="006D311A">
        <w:trPr>
          <w:trHeight w:val="339"/>
        </w:trPr>
        <w:tc>
          <w:tcPr>
            <w:tcW w:w="3153" w:type="dxa"/>
            <w:tcBorders>
              <w:top w:val="single" w:sz="4" w:space="0" w:color="000000"/>
              <w:left w:val="single" w:sz="4" w:space="0" w:color="000000"/>
              <w:bottom w:val="single" w:sz="4" w:space="0" w:color="000000"/>
              <w:right w:val="single" w:sz="4" w:space="0" w:color="000000"/>
            </w:tcBorders>
          </w:tcPr>
          <w:p w14:paraId="003D2D6F" w14:textId="77777777" w:rsidR="00393653" w:rsidRPr="00000AE3" w:rsidRDefault="00393653" w:rsidP="006D311A">
            <w:pPr>
              <w:spacing w:after="0" w:line="240" w:lineRule="auto"/>
              <w:ind w:left="179" w:right="136" w:firstLine="0"/>
              <w:rPr>
                <w:rFonts w:eastAsia="Times New Roman" w:cs="Times New Roman"/>
                <w:szCs w:val="24"/>
              </w:rPr>
            </w:pPr>
            <w:r w:rsidRPr="00000AE3">
              <w:rPr>
                <w:rFonts w:eastAsia="Times New Roman" w:cs="Times New Roman"/>
                <w:szCs w:val="24"/>
              </w:rPr>
              <w:t>Acad</w:t>
            </w:r>
            <w:r w:rsidRPr="00000AE3">
              <w:rPr>
                <w:rFonts w:eastAsia="Times New Roman" w:cs="Times New Roman"/>
                <w:spacing w:val="1"/>
                <w:szCs w:val="24"/>
              </w:rPr>
              <w:t>e</w:t>
            </w:r>
            <w:r w:rsidRPr="00000AE3">
              <w:rPr>
                <w:rFonts w:eastAsia="Times New Roman" w:cs="Times New Roman"/>
                <w:szCs w:val="24"/>
              </w:rPr>
              <w:t>mic</w:t>
            </w:r>
            <w:r w:rsidRPr="00000AE3">
              <w:rPr>
                <w:rFonts w:eastAsia="Times New Roman" w:cs="Times New Roman"/>
                <w:spacing w:val="-9"/>
                <w:szCs w:val="24"/>
              </w:rPr>
              <w:t xml:space="preserve"> </w:t>
            </w:r>
            <w:r w:rsidRPr="00000AE3">
              <w:rPr>
                <w:rFonts w:eastAsia="Times New Roman" w:cs="Times New Roman"/>
                <w:szCs w:val="24"/>
              </w:rPr>
              <w:t>A</w:t>
            </w:r>
            <w:r w:rsidRPr="00000AE3">
              <w:rPr>
                <w:rFonts w:eastAsia="Times New Roman" w:cs="Times New Roman"/>
                <w:spacing w:val="2"/>
                <w:szCs w:val="24"/>
              </w:rPr>
              <w:t>d</w:t>
            </w:r>
            <w:r w:rsidRPr="00000AE3">
              <w:rPr>
                <w:rFonts w:eastAsia="Times New Roman" w:cs="Times New Roman"/>
                <w:szCs w:val="24"/>
              </w:rPr>
              <w:t>visor</w:t>
            </w:r>
            <w:r w:rsidRPr="00000AE3">
              <w:rPr>
                <w:rFonts w:eastAsia="Times New Roman" w:cs="Times New Roman"/>
                <w:spacing w:val="1"/>
                <w:szCs w:val="24"/>
              </w:rPr>
              <w:t>’</w:t>
            </w:r>
            <w:r w:rsidRPr="00000AE3">
              <w:rPr>
                <w:rFonts w:eastAsia="Times New Roman" w:cs="Times New Roman"/>
                <w:szCs w:val="24"/>
              </w:rPr>
              <w:t>s</w:t>
            </w:r>
            <w:r w:rsidRPr="00000AE3">
              <w:rPr>
                <w:rFonts w:eastAsia="Times New Roman" w:cs="Times New Roman"/>
                <w:spacing w:val="-9"/>
                <w:szCs w:val="24"/>
              </w:rPr>
              <w:t xml:space="preserve"> </w:t>
            </w:r>
            <w:r w:rsidRPr="00000AE3">
              <w:rPr>
                <w:rFonts w:eastAsia="Times New Roman" w:cs="Times New Roman"/>
                <w:szCs w:val="24"/>
              </w:rPr>
              <w:t>Name</w:t>
            </w:r>
          </w:p>
        </w:tc>
        <w:tc>
          <w:tcPr>
            <w:tcW w:w="6095" w:type="dxa"/>
            <w:tcBorders>
              <w:top w:val="single" w:sz="4" w:space="0" w:color="000000"/>
              <w:left w:val="single" w:sz="4" w:space="0" w:color="000000"/>
              <w:bottom w:val="single" w:sz="4" w:space="0" w:color="000000"/>
              <w:right w:val="single" w:sz="4" w:space="0" w:color="000000"/>
            </w:tcBorders>
          </w:tcPr>
          <w:p w14:paraId="46049DCB" w14:textId="0CB8E84B" w:rsidR="00393653" w:rsidRPr="00000AE3" w:rsidRDefault="006D311A" w:rsidP="006D311A">
            <w:pPr>
              <w:spacing w:after="0" w:line="240" w:lineRule="auto"/>
              <w:ind w:left="147" w:right="132" w:firstLine="0"/>
              <w:rPr>
                <w:rFonts w:cs="Times New Roman"/>
                <w:szCs w:val="24"/>
              </w:rPr>
            </w:pPr>
            <w:r>
              <w:rPr>
                <w:rFonts w:cs="Times New Roman"/>
                <w:szCs w:val="24"/>
              </w:rPr>
              <w:t xml:space="preserve">Senior Lecturer, </w:t>
            </w:r>
            <w:proofErr w:type="spellStart"/>
            <w:r>
              <w:rPr>
                <w:rFonts w:cs="Times New Roman"/>
                <w:szCs w:val="24"/>
              </w:rPr>
              <w:t>Egor</w:t>
            </w:r>
            <w:proofErr w:type="spellEnd"/>
            <w:r>
              <w:rPr>
                <w:rFonts w:cs="Times New Roman"/>
                <w:szCs w:val="24"/>
              </w:rPr>
              <w:t xml:space="preserve"> D. </w:t>
            </w:r>
            <w:proofErr w:type="spellStart"/>
            <w:r>
              <w:rPr>
                <w:rFonts w:cs="Times New Roman"/>
                <w:szCs w:val="24"/>
              </w:rPr>
              <w:t>Nikulin</w:t>
            </w:r>
            <w:proofErr w:type="spellEnd"/>
          </w:p>
        </w:tc>
      </w:tr>
      <w:tr w:rsidR="006D311A" w:rsidRPr="00000AE3" w14:paraId="78CBF14E" w14:textId="77777777" w:rsidTr="006D311A">
        <w:trPr>
          <w:trHeight w:val="339"/>
        </w:trPr>
        <w:tc>
          <w:tcPr>
            <w:tcW w:w="3153" w:type="dxa"/>
            <w:tcBorders>
              <w:top w:val="single" w:sz="4" w:space="0" w:color="000000"/>
              <w:left w:val="single" w:sz="4" w:space="0" w:color="000000"/>
              <w:bottom w:val="single" w:sz="4" w:space="0" w:color="000000"/>
              <w:right w:val="single" w:sz="4" w:space="0" w:color="000000"/>
            </w:tcBorders>
          </w:tcPr>
          <w:p w14:paraId="68124E09" w14:textId="77777777" w:rsidR="006D311A" w:rsidRPr="00000AE3" w:rsidRDefault="006D311A" w:rsidP="006D311A">
            <w:pPr>
              <w:spacing w:after="0" w:line="240" w:lineRule="auto"/>
              <w:ind w:left="179" w:right="136" w:firstLine="0"/>
              <w:rPr>
                <w:rFonts w:eastAsia="Times New Roman" w:cs="Times New Roman"/>
                <w:szCs w:val="24"/>
              </w:rPr>
            </w:pPr>
            <w:r w:rsidRPr="00000AE3">
              <w:rPr>
                <w:rFonts w:eastAsia="Times New Roman" w:cs="Times New Roman"/>
                <w:szCs w:val="24"/>
              </w:rPr>
              <w:t>Des</w:t>
            </w:r>
            <w:r w:rsidRPr="00000AE3">
              <w:rPr>
                <w:rFonts w:eastAsia="Times New Roman" w:cs="Times New Roman"/>
                <w:spacing w:val="1"/>
                <w:szCs w:val="24"/>
              </w:rPr>
              <w:t>c</w:t>
            </w:r>
            <w:r w:rsidRPr="00000AE3">
              <w:rPr>
                <w:rFonts w:eastAsia="Times New Roman" w:cs="Times New Roman"/>
                <w:szCs w:val="24"/>
              </w:rPr>
              <w:t>ription</w:t>
            </w:r>
            <w:r w:rsidRPr="00000AE3">
              <w:rPr>
                <w:rFonts w:eastAsia="Times New Roman" w:cs="Times New Roman"/>
                <w:spacing w:val="-10"/>
                <w:szCs w:val="24"/>
              </w:rPr>
              <w:t xml:space="preserve"> </w:t>
            </w:r>
            <w:r w:rsidRPr="00000AE3">
              <w:rPr>
                <w:rFonts w:eastAsia="Times New Roman" w:cs="Times New Roman"/>
                <w:szCs w:val="24"/>
              </w:rPr>
              <w:t>of</w:t>
            </w:r>
            <w:r w:rsidRPr="00000AE3">
              <w:rPr>
                <w:rFonts w:eastAsia="Times New Roman" w:cs="Times New Roman"/>
                <w:spacing w:val="-2"/>
                <w:szCs w:val="24"/>
              </w:rPr>
              <w:t xml:space="preserve"> </w:t>
            </w:r>
            <w:r w:rsidRPr="00000AE3">
              <w:rPr>
                <w:rFonts w:eastAsia="Times New Roman" w:cs="Times New Roman"/>
                <w:szCs w:val="24"/>
              </w:rPr>
              <w:t>the</w:t>
            </w:r>
            <w:r w:rsidRPr="00000AE3">
              <w:rPr>
                <w:rFonts w:eastAsia="Times New Roman" w:cs="Times New Roman"/>
                <w:spacing w:val="-3"/>
                <w:szCs w:val="24"/>
              </w:rPr>
              <w:t xml:space="preserve"> </w:t>
            </w:r>
            <w:r w:rsidRPr="00000AE3">
              <w:rPr>
                <w:rFonts w:eastAsia="Times New Roman" w:cs="Times New Roman"/>
                <w:szCs w:val="24"/>
              </w:rPr>
              <w:t>goal,</w:t>
            </w:r>
            <w:r w:rsidRPr="00000AE3">
              <w:rPr>
                <w:rFonts w:eastAsia="Times New Roman" w:cs="Times New Roman"/>
                <w:spacing w:val="-4"/>
                <w:szCs w:val="24"/>
              </w:rPr>
              <w:t xml:space="preserve"> </w:t>
            </w:r>
            <w:r w:rsidRPr="00000AE3">
              <w:rPr>
                <w:rFonts w:eastAsia="Times New Roman" w:cs="Times New Roman"/>
                <w:szCs w:val="24"/>
              </w:rPr>
              <w:t>tasks</w:t>
            </w:r>
            <w:r w:rsidRPr="00000AE3">
              <w:rPr>
                <w:rFonts w:eastAsia="Times New Roman" w:cs="Times New Roman"/>
                <w:spacing w:val="-4"/>
                <w:szCs w:val="24"/>
              </w:rPr>
              <w:t xml:space="preserve"> </w:t>
            </w:r>
            <w:r w:rsidRPr="00000AE3">
              <w:rPr>
                <w:rFonts w:eastAsia="Times New Roman" w:cs="Times New Roman"/>
                <w:szCs w:val="24"/>
              </w:rPr>
              <w:t>and</w:t>
            </w:r>
            <w:r w:rsidRPr="00000AE3">
              <w:rPr>
                <w:rFonts w:eastAsia="Times New Roman" w:cs="Times New Roman"/>
                <w:spacing w:val="-3"/>
                <w:szCs w:val="24"/>
              </w:rPr>
              <w:t xml:space="preserve"> </w:t>
            </w:r>
            <w:r w:rsidRPr="00000AE3">
              <w:rPr>
                <w:rFonts w:eastAsia="Times New Roman" w:cs="Times New Roman"/>
                <w:spacing w:val="-2"/>
                <w:szCs w:val="24"/>
              </w:rPr>
              <w:t>m</w:t>
            </w:r>
            <w:r w:rsidRPr="00000AE3">
              <w:rPr>
                <w:rFonts w:eastAsia="Times New Roman" w:cs="Times New Roman"/>
                <w:szCs w:val="24"/>
              </w:rPr>
              <w:t>ain</w:t>
            </w:r>
            <w:r w:rsidRPr="00000AE3">
              <w:rPr>
                <w:rFonts w:eastAsia="Times New Roman" w:cs="Times New Roman"/>
                <w:spacing w:val="-4"/>
                <w:szCs w:val="24"/>
              </w:rPr>
              <w:t xml:space="preserve"> </w:t>
            </w:r>
            <w:r w:rsidRPr="00000AE3">
              <w:rPr>
                <w:rFonts w:eastAsia="Times New Roman" w:cs="Times New Roman"/>
                <w:spacing w:val="1"/>
                <w:szCs w:val="24"/>
              </w:rPr>
              <w:t>r</w:t>
            </w:r>
            <w:r w:rsidRPr="00000AE3">
              <w:rPr>
                <w:rFonts w:eastAsia="Times New Roman" w:cs="Times New Roman"/>
                <w:szCs w:val="24"/>
              </w:rPr>
              <w:t>esults</w:t>
            </w:r>
          </w:p>
        </w:tc>
        <w:tc>
          <w:tcPr>
            <w:tcW w:w="6095" w:type="dxa"/>
            <w:tcBorders>
              <w:top w:val="single" w:sz="4" w:space="0" w:color="000000"/>
              <w:left w:val="single" w:sz="4" w:space="0" w:color="000000"/>
              <w:bottom w:val="single" w:sz="4" w:space="0" w:color="000000"/>
              <w:right w:val="single" w:sz="4" w:space="0" w:color="000000"/>
            </w:tcBorders>
          </w:tcPr>
          <w:p w14:paraId="04DEB4EA" w14:textId="77777777" w:rsidR="006D311A" w:rsidRDefault="006D311A" w:rsidP="006D311A">
            <w:pPr>
              <w:ind w:left="147" w:right="147" w:firstLine="0"/>
              <w:contextualSpacing w:val="0"/>
            </w:pPr>
            <w:r w:rsidRPr="00996C9C">
              <w:t>The main research goal of the paper is to identify the relationship between working capital structure and after deal company performance.</w:t>
            </w:r>
          </w:p>
          <w:p w14:paraId="6ECF24CF" w14:textId="77777777" w:rsidR="006D311A" w:rsidRDefault="006D311A" w:rsidP="006D311A">
            <w:pPr>
              <w:ind w:left="147" w:right="147" w:firstLine="0"/>
              <w:contextualSpacing w:val="0"/>
            </w:pPr>
            <w:r>
              <w:t>Objectives of this research are: identify the main features of working capital and working capital management of the firms; identify the target working capital ratios of companies as a proxy for the further calculations; identify key performance indicators of working capital management for companies to be tracked to assess the relationship between WC management and after-deal performance; develop suggestions on working capital management for companies involved into mergers and acquisitions activities.</w:t>
            </w:r>
          </w:p>
          <w:p w14:paraId="214896BF" w14:textId="6A6B2967" w:rsidR="006D311A" w:rsidRPr="00000AE3" w:rsidRDefault="006D311A" w:rsidP="006D311A">
            <w:pPr>
              <w:spacing w:after="0"/>
              <w:ind w:left="147" w:right="147" w:firstLine="0"/>
              <w:rPr>
                <w:rFonts w:cs="Times New Roman"/>
                <w:szCs w:val="24"/>
              </w:rPr>
            </w:pPr>
            <w:r>
              <w:t>The result of the paper is a clear understanding of the relationship between the working capital structure and company performance in mergers and acquisitions. As a result, the set of key indicators to be considered by the management engaging into the M&amp;A deals is developed and characterized.</w:t>
            </w:r>
          </w:p>
        </w:tc>
      </w:tr>
      <w:tr w:rsidR="006D311A" w:rsidRPr="00000AE3" w14:paraId="03927F97" w14:textId="77777777" w:rsidTr="006D311A">
        <w:trPr>
          <w:trHeight w:val="339"/>
        </w:trPr>
        <w:tc>
          <w:tcPr>
            <w:tcW w:w="3153" w:type="dxa"/>
            <w:tcBorders>
              <w:top w:val="single" w:sz="4" w:space="0" w:color="000000"/>
              <w:left w:val="single" w:sz="4" w:space="0" w:color="000000"/>
              <w:bottom w:val="single" w:sz="4" w:space="0" w:color="000000"/>
              <w:right w:val="single" w:sz="4" w:space="0" w:color="000000"/>
            </w:tcBorders>
          </w:tcPr>
          <w:p w14:paraId="42F527F6" w14:textId="77777777" w:rsidR="006D311A" w:rsidRPr="00000AE3" w:rsidRDefault="006D311A" w:rsidP="006D311A">
            <w:pPr>
              <w:spacing w:after="0" w:line="240" w:lineRule="auto"/>
              <w:ind w:left="179" w:right="136" w:firstLine="0"/>
              <w:rPr>
                <w:rFonts w:eastAsia="Times New Roman" w:cs="Times New Roman"/>
                <w:szCs w:val="24"/>
              </w:rPr>
            </w:pPr>
            <w:r w:rsidRPr="00000AE3">
              <w:rPr>
                <w:rFonts w:eastAsia="Times New Roman" w:cs="Times New Roman"/>
                <w:szCs w:val="24"/>
              </w:rPr>
              <w:t>Ke</w:t>
            </w:r>
            <w:r w:rsidRPr="00000AE3">
              <w:rPr>
                <w:rFonts w:eastAsia="Times New Roman" w:cs="Times New Roman"/>
                <w:spacing w:val="2"/>
                <w:szCs w:val="24"/>
              </w:rPr>
              <w:t>y</w:t>
            </w:r>
            <w:r w:rsidRPr="00000AE3">
              <w:rPr>
                <w:rFonts w:eastAsia="Times New Roman" w:cs="Times New Roman"/>
                <w:szCs w:val="24"/>
              </w:rPr>
              <w:t>words</w:t>
            </w:r>
          </w:p>
        </w:tc>
        <w:tc>
          <w:tcPr>
            <w:tcW w:w="6095" w:type="dxa"/>
            <w:tcBorders>
              <w:top w:val="single" w:sz="4" w:space="0" w:color="000000"/>
              <w:left w:val="single" w:sz="4" w:space="0" w:color="000000"/>
              <w:bottom w:val="single" w:sz="4" w:space="0" w:color="000000"/>
              <w:right w:val="single" w:sz="4" w:space="0" w:color="000000"/>
            </w:tcBorders>
          </w:tcPr>
          <w:p w14:paraId="520ACE20" w14:textId="2A8DE2D1" w:rsidR="006D311A" w:rsidRPr="00000AE3" w:rsidRDefault="006D311A" w:rsidP="006D311A">
            <w:pPr>
              <w:spacing w:after="0" w:line="240" w:lineRule="auto"/>
              <w:ind w:left="147" w:right="132" w:firstLine="0"/>
              <w:rPr>
                <w:rFonts w:cs="Times New Roman"/>
                <w:szCs w:val="24"/>
              </w:rPr>
            </w:pPr>
            <w:r>
              <w:rPr>
                <w:rFonts w:cs="Times New Roman"/>
                <w:szCs w:val="24"/>
              </w:rPr>
              <w:t>Mergers and Acquisitions, working capital, performance, Tobin’s Q, accounts receivable, inventories, accounts payable</w:t>
            </w:r>
          </w:p>
        </w:tc>
      </w:tr>
    </w:tbl>
    <w:p w14:paraId="26356ECB" w14:textId="77777777" w:rsidR="00393653" w:rsidRDefault="00393653" w:rsidP="00393653"/>
    <w:p w14:paraId="34B4E8AC" w14:textId="5047D809" w:rsidR="00393653" w:rsidRDefault="00393653">
      <w:pPr>
        <w:spacing w:after="160" w:line="259" w:lineRule="auto"/>
        <w:ind w:firstLine="0"/>
        <w:contextualSpacing w:val="0"/>
        <w:jc w:val="left"/>
      </w:pPr>
      <w:r>
        <w:br w:type="page"/>
      </w:r>
    </w:p>
    <w:sdt>
      <w:sdtPr>
        <w:rPr>
          <w:rFonts w:ascii="Times New Roman" w:eastAsiaTheme="minorHAnsi" w:hAnsi="Times New Roman" w:cstheme="minorBidi"/>
          <w:color w:val="auto"/>
          <w:sz w:val="24"/>
          <w:szCs w:val="22"/>
        </w:rPr>
        <w:id w:val="783153796"/>
        <w:docPartObj>
          <w:docPartGallery w:val="Table of Contents"/>
          <w:docPartUnique/>
        </w:docPartObj>
      </w:sdtPr>
      <w:sdtEndPr>
        <w:rPr>
          <w:b/>
          <w:bCs/>
          <w:noProof/>
        </w:rPr>
      </w:sdtEndPr>
      <w:sdtContent>
        <w:p w14:paraId="13F1B0E9" w14:textId="501E13BB" w:rsidR="00EE2777" w:rsidRDefault="00EE2777" w:rsidP="004D2A38">
          <w:pPr>
            <w:pStyle w:val="a8"/>
            <w:tabs>
              <w:tab w:val="left" w:pos="0"/>
            </w:tabs>
          </w:pPr>
          <w:r>
            <w:t>Contents</w:t>
          </w:r>
        </w:p>
        <w:p w14:paraId="5F5BBCE3" w14:textId="7CA71136" w:rsidR="007D7CDE" w:rsidRDefault="00EE2777">
          <w:pPr>
            <w:pStyle w:val="11"/>
            <w:tabs>
              <w:tab w:val="right" w:leader="dot" w:pos="9679"/>
            </w:tabs>
            <w:rPr>
              <w:rFonts w:asciiTheme="minorHAnsi" w:eastAsiaTheme="minorEastAsia" w:hAnsiTheme="minorHAnsi"/>
              <w:noProof/>
              <w:sz w:val="22"/>
              <w:lang w:val="ru-RU" w:eastAsia="ru-RU"/>
            </w:rPr>
          </w:pPr>
          <w:r>
            <w:fldChar w:fldCharType="begin"/>
          </w:r>
          <w:r>
            <w:instrText xml:space="preserve"> TOC \o "1-3" \h \z \u </w:instrText>
          </w:r>
          <w:r>
            <w:fldChar w:fldCharType="separate"/>
          </w:r>
          <w:hyperlink w:anchor="_Toc514964127" w:history="1">
            <w:r w:rsidR="007D7CDE" w:rsidRPr="009C783C">
              <w:rPr>
                <w:rStyle w:val="a9"/>
                <w:noProof/>
              </w:rPr>
              <w:t>Introduction</w:t>
            </w:r>
            <w:r w:rsidR="007D7CDE">
              <w:rPr>
                <w:noProof/>
                <w:webHidden/>
              </w:rPr>
              <w:tab/>
            </w:r>
            <w:r w:rsidR="007D7CDE">
              <w:rPr>
                <w:noProof/>
                <w:webHidden/>
              </w:rPr>
              <w:fldChar w:fldCharType="begin"/>
            </w:r>
            <w:r w:rsidR="007D7CDE">
              <w:rPr>
                <w:noProof/>
                <w:webHidden/>
              </w:rPr>
              <w:instrText xml:space="preserve"> PAGEREF _Toc514964127 \h </w:instrText>
            </w:r>
            <w:r w:rsidR="007D7CDE">
              <w:rPr>
                <w:noProof/>
                <w:webHidden/>
              </w:rPr>
            </w:r>
            <w:r w:rsidR="007D7CDE">
              <w:rPr>
                <w:noProof/>
                <w:webHidden/>
              </w:rPr>
              <w:fldChar w:fldCharType="separate"/>
            </w:r>
            <w:r w:rsidR="00154E78">
              <w:rPr>
                <w:noProof/>
                <w:webHidden/>
              </w:rPr>
              <w:t>6</w:t>
            </w:r>
            <w:r w:rsidR="007D7CDE">
              <w:rPr>
                <w:noProof/>
                <w:webHidden/>
              </w:rPr>
              <w:fldChar w:fldCharType="end"/>
            </w:r>
          </w:hyperlink>
        </w:p>
        <w:p w14:paraId="5D6A389D" w14:textId="2DCA48B3" w:rsidR="007D7CDE" w:rsidRDefault="007D7CDE">
          <w:pPr>
            <w:pStyle w:val="11"/>
            <w:tabs>
              <w:tab w:val="left" w:pos="1100"/>
              <w:tab w:val="right" w:leader="dot" w:pos="9679"/>
            </w:tabs>
            <w:rPr>
              <w:rFonts w:asciiTheme="minorHAnsi" w:eastAsiaTheme="minorEastAsia" w:hAnsiTheme="minorHAnsi"/>
              <w:noProof/>
              <w:sz w:val="22"/>
              <w:lang w:val="ru-RU" w:eastAsia="ru-RU"/>
            </w:rPr>
          </w:pPr>
          <w:hyperlink w:anchor="_Toc514964128" w:history="1">
            <w:r>
              <w:rPr>
                <w:rFonts w:asciiTheme="minorHAnsi" w:eastAsiaTheme="minorEastAsia" w:hAnsiTheme="minorHAnsi"/>
                <w:noProof/>
                <w:sz w:val="22"/>
                <w:lang w:val="ru-RU" w:eastAsia="ru-RU"/>
              </w:rPr>
              <w:tab/>
            </w:r>
            <w:r w:rsidRPr="009C783C">
              <w:rPr>
                <w:rStyle w:val="a9"/>
                <w:noProof/>
              </w:rPr>
              <w:t>Chapter 1. Theoretical grounds of working capital management and M&amp;A market</w:t>
            </w:r>
            <w:r>
              <w:rPr>
                <w:noProof/>
                <w:webHidden/>
              </w:rPr>
              <w:tab/>
            </w:r>
            <w:r>
              <w:rPr>
                <w:noProof/>
                <w:webHidden/>
              </w:rPr>
              <w:fldChar w:fldCharType="begin"/>
            </w:r>
            <w:r>
              <w:rPr>
                <w:noProof/>
                <w:webHidden/>
              </w:rPr>
              <w:instrText xml:space="preserve"> PAGEREF _Toc514964128 \h </w:instrText>
            </w:r>
            <w:r>
              <w:rPr>
                <w:noProof/>
                <w:webHidden/>
              </w:rPr>
            </w:r>
            <w:r>
              <w:rPr>
                <w:noProof/>
                <w:webHidden/>
              </w:rPr>
              <w:fldChar w:fldCharType="separate"/>
            </w:r>
            <w:r w:rsidR="00154E78">
              <w:rPr>
                <w:noProof/>
                <w:webHidden/>
              </w:rPr>
              <w:t>8</w:t>
            </w:r>
            <w:r>
              <w:rPr>
                <w:noProof/>
                <w:webHidden/>
              </w:rPr>
              <w:fldChar w:fldCharType="end"/>
            </w:r>
          </w:hyperlink>
        </w:p>
        <w:p w14:paraId="4F0ACB4E" w14:textId="5F425882" w:rsidR="007D7CDE" w:rsidRDefault="007D7CDE">
          <w:pPr>
            <w:pStyle w:val="21"/>
            <w:tabs>
              <w:tab w:val="left" w:pos="1540"/>
              <w:tab w:val="right" w:leader="dot" w:pos="9679"/>
            </w:tabs>
            <w:rPr>
              <w:rFonts w:asciiTheme="minorHAnsi" w:eastAsiaTheme="minorEastAsia" w:hAnsiTheme="minorHAnsi"/>
              <w:noProof/>
              <w:sz w:val="22"/>
              <w:lang w:val="ru-RU" w:eastAsia="ru-RU"/>
            </w:rPr>
          </w:pPr>
          <w:hyperlink w:anchor="_Toc514964129" w:history="1">
            <w:r w:rsidRPr="009C783C">
              <w:rPr>
                <w:rStyle w:val="a9"/>
                <w:noProof/>
              </w:rPr>
              <w:t>1.1</w:t>
            </w:r>
            <w:r>
              <w:rPr>
                <w:rFonts w:asciiTheme="minorHAnsi" w:eastAsiaTheme="minorEastAsia" w:hAnsiTheme="minorHAnsi"/>
                <w:noProof/>
                <w:sz w:val="22"/>
                <w:lang w:val="ru-RU" w:eastAsia="ru-RU"/>
              </w:rPr>
              <w:tab/>
            </w:r>
            <w:r w:rsidRPr="009C783C">
              <w:rPr>
                <w:rStyle w:val="a9"/>
                <w:noProof/>
              </w:rPr>
              <w:t>Corporate performance in mergers and acquisitions transactions</w:t>
            </w:r>
            <w:r>
              <w:rPr>
                <w:noProof/>
                <w:webHidden/>
              </w:rPr>
              <w:tab/>
            </w:r>
            <w:r>
              <w:rPr>
                <w:noProof/>
                <w:webHidden/>
              </w:rPr>
              <w:fldChar w:fldCharType="begin"/>
            </w:r>
            <w:r>
              <w:rPr>
                <w:noProof/>
                <w:webHidden/>
              </w:rPr>
              <w:instrText xml:space="preserve"> PAGEREF _Toc514964129 \h </w:instrText>
            </w:r>
            <w:r>
              <w:rPr>
                <w:noProof/>
                <w:webHidden/>
              </w:rPr>
            </w:r>
            <w:r>
              <w:rPr>
                <w:noProof/>
                <w:webHidden/>
              </w:rPr>
              <w:fldChar w:fldCharType="separate"/>
            </w:r>
            <w:r w:rsidR="00154E78">
              <w:rPr>
                <w:noProof/>
                <w:webHidden/>
              </w:rPr>
              <w:t>8</w:t>
            </w:r>
            <w:r>
              <w:rPr>
                <w:noProof/>
                <w:webHidden/>
              </w:rPr>
              <w:fldChar w:fldCharType="end"/>
            </w:r>
          </w:hyperlink>
        </w:p>
        <w:p w14:paraId="6C265B3B" w14:textId="334436C7" w:rsidR="007D7CDE" w:rsidRDefault="007D7CDE">
          <w:pPr>
            <w:pStyle w:val="21"/>
            <w:tabs>
              <w:tab w:val="left" w:pos="1540"/>
              <w:tab w:val="right" w:leader="dot" w:pos="9679"/>
            </w:tabs>
            <w:rPr>
              <w:rFonts w:asciiTheme="minorHAnsi" w:eastAsiaTheme="minorEastAsia" w:hAnsiTheme="minorHAnsi"/>
              <w:noProof/>
              <w:sz w:val="22"/>
              <w:lang w:val="ru-RU" w:eastAsia="ru-RU"/>
            </w:rPr>
          </w:pPr>
          <w:hyperlink w:anchor="_Toc514964130" w:history="1">
            <w:r w:rsidRPr="009C783C">
              <w:rPr>
                <w:rStyle w:val="a9"/>
                <w:noProof/>
              </w:rPr>
              <w:t>1.2</w:t>
            </w:r>
            <w:r>
              <w:rPr>
                <w:rFonts w:asciiTheme="minorHAnsi" w:eastAsiaTheme="minorEastAsia" w:hAnsiTheme="minorHAnsi"/>
                <w:noProof/>
                <w:sz w:val="22"/>
                <w:lang w:val="ru-RU" w:eastAsia="ru-RU"/>
              </w:rPr>
              <w:tab/>
            </w:r>
            <w:r w:rsidRPr="009C783C">
              <w:rPr>
                <w:rStyle w:val="a9"/>
                <w:noProof/>
              </w:rPr>
              <w:t>Working capital management and corporate performance</w:t>
            </w:r>
            <w:r>
              <w:rPr>
                <w:noProof/>
                <w:webHidden/>
              </w:rPr>
              <w:tab/>
            </w:r>
            <w:r>
              <w:rPr>
                <w:noProof/>
                <w:webHidden/>
              </w:rPr>
              <w:fldChar w:fldCharType="begin"/>
            </w:r>
            <w:r>
              <w:rPr>
                <w:noProof/>
                <w:webHidden/>
              </w:rPr>
              <w:instrText xml:space="preserve"> PAGEREF _Toc514964130 \h </w:instrText>
            </w:r>
            <w:r>
              <w:rPr>
                <w:noProof/>
                <w:webHidden/>
              </w:rPr>
            </w:r>
            <w:r>
              <w:rPr>
                <w:noProof/>
                <w:webHidden/>
              </w:rPr>
              <w:fldChar w:fldCharType="separate"/>
            </w:r>
            <w:r w:rsidR="00154E78">
              <w:rPr>
                <w:noProof/>
                <w:webHidden/>
              </w:rPr>
              <w:t>13</w:t>
            </w:r>
            <w:r>
              <w:rPr>
                <w:noProof/>
                <w:webHidden/>
              </w:rPr>
              <w:fldChar w:fldCharType="end"/>
            </w:r>
          </w:hyperlink>
        </w:p>
        <w:p w14:paraId="1686D5DB" w14:textId="31C6B738" w:rsidR="007D7CDE" w:rsidRDefault="007D7CDE">
          <w:pPr>
            <w:pStyle w:val="21"/>
            <w:tabs>
              <w:tab w:val="left" w:pos="1540"/>
              <w:tab w:val="right" w:leader="dot" w:pos="9679"/>
            </w:tabs>
            <w:rPr>
              <w:rFonts w:asciiTheme="minorHAnsi" w:eastAsiaTheme="minorEastAsia" w:hAnsiTheme="minorHAnsi"/>
              <w:noProof/>
              <w:sz w:val="22"/>
              <w:lang w:val="ru-RU" w:eastAsia="ru-RU"/>
            </w:rPr>
          </w:pPr>
          <w:hyperlink w:anchor="_Toc514964131" w:history="1">
            <w:r w:rsidRPr="009C783C">
              <w:rPr>
                <w:rStyle w:val="a9"/>
                <w:noProof/>
                <w:lang w:val="ru-RU"/>
              </w:rPr>
              <w:t>1.3</w:t>
            </w:r>
            <w:r>
              <w:rPr>
                <w:rFonts w:asciiTheme="minorHAnsi" w:eastAsiaTheme="minorEastAsia" w:hAnsiTheme="minorHAnsi"/>
                <w:noProof/>
                <w:sz w:val="22"/>
                <w:lang w:val="ru-RU" w:eastAsia="ru-RU"/>
              </w:rPr>
              <w:tab/>
            </w:r>
            <w:r w:rsidRPr="009C783C">
              <w:rPr>
                <w:rStyle w:val="a9"/>
                <w:noProof/>
              </w:rPr>
              <w:t>Working capital determinants</w:t>
            </w:r>
            <w:r>
              <w:rPr>
                <w:noProof/>
                <w:webHidden/>
              </w:rPr>
              <w:tab/>
            </w:r>
            <w:r>
              <w:rPr>
                <w:noProof/>
                <w:webHidden/>
              </w:rPr>
              <w:fldChar w:fldCharType="begin"/>
            </w:r>
            <w:r>
              <w:rPr>
                <w:noProof/>
                <w:webHidden/>
              </w:rPr>
              <w:instrText xml:space="preserve"> PAGEREF _Toc514964131 \h </w:instrText>
            </w:r>
            <w:r>
              <w:rPr>
                <w:noProof/>
                <w:webHidden/>
              </w:rPr>
            </w:r>
            <w:r>
              <w:rPr>
                <w:noProof/>
                <w:webHidden/>
              </w:rPr>
              <w:fldChar w:fldCharType="separate"/>
            </w:r>
            <w:r w:rsidR="00154E78">
              <w:rPr>
                <w:noProof/>
                <w:webHidden/>
              </w:rPr>
              <w:t>18</w:t>
            </w:r>
            <w:r>
              <w:rPr>
                <w:noProof/>
                <w:webHidden/>
              </w:rPr>
              <w:fldChar w:fldCharType="end"/>
            </w:r>
          </w:hyperlink>
        </w:p>
        <w:p w14:paraId="4DC6E9EE" w14:textId="6B5C9A8A" w:rsidR="007D7CDE" w:rsidRDefault="007D7CDE">
          <w:pPr>
            <w:pStyle w:val="21"/>
            <w:tabs>
              <w:tab w:val="left" w:pos="1540"/>
              <w:tab w:val="right" w:leader="dot" w:pos="9679"/>
            </w:tabs>
            <w:rPr>
              <w:rFonts w:asciiTheme="minorHAnsi" w:eastAsiaTheme="minorEastAsia" w:hAnsiTheme="minorHAnsi"/>
              <w:noProof/>
              <w:sz w:val="22"/>
              <w:lang w:val="ru-RU" w:eastAsia="ru-RU"/>
            </w:rPr>
          </w:pPr>
          <w:hyperlink w:anchor="_Toc514964132" w:history="1">
            <w:r w:rsidRPr="009C783C">
              <w:rPr>
                <w:rStyle w:val="a9"/>
                <w:noProof/>
              </w:rPr>
              <w:t>1.4</w:t>
            </w:r>
            <w:r>
              <w:rPr>
                <w:rFonts w:asciiTheme="minorHAnsi" w:eastAsiaTheme="minorEastAsia" w:hAnsiTheme="minorHAnsi"/>
                <w:noProof/>
                <w:sz w:val="22"/>
                <w:lang w:val="ru-RU" w:eastAsia="ru-RU"/>
              </w:rPr>
              <w:tab/>
            </w:r>
            <w:r w:rsidRPr="009C783C">
              <w:rPr>
                <w:rStyle w:val="a9"/>
                <w:noProof/>
              </w:rPr>
              <w:t>Research gap</w:t>
            </w:r>
            <w:r>
              <w:rPr>
                <w:noProof/>
                <w:webHidden/>
              </w:rPr>
              <w:tab/>
            </w:r>
            <w:r>
              <w:rPr>
                <w:noProof/>
                <w:webHidden/>
              </w:rPr>
              <w:fldChar w:fldCharType="begin"/>
            </w:r>
            <w:r>
              <w:rPr>
                <w:noProof/>
                <w:webHidden/>
              </w:rPr>
              <w:instrText xml:space="preserve"> PAGEREF _Toc514964132 \h </w:instrText>
            </w:r>
            <w:r>
              <w:rPr>
                <w:noProof/>
                <w:webHidden/>
              </w:rPr>
            </w:r>
            <w:r>
              <w:rPr>
                <w:noProof/>
                <w:webHidden/>
              </w:rPr>
              <w:fldChar w:fldCharType="separate"/>
            </w:r>
            <w:r w:rsidR="00154E78">
              <w:rPr>
                <w:noProof/>
                <w:webHidden/>
              </w:rPr>
              <w:t>21</w:t>
            </w:r>
            <w:r>
              <w:rPr>
                <w:noProof/>
                <w:webHidden/>
              </w:rPr>
              <w:fldChar w:fldCharType="end"/>
            </w:r>
          </w:hyperlink>
        </w:p>
        <w:p w14:paraId="63093237" w14:textId="018043CF" w:rsidR="007D7CDE" w:rsidRDefault="007D7CDE">
          <w:pPr>
            <w:pStyle w:val="11"/>
            <w:tabs>
              <w:tab w:val="left" w:pos="1100"/>
              <w:tab w:val="right" w:leader="dot" w:pos="9679"/>
            </w:tabs>
            <w:rPr>
              <w:rFonts w:asciiTheme="minorHAnsi" w:eastAsiaTheme="minorEastAsia" w:hAnsiTheme="minorHAnsi"/>
              <w:noProof/>
              <w:sz w:val="22"/>
              <w:lang w:val="ru-RU" w:eastAsia="ru-RU"/>
            </w:rPr>
          </w:pPr>
          <w:hyperlink w:anchor="_Toc514964133" w:history="1">
            <w:r>
              <w:rPr>
                <w:rFonts w:asciiTheme="minorHAnsi" w:eastAsiaTheme="minorEastAsia" w:hAnsiTheme="minorHAnsi"/>
                <w:noProof/>
                <w:sz w:val="22"/>
                <w:lang w:val="ru-RU" w:eastAsia="ru-RU"/>
              </w:rPr>
              <w:tab/>
            </w:r>
            <w:r w:rsidRPr="009C783C">
              <w:rPr>
                <w:rStyle w:val="a9"/>
                <w:noProof/>
              </w:rPr>
              <w:t>Chapter 2. Research methodology</w:t>
            </w:r>
            <w:r>
              <w:rPr>
                <w:noProof/>
                <w:webHidden/>
              </w:rPr>
              <w:tab/>
            </w:r>
            <w:r>
              <w:rPr>
                <w:noProof/>
                <w:webHidden/>
              </w:rPr>
              <w:fldChar w:fldCharType="begin"/>
            </w:r>
            <w:r>
              <w:rPr>
                <w:noProof/>
                <w:webHidden/>
              </w:rPr>
              <w:instrText xml:space="preserve"> PAGEREF _Toc514964133 \h </w:instrText>
            </w:r>
            <w:r>
              <w:rPr>
                <w:noProof/>
                <w:webHidden/>
              </w:rPr>
            </w:r>
            <w:r>
              <w:rPr>
                <w:noProof/>
                <w:webHidden/>
              </w:rPr>
              <w:fldChar w:fldCharType="separate"/>
            </w:r>
            <w:r w:rsidR="00154E78">
              <w:rPr>
                <w:noProof/>
                <w:webHidden/>
              </w:rPr>
              <w:t>22</w:t>
            </w:r>
            <w:r>
              <w:rPr>
                <w:noProof/>
                <w:webHidden/>
              </w:rPr>
              <w:fldChar w:fldCharType="end"/>
            </w:r>
          </w:hyperlink>
        </w:p>
        <w:p w14:paraId="72D85140" w14:textId="53D78DC5" w:rsidR="007D7CDE" w:rsidRDefault="007D7CDE">
          <w:pPr>
            <w:pStyle w:val="21"/>
            <w:tabs>
              <w:tab w:val="left" w:pos="1540"/>
              <w:tab w:val="right" w:leader="dot" w:pos="9679"/>
            </w:tabs>
            <w:rPr>
              <w:rFonts w:asciiTheme="minorHAnsi" w:eastAsiaTheme="minorEastAsia" w:hAnsiTheme="minorHAnsi"/>
              <w:noProof/>
              <w:sz w:val="22"/>
              <w:lang w:val="ru-RU" w:eastAsia="ru-RU"/>
            </w:rPr>
          </w:pPr>
          <w:hyperlink w:anchor="_Toc514964134" w:history="1">
            <w:r w:rsidRPr="009C783C">
              <w:rPr>
                <w:rStyle w:val="a9"/>
                <w:noProof/>
              </w:rPr>
              <w:t>2.1</w:t>
            </w:r>
            <w:r>
              <w:rPr>
                <w:rFonts w:asciiTheme="minorHAnsi" w:eastAsiaTheme="minorEastAsia" w:hAnsiTheme="minorHAnsi"/>
                <w:noProof/>
                <w:sz w:val="22"/>
                <w:lang w:val="ru-RU" w:eastAsia="ru-RU"/>
              </w:rPr>
              <w:tab/>
            </w:r>
            <w:r w:rsidRPr="009C783C">
              <w:rPr>
                <w:rStyle w:val="a9"/>
                <w:noProof/>
              </w:rPr>
              <w:t>Data summary</w:t>
            </w:r>
            <w:r>
              <w:rPr>
                <w:noProof/>
                <w:webHidden/>
              </w:rPr>
              <w:tab/>
            </w:r>
            <w:r>
              <w:rPr>
                <w:noProof/>
                <w:webHidden/>
              </w:rPr>
              <w:fldChar w:fldCharType="begin"/>
            </w:r>
            <w:r>
              <w:rPr>
                <w:noProof/>
                <w:webHidden/>
              </w:rPr>
              <w:instrText xml:space="preserve"> PAGEREF _Toc514964134 \h </w:instrText>
            </w:r>
            <w:r>
              <w:rPr>
                <w:noProof/>
                <w:webHidden/>
              </w:rPr>
            </w:r>
            <w:r>
              <w:rPr>
                <w:noProof/>
                <w:webHidden/>
              </w:rPr>
              <w:fldChar w:fldCharType="separate"/>
            </w:r>
            <w:r w:rsidR="00154E78">
              <w:rPr>
                <w:noProof/>
                <w:webHidden/>
              </w:rPr>
              <w:t>22</w:t>
            </w:r>
            <w:r>
              <w:rPr>
                <w:noProof/>
                <w:webHidden/>
              </w:rPr>
              <w:fldChar w:fldCharType="end"/>
            </w:r>
          </w:hyperlink>
        </w:p>
        <w:p w14:paraId="6FB20C51" w14:textId="6EF003F8" w:rsidR="007D7CDE" w:rsidRDefault="007D7CDE">
          <w:pPr>
            <w:pStyle w:val="21"/>
            <w:tabs>
              <w:tab w:val="left" w:pos="1540"/>
              <w:tab w:val="right" w:leader="dot" w:pos="9679"/>
            </w:tabs>
            <w:rPr>
              <w:rFonts w:asciiTheme="minorHAnsi" w:eastAsiaTheme="minorEastAsia" w:hAnsiTheme="minorHAnsi"/>
              <w:noProof/>
              <w:sz w:val="22"/>
              <w:lang w:val="ru-RU" w:eastAsia="ru-RU"/>
            </w:rPr>
          </w:pPr>
          <w:hyperlink w:anchor="_Toc514964135" w:history="1">
            <w:r w:rsidRPr="009C783C">
              <w:rPr>
                <w:rStyle w:val="a9"/>
                <w:noProof/>
              </w:rPr>
              <w:t>2.2</w:t>
            </w:r>
            <w:r>
              <w:rPr>
                <w:rFonts w:asciiTheme="minorHAnsi" w:eastAsiaTheme="minorEastAsia" w:hAnsiTheme="minorHAnsi"/>
                <w:noProof/>
                <w:sz w:val="22"/>
                <w:lang w:val="ru-RU" w:eastAsia="ru-RU"/>
              </w:rPr>
              <w:tab/>
            </w:r>
            <w:r w:rsidRPr="009C783C">
              <w:rPr>
                <w:rStyle w:val="a9"/>
                <w:noProof/>
              </w:rPr>
              <w:t>Model specification</w:t>
            </w:r>
            <w:r>
              <w:rPr>
                <w:noProof/>
                <w:webHidden/>
              </w:rPr>
              <w:tab/>
            </w:r>
            <w:r>
              <w:rPr>
                <w:noProof/>
                <w:webHidden/>
              </w:rPr>
              <w:fldChar w:fldCharType="begin"/>
            </w:r>
            <w:r>
              <w:rPr>
                <w:noProof/>
                <w:webHidden/>
              </w:rPr>
              <w:instrText xml:space="preserve"> PAGEREF _Toc514964135 \h </w:instrText>
            </w:r>
            <w:r>
              <w:rPr>
                <w:noProof/>
                <w:webHidden/>
              </w:rPr>
            </w:r>
            <w:r>
              <w:rPr>
                <w:noProof/>
                <w:webHidden/>
              </w:rPr>
              <w:fldChar w:fldCharType="separate"/>
            </w:r>
            <w:r w:rsidR="00154E78">
              <w:rPr>
                <w:noProof/>
                <w:webHidden/>
              </w:rPr>
              <w:t>24</w:t>
            </w:r>
            <w:r>
              <w:rPr>
                <w:noProof/>
                <w:webHidden/>
              </w:rPr>
              <w:fldChar w:fldCharType="end"/>
            </w:r>
          </w:hyperlink>
        </w:p>
        <w:p w14:paraId="1C8F7A3C" w14:textId="74B5FAB4" w:rsidR="007D7CDE" w:rsidRDefault="007D7CDE">
          <w:pPr>
            <w:pStyle w:val="11"/>
            <w:tabs>
              <w:tab w:val="left" w:pos="1100"/>
              <w:tab w:val="right" w:leader="dot" w:pos="9679"/>
            </w:tabs>
            <w:rPr>
              <w:rFonts w:asciiTheme="minorHAnsi" w:eastAsiaTheme="minorEastAsia" w:hAnsiTheme="minorHAnsi"/>
              <w:noProof/>
              <w:sz w:val="22"/>
              <w:lang w:val="ru-RU" w:eastAsia="ru-RU"/>
            </w:rPr>
          </w:pPr>
          <w:hyperlink w:anchor="_Toc514964136" w:history="1">
            <w:r>
              <w:rPr>
                <w:rFonts w:asciiTheme="minorHAnsi" w:eastAsiaTheme="minorEastAsia" w:hAnsiTheme="minorHAnsi"/>
                <w:noProof/>
                <w:sz w:val="22"/>
                <w:lang w:val="ru-RU" w:eastAsia="ru-RU"/>
              </w:rPr>
              <w:tab/>
            </w:r>
            <w:r w:rsidRPr="009C783C">
              <w:rPr>
                <w:rStyle w:val="a9"/>
                <w:noProof/>
              </w:rPr>
              <w:t>Chapter 3. Empirical analysis and results</w:t>
            </w:r>
            <w:r>
              <w:rPr>
                <w:noProof/>
                <w:webHidden/>
              </w:rPr>
              <w:tab/>
            </w:r>
            <w:r>
              <w:rPr>
                <w:noProof/>
                <w:webHidden/>
              </w:rPr>
              <w:fldChar w:fldCharType="begin"/>
            </w:r>
            <w:r>
              <w:rPr>
                <w:noProof/>
                <w:webHidden/>
              </w:rPr>
              <w:instrText xml:space="preserve"> PAGEREF _Toc514964136 \h </w:instrText>
            </w:r>
            <w:r>
              <w:rPr>
                <w:noProof/>
                <w:webHidden/>
              </w:rPr>
            </w:r>
            <w:r>
              <w:rPr>
                <w:noProof/>
                <w:webHidden/>
              </w:rPr>
              <w:fldChar w:fldCharType="separate"/>
            </w:r>
            <w:r w:rsidR="00154E78">
              <w:rPr>
                <w:noProof/>
                <w:webHidden/>
              </w:rPr>
              <w:t>30</w:t>
            </w:r>
            <w:r>
              <w:rPr>
                <w:noProof/>
                <w:webHidden/>
              </w:rPr>
              <w:fldChar w:fldCharType="end"/>
            </w:r>
          </w:hyperlink>
        </w:p>
        <w:p w14:paraId="47511E8C" w14:textId="68438CDC" w:rsidR="007D7CDE" w:rsidRDefault="007D7CDE">
          <w:pPr>
            <w:pStyle w:val="21"/>
            <w:tabs>
              <w:tab w:val="left" w:pos="1540"/>
              <w:tab w:val="right" w:leader="dot" w:pos="9679"/>
            </w:tabs>
            <w:rPr>
              <w:rFonts w:asciiTheme="minorHAnsi" w:eastAsiaTheme="minorEastAsia" w:hAnsiTheme="minorHAnsi"/>
              <w:noProof/>
              <w:sz w:val="22"/>
              <w:lang w:val="ru-RU" w:eastAsia="ru-RU"/>
            </w:rPr>
          </w:pPr>
          <w:hyperlink w:anchor="_Toc514964137" w:history="1">
            <w:r w:rsidRPr="009C783C">
              <w:rPr>
                <w:rStyle w:val="a9"/>
                <w:noProof/>
              </w:rPr>
              <w:t>3.1</w:t>
            </w:r>
            <w:r>
              <w:rPr>
                <w:rFonts w:asciiTheme="minorHAnsi" w:eastAsiaTheme="minorEastAsia" w:hAnsiTheme="minorHAnsi"/>
                <w:noProof/>
                <w:sz w:val="22"/>
                <w:lang w:val="ru-RU" w:eastAsia="ru-RU"/>
              </w:rPr>
              <w:tab/>
            </w:r>
            <w:r w:rsidRPr="009C783C">
              <w:rPr>
                <w:rStyle w:val="a9"/>
                <w:noProof/>
              </w:rPr>
              <w:t>Influence of working capital structure estimation</w:t>
            </w:r>
            <w:r>
              <w:rPr>
                <w:noProof/>
                <w:webHidden/>
              </w:rPr>
              <w:tab/>
            </w:r>
            <w:r>
              <w:rPr>
                <w:noProof/>
                <w:webHidden/>
              </w:rPr>
              <w:fldChar w:fldCharType="begin"/>
            </w:r>
            <w:r>
              <w:rPr>
                <w:noProof/>
                <w:webHidden/>
              </w:rPr>
              <w:instrText xml:space="preserve"> PAGEREF _Toc514964137 \h </w:instrText>
            </w:r>
            <w:r>
              <w:rPr>
                <w:noProof/>
                <w:webHidden/>
              </w:rPr>
            </w:r>
            <w:r>
              <w:rPr>
                <w:noProof/>
                <w:webHidden/>
              </w:rPr>
              <w:fldChar w:fldCharType="separate"/>
            </w:r>
            <w:r w:rsidR="00154E78">
              <w:rPr>
                <w:noProof/>
                <w:webHidden/>
              </w:rPr>
              <w:t>30</w:t>
            </w:r>
            <w:r>
              <w:rPr>
                <w:noProof/>
                <w:webHidden/>
              </w:rPr>
              <w:fldChar w:fldCharType="end"/>
            </w:r>
          </w:hyperlink>
        </w:p>
        <w:p w14:paraId="0E0DB708" w14:textId="7AF158B4" w:rsidR="007D7CDE" w:rsidRDefault="007D7CDE">
          <w:pPr>
            <w:pStyle w:val="21"/>
            <w:tabs>
              <w:tab w:val="left" w:pos="1540"/>
              <w:tab w:val="right" w:leader="dot" w:pos="9679"/>
            </w:tabs>
            <w:rPr>
              <w:rFonts w:asciiTheme="minorHAnsi" w:eastAsiaTheme="minorEastAsia" w:hAnsiTheme="minorHAnsi"/>
              <w:noProof/>
              <w:sz w:val="22"/>
              <w:lang w:val="ru-RU" w:eastAsia="ru-RU"/>
            </w:rPr>
          </w:pPr>
          <w:hyperlink w:anchor="_Toc514964138" w:history="1">
            <w:r w:rsidRPr="009C783C">
              <w:rPr>
                <w:rStyle w:val="a9"/>
                <w:noProof/>
              </w:rPr>
              <w:t>3.2</w:t>
            </w:r>
            <w:r>
              <w:rPr>
                <w:rFonts w:asciiTheme="minorHAnsi" w:eastAsiaTheme="minorEastAsia" w:hAnsiTheme="minorHAnsi"/>
                <w:noProof/>
                <w:sz w:val="22"/>
                <w:lang w:val="ru-RU" w:eastAsia="ru-RU"/>
              </w:rPr>
              <w:tab/>
            </w:r>
            <w:r w:rsidRPr="009C783C">
              <w:rPr>
                <w:rStyle w:val="a9"/>
                <w:noProof/>
              </w:rPr>
              <w:t>Optimal working capital level and company performance</w:t>
            </w:r>
            <w:r>
              <w:rPr>
                <w:noProof/>
                <w:webHidden/>
              </w:rPr>
              <w:tab/>
            </w:r>
            <w:r>
              <w:rPr>
                <w:noProof/>
                <w:webHidden/>
              </w:rPr>
              <w:fldChar w:fldCharType="begin"/>
            </w:r>
            <w:r>
              <w:rPr>
                <w:noProof/>
                <w:webHidden/>
              </w:rPr>
              <w:instrText xml:space="preserve"> PAGEREF _Toc514964138 \h </w:instrText>
            </w:r>
            <w:r>
              <w:rPr>
                <w:noProof/>
                <w:webHidden/>
              </w:rPr>
            </w:r>
            <w:r>
              <w:rPr>
                <w:noProof/>
                <w:webHidden/>
              </w:rPr>
              <w:fldChar w:fldCharType="separate"/>
            </w:r>
            <w:r w:rsidR="00154E78">
              <w:rPr>
                <w:noProof/>
                <w:webHidden/>
              </w:rPr>
              <w:t>38</w:t>
            </w:r>
            <w:r>
              <w:rPr>
                <w:noProof/>
                <w:webHidden/>
              </w:rPr>
              <w:fldChar w:fldCharType="end"/>
            </w:r>
          </w:hyperlink>
        </w:p>
        <w:p w14:paraId="3F335D09" w14:textId="41D0C29A" w:rsidR="007D7CDE" w:rsidRDefault="007D7CDE">
          <w:pPr>
            <w:pStyle w:val="21"/>
            <w:tabs>
              <w:tab w:val="left" w:pos="1540"/>
              <w:tab w:val="right" w:leader="dot" w:pos="9679"/>
            </w:tabs>
            <w:rPr>
              <w:rFonts w:asciiTheme="minorHAnsi" w:eastAsiaTheme="minorEastAsia" w:hAnsiTheme="minorHAnsi"/>
              <w:noProof/>
              <w:sz w:val="22"/>
              <w:lang w:val="ru-RU" w:eastAsia="ru-RU"/>
            </w:rPr>
          </w:pPr>
          <w:hyperlink w:anchor="_Toc514964139" w:history="1">
            <w:r w:rsidRPr="009C783C">
              <w:rPr>
                <w:rStyle w:val="a9"/>
                <w:noProof/>
              </w:rPr>
              <w:t>3.3</w:t>
            </w:r>
            <w:r>
              <w:rPr>
                <w:rFonts w:asciiTheme="minorHAnsi" w:eastAsiaTheme="minorEastAsia" w:hAnsiTheme="minorHAnsi"/>
                <w:noProof/>
                <w:sz w:val="22"/>
                <w:lang w:val="ru-RU" w:eastAsia="ru-RU"/>
              </w:rPr>
              <w:tab/>
            </w:r>
            <w:r w:rsidRPr="009C783C">
              <w:rPr>
                <w:rStyle w:val="a9"/>
                <w:noProof/>
              </w:rPr>
              <w:t>Managerial implications</w:t>
            </w:r>
            <w:r>
              <w:rPr>
                <w:noProof/>
                <w:webHidden/>
              </w:rPr>
              <w:tab/>
            </w:r>
            <w:r>
              <w:rPr>
                <w:noProof/>
                <w:webHidden/>
              </w:rPr>
              <w:fldChar w:fldCharType="begin"/>
            </w:r>
            <w:r>
              <w:rPr>
                <w:noProof/>
                <w:webHidden/>
              </w:rPr>
              <w:instrText xml:space="preserve"> PAGEREF _Toc514964139 \h </w:instrText>
            </w:r>
            <w:r>
              <w:rPr>
                <w:noProof/>
                <w:webHidden/>
              </w:rPr>
            </w:r>
            <w:r>
              <w:rPr>
                <w:noProof/>
                <w:webHidden/>
              </w:rPr>
              <w:fldChar w:fldCharType="separate"/>
            </w:r>
            <w:r w:rsidR="00154E78">
              <w:rPr>
                <w:noProof/>
                <w:webHidden/>
              </w:rPr>
              <w:t>43</w:t>
            </w:r>
            <w:r>
              <w:rPr>
                <w:noProof/>
                <w:webHidden/>
              </w:rPr>
              <w:fldChar w:fldCharType="end"/>
            </w:r>
          </w:hyperlink>
        </w:p>
        <w:p w14:paraId="308505C7" w14:textId="57A4EEE3" w:rsidR="007D7CDE" w:rsidRDefault="007D7CDE">
          <w:pPr>
            <w:pStyle w:val="21"/>
            <w:tabs>
              <w:tab w:val="left" w:pos="1540"/>
              <w:tab w:val="right" w:leader="dot" w:pos="9679"/>
            </w:tabs>
            <w:rPr>
              <w:rFonts w:asciiTheme="minorHAnsi" w:eastAsiaTheme="minorEastAsia" w:hAnsiTheme="minorHAnsi"/>
              <w:noProof/>
              <w:sz w:val="22"/>
              <w:lang w:val="ru-RU" w:eastAsia="ru-RU"/>
            </w:rPr>
          </w:pPr>
          <w:hyperlink w:anchor="_Toc514964140" w:history="1">
            <w:r w:rsidRPr="009C783C">
              <w:rPr>
                <w:rStyle w:val="a9"/>
                <w:noProof/>
              </w:rPr>
              <w:t>3.4</w:t>
            </w:r>
            <w:r>
              <w:rPr>
                <w:rFonts w:asciiTheme="minorHAnsi" w:eastAsiaTheme="minorEastAsia" w:hAnsiTheme="minorHAnsi"/>
                <w:noProof/>
                <w:sz w:val="22"/>
                <w:lang w:val="ru-RU" w:eastAsia="ru-RU"/>
              </w:rPr>
              <w:tab/>
            </w:r>
            <w:r w:rsidRPr="009C783C">
              <w:rPr>
                <w:rStyle w:val="a9"/>
                <w:noProof/>
              </w:rPr>
              <w:t>Research limitations</w:t>
            </w:r>
            <w:r>
              <w:rPr>
                <w:noProof/>
                <w:webHidden/>
              </w:rPr>
              <w:tab/>
            </w:r>
            <w:r>
              <w:rPr>
                <w:noProof/>
                <w:webHidden/>
              </w:rPr>
              <w:fldChar w:fldCharType="begin"/>
            </w:r>
            <w:r>
              <w:rPr>
                <w:noProof/>
                <w:webHidden/>
              </w:rPr>
              <w:instrText xml:space="preserve"> PAGEREF _Toc514964140 \h </w:instrText>
            </w:r>
            <w:r>
              <w:rPr>
                <w:noProof/>
                <w:webHidden/>
              </w:rPr>
            </w:r>
            <w:r>
              <w:rPr>
                <w:noProof/>
                <w:webHidden/>
              </w:rPr>
              <w:fldChar w:fldCharType="separate"/>
            </w:r>
            <w:r w:rsidR="00154E78">
              <w:rPr>
                <w:noProof/>
                <w:webHidden/>
              </w:rPr>
              <w:t>44</w:t>
            </w:r>
            <w:r>
              <w:rPr>
                <w:noProof/>
                <w:webHidden/>
              </w:rPr>
              <w:fldChar w:fldCharType="end"/>
            </w:r>
          </w:hyperlink>
        </w:p>
        <w:p w14:paraId="7A3B5F28" w14:textId="18505A11" w:rsidR="007D7CDE" w:rsidRDefault="007D7CDE">
          <w:pPr>
            <w:pStyle w:val="11"/>
            <w:tabs>
              <w:tab w:val="left" w:pos="1100"/>
              <w:tab w:val="right" w:leader="dot" w:pos="9679"/>
            </w:tabs>
            <w:rPr>
              <w:rFonts w:asciiTheme="minorHAnsi" w:eastAsiaTheme="minorEastAsia" w:hAnsiTheme="minorHAnsi"/>
              <w:noProof/>
              <w:sz w:val="22"/>
              <w:lang w:val="ru-RU" w:eastAsia="ru-RU"/>
            </w:rPr>
          </w:pPr>
          <w:hyperlink w:anchor="_Toc514964141" w:history="1">
            <w:r>
              <w:rPr>
                <w:rFonts w:asciiTheme="minorHAnsi" w:eastAsiaTheme="minorEastAsia" w:hAnsiTheme="minorHAnsi"/>
                <w:noProof/>
                <w:sz w:val="22"/>
                <w:lang w:val="ru-RU" w:eastAsia="ru-RU"/>
              </w:rPr>
              <w:tab/>
            </w:r>
            <w:r w:rsidRPr="009C783C">
              <w:rPr>
                <w:rStyle w:val="a9"/>
                <w:noProof/>
              </w:rPr>
              <w:t>Conclusion</w:t>
            </w:r>
            <w:r>
              <w:rPr>
                <w:noProof/>
                <w:webHidden/>
              </w:rPr>
              <w:tab/>
            </w:r>
            <w:r>
              <w:rPr>
                <w:noProof/>
                <w:webHidden/>
              </w:rPr>
              <w:fldChar w:fldCharType="begin"/>
            </w:r>
            <w:r>
              <w:rPr>
                <w:noProof/>
                <w:webHidden/>
              </w:rPr>
              <w:instrText xml:space="preserve"> PAGEREF _Toc514964141 \h </w:instrText>
            </w:r>
            <w:r>
              <w:rPr>
                <w:noProof/>
                <w:webHidden/>
              </w:rPr>
            </w:r>
            <w:r>
              <w:rPr>
                <w:noProof/>
                <w:webHidden/>
              </w:rPr>
              <w:fldChar w:fldCharType="separate"/>
            </w:r>
            <w:r w:rsidR="00154E78">
              <w:rPr>
                <w:noProof/>
                <w:webHidden/>
              </w:rPr>
              <w:t>45</w:t>
            </w:r>
            <w:r>
              <w:rPr>
                <w:noProof/>
                <w:webHidden/>
              </w:rPr>
              <w:fldChar w:fldCharType="end"/>
            </w:r>
          </w:hyperlink>
        </w:p>
        <w:p w14:paraId="52BE86C1" w14:textId="4480CF19" w:rsidR="007D7CDE" w:rsidRDefault="007D7CDE">
          <w:pPr>
            <w:pStyle w:val="11"/>
            <w:tabs>
              <w:tab w:val="right" w:leader="dot" w:pos="9679"/>
            </w:tabs>
            <w:rPr>
              <w:rFonts w:asciiTheme="minorHAnsi" w:eastAsiaTheme="minorEastAsia" w:hAnsiTheme="minorHAnsi"/>
              <w:noProof/>
              <w:sz w:val="22"/>
              <w:lang w:val="ru-RU" w:eastAsia="ru-RU"/>
            </w:rPr>
          </w:pPr>
          <w:hyperlink w:anchor="_Toc514964142" w:history="1">
            <w:r w:rsidRPr="009C783C">
              <w:rPr>
                <w:rStyle w:val="a9"/>
                <w:noProof/>
              </w:rPr>
              <w:t>References</w:t>
            </w:r>
            <w:r>
              <w:rPr>
                <w:noProof/>
                <w:webHidden/>
              </w:rPr>
              <w:tab/>
            </w:r>
            <w:r>
              <w:rPr>
                <w:noProof/>
                <w:webHidden/>
              </w:rPr>
              <w:fldChar w:fldCharType="begin"/>
            </w:r>
            <w:r>
              <w:rPr>
                <w:noProof/>
                <w:webHidden/>
              </w:rPr>
              <w:instrText xml:space="preserve"> PAGEREF _Toc514964142 \h </w:instrText>
            </w:r>
            <w:r>
              <w:rPr>
                <w:noProof/>
                <w:webHidden/>
              </w:rPr>
            </w:r>
            <w:r>
              <w:rPr>
                <w:noProof/>
                <w:webHidden/>
              </w:rPr>
              <w:fldChar w:fldCharType="separate"/>
            </w:r>
            <w:r w:rsidR="00154E78">
              <w:rPr>
                <w:noProof/>
                <w:webHidden/>
              </w:rPr>
              <w:t>47</w:t>
            </w:r>
            <w:r>
              <w:rPr>
                <w:noProof/>
                <w:webHidden/>
              </w:rPr>
              <w:fldChar w:fldCharType="end"/>
            </w:r>
          </w:hyperlink>
        </w:p>
        <w:p w14:paraId="72447273" w14:textId="36EE4EBD" w:rsidR="007D7CDE" w:rsidRDefault="007D7CDE">
          <w:pPr>
            <w:pStyle w:val="11"/>
            <w:tabs>
              <w:tab w:val="left" w:pos="1100"/>
              <w:tab w:val="right" w:leader="dot" w:pos="9679"/>
            </w:tabs>
            <w:rPr>
              <w:rFonts w:asciiTheme="minorHAnsi" w:eastAsiaTheme="minorEastAsia" w:hAnsiTheme="minorHAnsi"/>
              <w:noProof/>
              <w:sz w:val="22"/>
              <w:lang w:val="ru-RU" w:eastAsia="ru-RU"/>
            </w:rPr>
          </w:pPr>
          <w:hyperlink w:anchor="_Toc514964143" w:history="1">
            <w:r>
              <w:rPr>
                <w:rFonts w:asciiTheme="minorHAnsi" w:eastAsiaTheme="minorEastAsia" w:hAnsiTheme="minorHAnsi"/>
                <w:noProof/>
                <w:sz w:val="22"/>
                <w:lang w:val="ru-RU" w:eastAsia="ru-RU"/>
              </w:rPr>
              <w:tab/>
            </w:r>
            <w:r w:rsidRPr="009C783C">
              <w:rPr>
                <w:rStyle w:val="a9"/>
                <w:noProof/>
              </w:rPr>
              <w:t>Appendix 1. List of companies</w:t>
            </w:r>
            <w:r>
              <w:rPr>
                <w:noProof/>
                <w:webHidden/>
              </w:rPr>
              <w:tab/>
            </w:r>
            <w:r>
              <w:rPr>
                <w:noProof/>
                <w:webHidden/>
              </w:rPr>
              <w:fldChar w:fldCharType="begin"/>
            </w:r>
            <w:r>
              <w:rPr>
                <w:noProof/>
                <w:webHidden/>
              </w:rPr>
              <w:instrText xml:space="preserve"> PAGEREF _Toc514964143 \h </w:instrText>
            </w:r>
            <w:r>
              <w:rPr>
                <w:noProof/>
                <w:webHidden/>
              </w:rPr>
            </w:r>
            <w:r>
              <w:rPr>
                <w:noProof/>
                <w:webHidden/>
              </w:rPr>
              <w:fldChar w:fldCharType="separate"/>
            </w:r>
            <w:r w:rsidR="00154E78">
              <w:rPr>
                <w:noProof/>
                <w:webHidden/>
              </w:rPr>
              <w:t>51</w:t>
            </w:r>
            <w:r>
              <w:rPr>
                <w:noProof/>
                <w:webHidden/>
              </w:rPr>
              <w:fldChar w:fldCharType="end"/>
            </w:r>
          </w:hyperlink>
        </w:p>
        <w:p w14:paraId="46E7ABE6" w14:textId="57684484" w:rsidR="007D7CDE" w:rsidRDefault="007D7CDE">
          <w:pPr>
            <w:pStyle w:val="11"/>
            <w:tabs>
              <w:tab w:val="left" w:pos="1100"/>
              <w:tab w:val="right" w:leader="dot" w:pos="9679"/>
            </w:tabs>
            <w:rPr>
              <w:rFonts w:asciiTheme="minorHAnsi" w:eastAsiaTheme="minorEastAsia" w:hAnsiTheme="minorHAnsi"/>
              <w:noProof/>
              <w:sz w:val="22"/>
              <w:lang w:val="ru-RU" w:eastAsia="ru-RU"/>
            </w:rPr>
          </w:pPr>
          <w:hyperlink w:anchor="_Toc514964144" w:history="1">
            <w:r>
              <w:rPr>
                <w:rFonts w:asciiTheme="minorHAnsi" w:eastAsiaTheme="minorEastAsia" w:hAnsiTheme="minorHAnsi"/>
                <w:noProof/>
                <w:sz w:val="22"/>
                <w:lang w:val="ru-RU" w:eastAsia="ru-RU"/>
              </w:rPr>
              <w:tab/>
            </w:r>
            <w:r w:rsidRPr="009C783C">
              <w:rPr>
                <w:rStyle w:val="a9"/>
                <w:noProof/>
              </w:rPr>
              <w:t>Appendix 2. Working capital structure regression analysis results</w:t>
            </w:r>
            <w:r>
              <w:rPr>
                <w:noProof/>
                <w:webHidden/>
              </w:rPr>
              <w:tab/>
            </w:r>
            <w:r>
              <w:rPr>
                <w:noProof/>
                <w:webHidden/>
              </w:rPr>
              <w:fldChar w:fldCharType="begin"/>
            </w:r>
            <w:r>
              <w:rPr>
                <w:noProof/>
                <w:webHidden/>
              </w:rPr>
              <w:instrText xml:space="preserve"> PAGEREF _Toc514964144 \h </w:instrText>
            </w:r>
            <w:r>
              <w:rPr>
                <w:noProof/>
                <w:webHidden/>
              </w:rPr>
            </w:r>
            <w:r>
              <w:rPr>
                <w:noProof/>
                <w:webHidden/>
              </w:rPr>
              <w:fldChar w:fldCharType="separate"/>
            </w:r>
            <w:r w:rsidR="00154E78">
              <w:rPr>
                <w:noProof/>
                <w:webHidden/>
              </w:rPr>
              <w:t>53</w:t>
            </w:r>
            <w:r>
              <w:rPr>
                <w:noProof/>
                <w:webHidden/>
              </w:rPr>
              <w:fldChar w:fldCharType="end"/>
            </w:r>
          </w:hyperlink>
        </w:p>
        <w:p w14:paraId="40BA75CA" w14:textId="285B779F" w:rsidR="007D7CDE" w:rsidRDefault="007D7CDE">
          <w:pPr>
            <w:pStyle w:val="11"/>
            <w:tabs>
              <w:tab w:val="left" w:pos="1100"/>
              <w:tab w:val="right" w:leader="dot" w:pos="9679"/>
            </w:tabs>
            <w:rPr>
              <w:rFonts w:asciiTheme="minorHAnsi" w:eastAsiaTheme="minorEastAsia" w:hAnsiTheme="minorHAnsi"/>
              <w:noProof/>
              <w:sz w:val="22"/>
              <w:lang w:val="ru-RU" w:eastAsia="ru-RU"/>
            </w:rPr>
          </w:pPr>
          <w:hyperlink w:anchor="_Toc514964145" w:history="1">
            <w:r>
              <w:rPr>
                <w:rFonts w:asciiTheme="minorHAnsi" w:eastAsiaTheme="minorEastAsia" w:hAnsiTheme="minorHAnsi"/>
                <w:noProof/>
                <w:sz w:val="22"/>
                <w:lang w:val="ru-RU" w:eastAsia="ru-RU"/>
              </w:rPr>
              <w:tab/>
            </w:r>
            <w:r w:rsidRPr="009C783C">
              <w:rPr>
                <w:rStyle w:val="a9"/>
                <w:noProof/>
              </w:rPr>
              <w:t>Appendix 3. Working capital deficit regression results</w:t>
            </w:r>
            <w:r>
              <w:rPr>
                <w:noProof/>
                <w:webHidden/>
              </w:rPr>
              <w:tab/>
            </w:r>
            <w:r>
              <w:rPr>
                <w:noProof/>
                <w:webHidden/>
              </w:rPr>
              <w:fldChar w:fldCharType="begin"/>
            </w:r>
            <w:r>
              <w:rPr>
                <w:noProof/>
                <w:webHidden/>
              </w:rPr>
              <w:instrText xml:space="preserve"> PAGEREF _Toc514964145 \h </w:instrText>
            </w:r>
            <w:r>
              <w:rPr>
                <w:noProof/>
                <w:webHidden/>
              </w:rPr>
            </w:r>
            <w:r>
              <w:rPr>
                <w:noProof/>
                <w:webHidden/>
              </w:rPr>
              <w:fldChar w:fldCharType="separate"/>
            </w:r>
            <w:r w:rsidR="00154E78">
              <w:rPr>
                <w:noProof/>
                <w:webHidden/>
              </w:rPr>
              <w:t>56</w:t>
            </w:r>
            <w:r>
              <w:rPr>
                <w:noProof/>
                <w:webHidden/>
              </w:rPr>
              <w:fldChar w:fldCharType="end"/>
            </w:r>
          </w:hyperlink>
        </w:p>
        <w:p w14:paraId="3A1C9AEF" w14:textId="2032FE8A" w:rsidR="00EE2777" w:rsidRDefault="00EE2777" w:rsidP="004D2A38">
          <w:pPr>
            <w:tabs>
              <w:tab w:val="left" w:pos="0"/>
            </w:tabs>
          </w:pPr>
          <w:r>
            <w:rPr>
              <w:b/>
              <w:bCs/>
              <w:noProof/>
            </w:rPr>
            <w:fldChar w:fldCharType="end"/>
          </w:r>
        </w:p>
      </w:sdtContent>
    </w:sdt>
    <w:p w14:paraId="1C6C299C" w14:textId="77777777" w:rsidR="00EE2777" w:rsidRDefault="00EE2777" w:rsidP="004D2A38">
      <w:pPr>
        <w:tabs>
          <w:tab w:val="left" w:pos="0"/>
        </w:tabs>
        <w:spacing w:after="160" w:line="259" w:lineRule="auto"/>
        <w:ind w:firstLine="0"/>
        <w:contextualSpacing w:val="0"/>
        <w:jc w:val="left"/>
        <w:rPr>
          <w:rFonts w:eastAsiaTheme="majorEastAsia" w:cstheme="majorBidi"/>
          <w:b/>
          <w:sz w:val="28"/>
          <w:szCs w:val="32"/>
        </w:rPr>
      </w:pPr>
      <w:r>
        <w:br w:type="page"/>
      </w:r>
    </w:p>
    <w:p w14:paraId="75A9EC5D" w14:textId="77777777" w:rsidR="00B97F7F" w:rsidRDefault="00B97F7F" w:rsidP="004D2A38">
      <w:pPr>
        <w:pStyle w:val="1"/>
        <w:numPr>
          <w:ilvl w:val="0"/>
          <w:numId w:val="0"/>
        </w:numPr>
        <w:tabs>
          <w:tab w:val="left" w:pos="0"/>
        </w:tabs>
      </w:pPr>
      <w:bookmarkStart w:id="0" w:name="_Toc514964127"/>
      <w:r>
        <w:lastRenderedPageBreak/>
        <w:t>Introduction</w:t>
      </w:r>
      <w:bookmarkEnd w:id="0"/>
    </w:p>
    <w:p w14:paraId="42CC7F04" w14:textId="77777777" w:rsidR="00B97F7F" w:rsidRPr="00996C9C" w:rsidRDefault="00B97F7F" w:rsidP="004D2A38">
      <w:pPr>
        <w:tabs>
          <w:tab w:val="left" w:pos="0"/>
        </w:tabs>
      </w:pPr>
      <w:r w:rsidRPr="00996C9C">
        <w:t xml:space="preserve">Nowadays mergers and acquisitions market transformed and changed its models of deals and value creation significantly since 1990s and early 2000s when the majority of competent researches have been made. It is time to revise the theory and introduce new prepositions and implications to the world of takeovers. </w:t>
      </w:r>
    </w:p>
    <w:p w14:paraId="3A3196E4" w14:textId="1AC1F4D4" w:rsidR="00B97F7F" w:rsidRPr="00996C9C" w:rsidRDefault="00B97F7F" w:rsidP="004D2A38">
      <w:pPr>
        <w:tabs>
          <w:tab w:val="left" w:pos="0"/>
        </w:tabs>
      </w:pPr>
      <w:r w:rsidRPr="00996C9C">
        <w:t xml:space="preserve">Besides there is no doubt that there are a great variety of different factors that may influence the possibility of a deal, and the future post-merger performance of the company. One of such factors is the working capital management in the company. There is no secret that managing working capital today is one of the crucial task of the management of the company. Besides the rules of target working capital have been also changed. </w:t>
      </w:r>
    </w:p>
    <w:p w14:paraId="1B768BE3" w14:textId="4FEF04C0" w:rsidR="00B97F7F" w:rsidRPr="00996C9C" w:rsidRDefault="00B97F7F" w:rsidP="004D2A38">
      <w:pPr>
        <w:tabs>
          <w:tab w:val="left" w:pos="0"/>
        </w:tabs>
      </w:pPr>
      <w:bookmarkStart w:id="1" w:name="_Hlk514642786"/>
      <w:r w:rsidRPr="00996C9C">
        <w:t>Now it is not a surprise to see a very aggressive and steadily negative working capital in the technological company</w:t>
      </w:r>
      <w:r w:rsidR="00996C9C" w:rsidRPr="00996C9C">
        <w:t xml:space="preserve"> or</w:t>
      </w:r>
      <w:r w:rsidR="0044163F">
        <w:t>,</w:t>
      </w:r>
      <w:r w:rsidR="00996C9C" w:rsidRPr="00996C9C">
        <w:t xml:space="preserve"> </w:t>
      </w:r>
      <w:r w:rsidR="0044163F">
        <w:t xml:space="preserve">on the opposite, still conservative ratios of much higher assets over liabilities for </w:t>
      </w:r>
      <w:r w:rsidR="00996C9C" w:rsidRPr="00996C9C">
        <w:t>manufacturing companies</w:t>
      </w:r>
      <w:bookmarkEnd w:id="1"/>
      <w:r w:rsidRPr="00996C9C">
        <w:t xml:space="preserve">. But does it influence company’s operations before and after the deal? </w:t>
      </w:r>
      <w:r w:rsidR="0044163F">
        <w:t xml:space="preserve">That is why </w:t>
      </w:r>
      <w:r w:rsidRPr="00996C9C">
        <w:t xml:space="preserve">the reason of this work will be to determine the key features of these indicator and explain the possible reason and potential implications. </w:t>
      </w:r>
    </w:p>
    <w:p w14:paraId="422EE9E1" w14:textId="644E2010" w:rsidR="00B97F7F" w:rsidRPr="00996C9C" w:rsidRDefault="00B97F7F" w:rsidP="004D2A38">
      <w:pPr>
        <w:tabs>
          <w:tab w:val="left" w:pos="0"/>
        </w:tabs>
        <w:contextualSpacing w:val="0"/>
      </w:pPr>
      <w:r w:rsidRPr="00996C9C">
        <w:t>The main research goal of the paper is to identify the relationship between working capital structure and after deal company performance. The main research questions to be answered are:</w:t>
      </w:r>
    </w:p>
    <w:p w14:paraId="45BC3DDD" w14:textId="66C7FA80" w:rsidR="00B05FDA" w:rsidRDefault="00182D22" w:rsidP="004D2A38">
      <w:pPr>
        <w:pStyle w:val="a5"/>
        <w:numPr>
          <w:ilvl w:val="0"/>
          <w:numId w:val="13"/>
        </w:numPr>
        <w:tabs>
          <w:tab w:val="left" w:pos="0"/>
        </w:tabs>
        <w:spacing w:before="240"/>
        <w:contextualSpacing w:val="0"/>
        <w:rPr>
          <w:rFonts w:cs="Times New Roman"/>
          <w:szCs w:val="24"/>
        </w:rPr>
      </w:pPr>
      <w:bookmarkStart w:id="2" w:name="_Hlk514605035"/>
      <w:r>
        <w:rPr>
          <w:rFonts w:cs="Times New Roman"/>
          <w:szCs w:val="24"/>
        </w:rPr>
        <w:t xml:space="preserve">What are the key performance </w:t>
      </w:r>
      <w:bookmarkEnd w:id="2"/>
      <w:r>
        <w:rPr>
          <w:rFonts w:cs="Times New Roman"/>
          <w:szCs w:val="24"/>
        </w:rPr>
        <w:t>drivers in M&amp;A transactions?</w:t>
      </w:r>
    </w:p>
    <w:p w14:paraId="20E1F6AA" w14:textId="609BF438" w:rsidR="00182D22" w:rsidRDefault="00182D22" w:rsidP="004D2A38">
      <w:pPr>
        <w:pStyle w:val="a5"/>
        <w:numPr>
          <w:ilvl w:val="0"/>
          <w:numId w:val="13"/>
        </w:numPr>
        <w:tabs>
          <w:tab w:val="left" w:pos="0"/>
        </w:tabs>
        <w:spacing w:before="240"/>
        <w:contextualSpacing w:val="0"/>
        <w:rPr>
          <w:rFonts w:cs="Times New Roman"/>
          <w:szCs w:val="24"/>
        </w:rPr>
      </w:pPr>
      <w:r>
        <w:rPr>
          <w:rFonts w:cs="Times New Roman"/>
          <w:szCs w:val="24"/>
        </w:rPr>
        <w:t>What are the main features of working capital and working capital management of the firms?</w:t>
      </w:r>
    </w:p>
    <w:p w14:paraId="59F4E747" w14:textId="55F98E4E" w:rsidR="00182D22" w:rsidRDefault="00182D22" w:rsidP="004D2A38">
      <w:pPr>
        <w:pStyle w:val="a5"/>
        <w:numPr>
          <w:ilvl w:val="0"/>
          <w:numId w:val="13"/>
        </w:numPr>
        <w:tabs>
          <w:tab w:val="left" w:pos="0"/>
        </w:tabs>
        <w:spacing w:before="240"/>
        <w:contextualSpacing w:val="0"/>
        <w:rPr>
          <w:rFonts w:cs="Times New Roman"/>
          <w:szCs w:val="24"/>
        </w:rPr>
      </w:pPr>
      <w:r>
        <w:rPr>
          <w:rFonts w:cs="Times New Roman"/>
          <w:szCs w:val="24"/>
        </w:rPr>
        <w:t>What is the relationship between working capital structure and after-deal corporate performance?</w:t>
      </w:r>
    </w:p>
    <w:p w14:paraId="0FC3178A" w14:textId="6F903BDC" w:rsidR="00182D22" w:rsidRDefault="00182D22" w:rsidP="004D2A38">
      <w:pPr>
        <w:pStyle w:val="a5"/>
        <w:numPr>
          <w:ilvl w:val="0"/>
          <w:numId w:val="13"/>
        </w:numPr>
        <w:tabs>
          <w:tab w:val="left" w:pos="0"/>
        </w:tabs>
        <w:spacing w:before="240"/>
        <w:contextualSpacing w:val="0"/>
        <w:rPr>
          <w:rFonts w:cs="Times New Roman"/>
          <w:szCs w:val="24"/>
        </w:rPr>
      </w:pPr>
      <w:r>
        <w:rPr>
          <w:rFonts w:cs="Times New Roman"/>
          <w:szCs w:val="24"/>
        </w:rPr>
        <w:t>What is the optimal structure of working capital in M&amp;A transactions that maximizes performance of the companies?</w:t>
      </w:r>
    </w:p>
    <w:p w14:paraId="0B556AE0" w14:textId="59B9B174" w:rsidR="00182D22" w:rsidRDefault="00182D22" w:rsidP="004D2A38">
      <w:pPr>
        <w:tabs>
          <w:tab w:val="left" w:pos="0"/>
        </w:tabs>
        <w:spacing w:before="240"/>
        <w:contextualSpacing w:val="0"/>
        <w:rPr>
          <w:rFonts w:cs="Times New Roman"/>
          <w:szCs w:val="24"/>
        </w:rPr>
      </w:pPr>
      <w:r>
        <w:rPr>
          <w:rFonts w:cs="Times New Roman"/>
          <w:szCs w:val="24"/>
        </w:rPr>
        <w:t>The main research objectives to be solved are:</w:t>
      </w:r>
    </w:p>
    <w:p w14:paraId="43D9A78D" w14:textId="67F016B6" w:rsidR="00182D22" w:rsidRDefault="00182D22" w:rsidP="004D2A38">
      <w:pPr>
        <w:pStyle w:val="a5"/>
        <w:numPr>
          <w:ilvl w:val="0"/>
          <w:numId w:val="20"/>
        </w:numPr>
        <w:tabs>
          <w:tab w:val="left" w:pos="0"/>
        </w:tabs>
        <w:spacing w:before="240"/>
        <w:contextualSpacing w:val="0"/>
        <w:rPr>
          <w:rFonts w:cs="Times New Roman"/>
          <w:szCs w:val="24"/>
        </w:rPr>
      </w:pPr>
      <w:r>
        <w:rPr>
          <w:rFonts w:cs="Times New Roman"/>
          <w:szCs w:val="24"/>
        </w:rPr>
        <w:t>The main features of working capital and working capital management of the firms;</w:t>
      </w:r>
    </w:p>
    <w:p w14:paraId="00A42A53" w14:textId="7CAA3594" w:rsidR="00182D22" w:rsidRDefault="00182D22" w:rsidP="004D2A38">
      <w:pPr>
        <w:pStyle w:val="a5"/>
        <w:numPr>
          <w:ilvl w:val="0"/>
          <w:numId w:val="20"/>
        </w:numPr>
        <w:tabs>
          <w:tab w:val="left" w:pos="0"/>
        </w:tabs>
        <w:spacing w:before="240"/>
        <w:contextualSpacing w:val="0"/>
        <w:rPr>
          <w:rFonts w:cs="Times New Roman"/>
          <w:szCs w:val="24"/>
        </w:rPr>
      </w:pPr>
      <w:r>
        <w:rPr>
          <w:rFonts w:cs="Times New Roman"/>
          <w:szCs w:val="24"/>
        </w:rPr>
        <w:t>Identify the target working capital ratios of companies as a proxy for the further calculations;</w:t>
      </w:r>
    </w:p>
    <w:p w14:paraId="28D67C75" w14:textId="109FD22F" w:rsidR="00182D22" w:rsidRDefault="00182D22" w:rsidP="004D2A38">
      <w:pPr>
        <w:pStyle w:val="a5"/>
        <w:numPr>
          <w:ilvl w:val="0"/>
          <w:numId w:val="20"/>
        </w:numPr>
        <w:tabs>
          <w:tab w:val="left" w:pos="0"/>
        </w:tabs>
        <w:spacing w:before="240"/>
        <w:contextualSpacing w:val="0"/>
        <w:rPr>
          <w:rFonts w:cs="Times New Roman"/>
          <w:szCs w:val="24"/>
        </w:rPr>
      </w:pPr>
      <w:r>
        <w:rPr>
          <w:rFonts w:cs="Times New Roman"/>
          <w:szCs w:val="24"/>
        </w:rPr>
        <w:lastRenderedPageBreak/>
        <w:t>Identify key performance indicators of working capital management for companies to be tracked to assess the relationship between WC management and after-deal performance;</w:t>
      </w:r>
    </w:p>
    <w:p w14:paraId="5E4F2219" w14:textId="4159F9A3" w:rsidR="00182D22" w:rsidRPr="00182D22" w:rsidRDefault="00182D22" w:rsidP="004D2A38">
      <w:pPr>
        <w:pStyle w:val="a5"/>
        <w:numPr>
          <w:ilvl w:val="0"/>
          <w:numId w:val="20"/>
        </w:numPr>
        <w:tabs>
          <w:tab w:val="left" w:pos="0"/>
        </w:tabs>
        <w:spacing w:before="240"/>
        <w:contextualSpacing w:val="0"/>
        <w:rPr>
          <w:rFonts w:cs="Times New Roman"/>
          <w:szCs w:val="24"/>
        </w:rPr>
      </w:pPr>
      <w:r>
        <w:rPr>
          <w:rFonts w:cs="Times New Roman"/>
          <w:szCs w:val="24"/>
        </w:rPr>
        <w:t>Develop suggestions on working capital management for companies involved into mergers and acquisitions activities.</w:t>
      </w:r>
    </w:p>
    <w:p w14:paraId="0529DBC8" w14:textId="670C7BB6" w:rsidR="00B97F7F" w:rsidRDefault="00B97F7F" w:rsidP="00C42ED5">
      <w:pPr>
        <w:pStyle w:val="a5"/>
        <w:tabs>
          <w:tab w:val="left" w:pos="0"/>
        </w:tabs>
        <w:spacing w:before="240" w:after="0"/>
        <w:ind w:left="0"/>
        <w:contextualSpacing w:val="0"/>
        <w:rPr>
          <w:rFonts w:cs="Times New Roman"/>
          <w:szCs w:val="24"/>
        </w:rPr>
      </w:pPr>
      <w:r>
        <w:rPr>
          <w:rFonts w:cs="Times New Roman"/>
          <w:szCs w:val="24"/>
        </w:rPr>
        <w:t xml:space="preserve">The main research implication of this paper </w:t>
      </w:r>
      <w:r w:rsidR="00C42ED5">
        <w:rPr>
          <w:rFonts w:cs="Times New Roman"/>
          <w:szCs w:val="24"/>
        </w:rPr>
        <w:t>will</w:t>
      </w:r>
      <w:r>
        <w:rPr>
          <w:rFonts w:cs="Times New Roman"/>
          <w:szCs w:val="24"/>
        </w:rPr>
        <w:t xml:space="preserve"> be an established </w:t>
      </w:r>
      <w:r w:rsidR="00913002">
        <w:rPr>
          <w:rFonts w:cs="Times New Roman"/>
          <w:szCs w:val="24"/>
        </w:rPr>
        <w:t>view</w:t>
      </w:r>
      <w:r>
        <w:rPr>
          <w:rFonts w:cs="Times New Roman"/>
          <w:szCs w:val="24"/>
        </w:rPr>
        <w:t xml:space="preserve"> on </w:t>
      </w:r>
      <w:r w:rsidR="00913002">
        <w:rPr>
          <w:rFonts w:cs="Times New Roman"/>
          <w:szCs w:val="24"/>
        </w:rPr>
        <w:t xml:space="preserve">how </w:t>
      </w:r>
      <w:r>
        <w:rPr>
          <w:rFonts w:cs="Times New Roman"/>
          <w:szCs w:val="24"/>
        </w:rPr>
        <w:t>working capital structure</w:t>
      </w:r>
      <w:r w:rsidR="00913002">
        <w:rPr>
          <w:rFonts w:cs="Times New Roman"/>
          <w:szCs w:val="24"/>
        </w:rPr>
        <w:t xml:space="preserve"> influences firms’ performance</w:t>
      </w:r>
      <w:r w:rsidR="00577495">
        <w:rPr>
          <w:rFonts w:cs="Times New Roman"/>
          <w:szCs w:val="24"/>
        </w:rPr>
        <w:t xml:space="preserve"> </w:t>
      </w:r>
      <w:r>
        <w:rPr>
          <w:rFonts w:cs="Times New Roman"/>
          <w:szCs w:val="24"/>
        </w:rPr>
        <w:t xml:space="preserve">after the deal. Of course, working capital should not be the only concern of the company trying or already engaging into the mergers and acquisition deals, but this paper will show that companies still have to take a closer look at this indicator. </w:t>
      </w:r>
    </w:p>
    <w:p w14:paraId="2320386F" w14:textId="77777777" w:rsidR="00C42ED5" w:rsidRDefault="00C42ED5" w:rsidP="00C42ED5">
      <w:r>
        <w:t xml:space="preserve">The main research method of the analysis is the econometrical modelling of the effects between dependent and independent variables. Based on the results of these analysis, relevant conclusion will be stated, and appropriate research implication will be developed. The methodology of the research will be further described in detail in the second chapter of this work. </w:t>
      </w:r>
    </w:p>
    <w:p w14:paraId="517D208E" w14:textId="77777777" w:rsidR="00C42ED5" w:rsidRDefault="00C42ED5" w:rsidP="0085491F">
      <w:r>
        <w:t>As the main result of these paper we aim to meet all the research objectives defined previously and answer the above stated research questions. The results of the empirical part should be useful for the company management involved into mergers and acquisitions transactions, as well as for the other side of the deal participants, such investors and creditors. We aim to give a clear outlook on how the working capital management can help to increase performance of the companies in the mergers and acquisitions deals and therefore help all the parties involved in these deals.</w:t>
      </w:r>
    </w:p>
    <w:p w14:paraId="219F26B3" w14:textId="7B48DC65" w:rsidR="00577495" w:rsidRDefault="00C42ED5" w:rsidP="0085491F">
      <w:pPr>
        <w:rPr>
          <w:rFonts w:eastAsiaTheme="majorEastAsia" w:cstheme="majorBidi"/>
          <w:sz w:val="28"/>
          <w:szCs w:val="32"/>
        </w:rPr>
      </w:pPr>
      <w:r>
        <w:t xml:space="preserve">The paper consists of the 5 main parts: introduction, three chapters and conclusion. The first chapter covers theoretical background of the working capital management of the firms, as well as </w:t>
      </w:r>
      <w:r w:rsidR="000B4CED">
        <w:t xml:space="preserve">clear view on which key indicators this metric and more important how the working capital structure itself influences the company performance. First chapter is also devoted to the identifying key mergers and acquisition resources that help to increase company performance involved, and tries to find out theoretical association between working capital management and M&amp;A performance. In the second chapter we state clear hypotheses to be tested further and define research methodology that will be used to answer the research questions and accept or reject the stated hypotheses. The third chapter is the summary of the empirical data obtained during the analysis. It also includes the research interpretations and gives managerial implications, as well as research limitations and further room for the research. In the conclusion part we summarize all the </w:t>
      </w:r>
      <w:r w:rsidR="00FE2E86">
        <w:t xml:space="preserve">prior results of the paper and present the conclusions in accordance with those results. </w:t>
      </w:r>
      <w:r w:rsidR="000B4CED">
        <w:t xml:space="preserve"> </w:t>
      </w:r>
      <w:r w:rsidR="00577495">
        <w:br w:type="page"/>
      </w:r>
    </w:p>
    <w:p w14:paraId="0A304433" w14:textId="77B97A8B" w:rsidR="00E367CC" w:rsidRPr="00E346F5" w:rsidRDefault="00F7052C" w:rsidP="004D2A38">
      <w:pPr>
        <w:pStyle w:val="1"/>
        <w:tabs>
          <w:tab w:val="left" w:pos="0"/>
        </w:tabs>
      </w:pPr>
      <w:bookmarkStart w:id="3" w:name="_Toc514964128"/>
      <w:r w:rsidRPr="00E346F5">
        <w:lastRenderedPageBreak/>
        <w:t xml:space="preserve">Chapter 1. </w:t>
      </w:r>
      <w:r w:rsidR="00663C5D" w:rsidRPr="00E346F5">
        <w:t>Theor</w:t>
      </w:r>
      <w:r w:rsidRPr="00E346F5">
        <w:t>etical grounds of working capital management and M&amp;A market</w:t>
      </w:r>
      <w:bookmarkEnd w:id="3"/>
    </w:p>
    <w:p w14:paraId="62E31BDF" w14:textId="31D22FA8" w:rsidR="00161BEE" w:rsidRDefault="00161BEE" w:rsidP="004D2A38">
      <w:pPr>
        <w:pStyle w:val="2"/>
        <w:tabs>
          <w:tab w:val="left" w:pos="0"/>
        </w:tabs>
      </w:pPr>
      <w:bookmarkStart w:id="4" w:name="_Toc514964129"/>
      <w:r>
        <w:t>Corporate performance in mergers and acquisition</w:t>
      </w:r>
      <w:r w:rsidR="00873A54">
        <w:t>s</w:t>
      </w:r>
      <w:r>
        <w:t xml:space="preserve"> transactions</w:t>
      </w:r>
      <w:bookmarkEnd w:id="4"/>
    </w:p>
    <w:p w14:paraId="3DB1320C" w14:textId="77777777" w:rsidR="00161BEE" w:rsidRDefault="00161BEE" w:rsidP="004D2A38">
      <w:pPr>
        <w:tabs>
          <w:tab w:val="left" w:pos="0"/>
        </w:tabs>
      </w:pPr>
      <w:r>
        <w:t xml:space="preserve">Mergers and acquisitions have a global impact on the world economy and the economies of individual countries. The enlargement of business makes it nowadays more and more influential. Therefore, there is a problem of regulation and control not only from the national governments, but also from the international economic organizations. The process of mergers and acquisitions has been at the center of many research in management for several decades. More often such deals are considered by companies as an efficient and quick way to expand their presence in the new markets, to strengthen their performance. </w:t>
      </w:r>
      <w:r w:rsidRPr="00226A94">
        <w:t>However, empirical studies show that most of the deals do not achieve their goals, 61% of all such transactions do not pay back the investments invested in them, and 57% newly formed companies are left behind similar competing firms and are forced to separate into independent businesses (KPMG, 2012).</w:t>
      </w:r>
      <w:r>
        <w:t xml:space="preserve"> However, managers continue to make such transactions significantly both in quantitative monetary terms. This suggests that the system of analysis of key financial indicators and factors when making management decisions, as well as the entire corporate governance system in the case of mergers and acquisitions transactions may not work efficiently and should be studied more thoroughly. It is very important to understand the drivers of successful M&amp;A deals in order to identify current gap in the research conclusions and find the most relevant control variables for the research analysis that will be done further in this paper. </w:t>
      </w:r>
    </w:p>
    <w:p w14:paraId="51D9CFC0" w14:textId="77777777" w:rsidR="00161BEE" w:rsidRDefault="00161BEE" w:rsidP="004D2A38">
      <w:pPr>
        <w:tabs>
          <w:tab w:val="left" w:pos="0"/>
        </w:tabs>
      </w:pPr>
      <w:r>
        <w:t>First of all, in order to estimate the impact of different factors onto the M&amp;A deal performance we need to understand how to value that influence.</w:t>
      </w:r>
      <w:r w:rsidRPr="00226A94">
        <w:t xml:space="preserve"> </w:t>
      </w:r>
      <w:r>
        <w:t>T</w:t>
      </w:r>
      <w:r w:rsidRPr="00226A94">
        <w:t>he approaches differ in the use of different indicators to assess the effect</w:t>
      </w:r>
      <w:r>
        <w:t xml:space="preserve"> form the deal</w:t>
      </w:r>
      <w:r w:rsidRPr="00226A94">
        <w:t xml:space="preserve">, which largely determines </w:t>
      </w:r>
      <w:r>
        <w:t xml:space="preserve">for whom </w:t>
      </w:r>
      <w:r w:rsidRPr="00226A94">
        <w:t xml:space="preserve">the efficiency of the transaction is calculated. </w:t>
      </w:r>
      <w:r>
        <w:t>Most</w:t>
      </w:r>
      <w:r w:rsidRPr="00226A94">
        <w:t xml:space="preserve"> scientists share the view that the result should be determined by the increase in the company's share price </w:t>
      </w:r>
      <w:r>
        <w:t>(</w:t>
      </w:r>
      <w:proofErr w:type="spellStart"/>
      <w:r>
        <w:t>Alhenawi</w:t>
      </w:r>
      <w:proofErr w:type="spellEnd"/>
      <w:r>
        <w:t xml:space="preserve"> and </w:t>
      </w:r>
      <w:proofErr w:type="spellStart"/>
      <w:r>
        <w:t>Krishnaswami</w:t>
      </w:r>
      <w:proofErr w:type="spellEnd"/>
      <w:r>
        <w:t>, 2015)</w:t>
      </w:r>
      <w:r w:rsidRPr="00226A94">
        <w:t>.</w:t>
      </w:r>
      <w:r>
        <w:t xml:space="preserve"> </w:t>
      </w:r>
    </w:p>
    <w:p w14:paraId="2C03C6FA" w14:textId="690EC7AE" w:rsidR="00161BEE" w:rsidRDefault="00161BEE" w:rsidP="004D2A38">
      <w:pPr>
        <w:tabs>
          <w:tab w:val="left" w:pos="0"/>
        </w:tabs>
      </w:pPr>
      <w:r w:rsidRPr="007A7EF7">
        <w:t>In addition, approaches differ in</w:t>
      </w:r>
      <w:r>
        <w:t xml:space="preserve"> terms of</w:t>
      </w:r>
      <w:r w:rsidRPr="007A7EF7">
        <w:t xml:space="preserve"> the calculation</w:t>
      </w:r>
      <w:r>
        <w:t xml:space="preserve"> </w:t>
      </w:r>
      <w:r w:rsidRPr="007A7EF7">
        <w:t>horizon</w:t>
      </w:r>
      <w:r>
        <w:t xml:space="preserve"> length</w:t>
      </w:r>
      <w:r w:rsidRPr="007A7EF7">
        <w:t>. The</w:t>
      </w:r>
      <w:r>
        <w:t xml:space="preserve">re are </w:t>
      </w:r>
      <w:r w:rsidRPr="007A7EF7">
        <w:t>short-term and long-term effects of the transaction</w:t>
      </w:r>
      <w:r>
        <w:t xml:space="preserve"> </w:t>
      </w:r>
      <w:r w:rsidRPr="007A7EF7">
        <w:t>assessment. The most common method of analyzing the effectiveness of M&amp;A transactions in the scientific literature is the method of estimating changes in the yields of shares on a short-term interval. The popularity of this approach is easily explained, since the data for analysis are relatively accessible to all public companies. The basis of this short-term study is the methodology of the event study. The method of profitability of shares in the short-term period is subjected to special criticism from part of the researchers</w:t>
      </w:r>
      <w:r>
        <w:t xml:space="preserve">. It was </w:t>
      </w:r>
      <w:r w:rsidRPr="007A7EF7">
        <w:t xml:space="preserve">found that when </w:t>
      </w:r>
      <w:r>
        <w:t>performance</w:t>
      </w:r>
      <w:r w:rsidRPr="007A7EF7">
        <w:t xml:space="preserve"> is estimated through short-term performance of stock prices, the actual </w:t>
      </w:r>
      <w:r>
        <w:t>performance</w:t>
      </w:r>
      <w:r w:rsidRPr="007A7EF7">
        <w:t xml:space="preserve"> is </w:t>
      </w:r>
      <w:r w:rsidRPr="007A7EF7">
        <w:lastRenderedPageBreak/>
        <w:t>not estimated, but, instead</w:t>
      </w:r>
      <w:r>
        <w:t xml:space="preserve">, </w:t>
      </w:r>
      <w:r w:rsidRPr="007A7EF7">
        <w:t xml:space="preserve">the expectations of market participants regarding the effectiveness of this transaction </w:t>
      </w:r>
      <w:r>
        <w:t>(</w:t>
      </w:r>
      <w:proofErr w:type="spellStart"/>
      <w:r>
        <w:t>Sudarsanam</w:t>
      </w:r>
      <w:proofErr w:type="spellEnd"/>
      <w:r>
        <w:t>, 2011)</w:t>
      </w:r>
      <w:r w:rsidRPr="007A7EF7">
        <w:t>.</w:t>
      </w:r>
      <w:r>
        <w:t xml:space="preserve"> Besides,</w:t>
      </w:r>
      <w:r w:rsidRPr="007A7EF7">
        <w:t xml:space="preserve"> it is proved that in the process of assessing the </w:t>
      </w:r>
      <w:r>
        <w:t xml:space="preserve">short-term </w:t>
      </w:r>
      <w:r w:rsidRPr="007A7EF7">
        <w:t>profitability of company shares, factors that can affect the effectiveness of transactions are not taken into account</w:t>
      </w:r>
      <w:r>
        <w:t xml:space="preserve"> (</w:t>
      </w:r>
      <w:r w:rsidRPr="00807200">
        <w:t>Larsson R.</w:t>
      </w:r>
      <w:r>
        <w:t xml:space="preserve"> and</w:t>
      </w:r>
      <w:r w:rsidRPr="00807200">
        <w:t xml:space="preserve"> Finkelstein S</w:t>
      </w:r>
      <w:r>
        <w:t>., 1999)</w:t>
      </w:r>
      <w:r w:rsidRPr="007A7EF7">
        <w:t xml:space="preserve">. For example, the reaction of company personnel and the level of operational integration. </w:t>
      </w:r>
      <w:r>
        <w:t>On the other hand, long-term m</w:t>
      </w:r>
      <w:r w:rsidRPr="007A7EF7">
        <w:t xml:space="preserve">odels used to evaluate </w:t>
      </w:r>
      <w:r>
        <w:t>firms’ performance</w:t>
      </w:r>
      <w:r w:rsidRPr="007A7EF7">
        <w:t xml:space="preserve"> over a relatively long period of time are not approved by researchers because of their low statistical significance </w:t>
      </w:r>
      <w:r>
        <w:t>(</w:t>
      </w:r>
      <w:proofErr w:type="spellStart"/>
      <w:r>
        <w:t>Sudarsanam</w:t>
      </w:r>
      <w:proofErr w:type="spellEnd"/>
      <w:r>
        <w:t>, 2011)</w:t>
      </w:r>
      <w:r w:rsidRPr="007A7EF7">
        <w:t xml:space="preserve">. </w:t>
      </w:r>
      <w:r>
        <w:t>Therefore, d</w:t>
      </w:r>
      <w:r w:rsidRPr="007A7EF7">
        <w:t>espite the wide variety of methods for assessing the effectiveness of mergers and acquisitions, each has many shortcomings and limitations, and therefore there is no consensus on one priority and universal method.</w:t>
      </w:r>
      <w:r>
        <w:t xml:space="preserve"> </w:t>
      </w:r>
      <w:r w:rsidRPr="00807200">
        <w:t xml:space="preserve">There is </w:t>
      </w:r>
      <w:r>
        <w:t>the</w:t>
      </w:r>
      <w:r w:rsidRPr="00807200">
        <w:t xml:space="preserve"> need for an integrated approach to the analysis of efficiency, where it is possible to use several techniques simultaneously, which will overcome the shortcomings of one technique due to the </w:t>
      </w:r>
      <w:r>
        <w:t>advantages</w:t>
      </w:r>
      <w:r w:rsidRPr="00807200">
        <w:t xml:space="preserve"> of the other.</w:t>
      </w:r>
    </w:p>
    <w:p w14:paraId="4EA440C5" w14:textId="3793302C" w:rsidR="009A5013" w:rsidRPr="00787699" w:rsidRDefault="00380452" w:rsidP="009A5013">
      <w:pPr>
        <w:tabs>
          <w:tab w:val="left" w:pos="0"/>
        </w:tabs>
        <w:rPr>
          <w:color w:val="000000" w:themeColor="text1"/>
        </w:rPr>
      </w:pPr>
      <w:r>
        <w:t xml:space="preserve">Since the main idea of the research is to identify the indicators of the company performance, it is very crucial to understand </w:t>
      </w:r>
      <w:r w:rsidR="00691EBE">
        <w:t xml:space="preserve">the best possible indicator to measure such kind of performance. </w:t>
      </w:r>
      <w:r w:rsidR="009A5013" w:rsidRPr="00787699">
        <w:rPr>
          <w:color w:val="000000" w:themeColor="text1"/>
        </w:rPr>
        <w:t xml:space="preserve">To calculate the </w:t>
      </w:r>
      <w:r w:rsidR="002A4E8A" w:rsidRPr="00787699">
        <w:rPr>
          <w:color w:val="000000" w:themeColor="text1"/>
        </w:rPr>
        <w:t>effect of the mergers and acquisition deals</w:t>
      </w:r>
      <w:r w:rsidR="009A5013" w:rsidRPr="00787699">
        <w:rPr>
          <w:color w:val="000000" w:themeColor="text1"/>
        </w:rPr>
        <w:t xml:space="preserve">, several methods </w:t>
      </w:r>
      <w:r w:rsidR="002A4E8A" w:rsidRPr="00787699">
        <w:rPr>
          <w:color w:val="000000" w:themeColor="text1"/>
        </w:rPr>
        <w:t>can be</w:t>
      </w:r>
      <w:r w:rsidR="009A5013" w:rsidRPr="00787699">
        <w:rPr>
          <w:color w:val="000000" w:themeColor="text1"/>
        </w:rPr>
        <w:t xml:space="preserve"> used. This includes </w:t>
      </w:r>
      <w:r w:rsidR="002A4E8A" w:rsidRPr="00787699">
        <w:rPr>
          <w:color w:val="000000" w:themeColor="text1"/>
        </w:rPr>
        <w:t>outcome</w:t>
      </w:r>
      <w:r w:rsidR="009A5013" w:rsidRPr="00787699">
        <w:rPr>
          <w:color w:val="000000" w:themeColor="text1"/>
        </w:rPr>
        <w:t xml:space="preserve"> studies that investigate the results shared before and after the merger, as well as </w:t>
      </w:r>
      <w:r w:rsidR="002A4E8A" w:rsidRPr="00787699">
        <w:rPr>
          <w:color w:val="000000" w:themeColor="text1"/>
        </w:rPr>
        <w:t>accounting-</w:t>
      </w:r>
      <w:r w:rsidR="009A5013" w:rsidRPr="00787699">
        <w:rPr>
          <w:color w:val="000000" w:themeColor="text1"/>
        </w:rPr>
        <w:t xml:space="preserve">based </w:t>
      </w:r>
      <w:r w:rsidR="002A4E8A" w:rsidRPr="00787699">
        <w:rPr>
          <w:color w:val="000000" w:themeColor="text1"/>
        </w:rPr>
        <w:t>studies</w:t>
      </w:r>
      <w:r w:rsidR="009A5013" w:rsidRPr="00787699">
        <w:rPr>
          <w:color w:val="000000" w:themeColor="text1"/>
        </w:rPr>
        <w:t>, for which special attention is drawn to accounting ratios and the results of operational activities. This methodology of calculation of results is most often used by economists of industrial organizations. The analysis of the results is ev</w:t>
      </w:r>
      <w:r w:rsidR="002A4E8A" w:rsidRPr="00787699">
        <w:rPr>
          <w:color w:val="000000" w:themeColor="text1"/>
        </w:rPr>
        <w:t>aluated both before and after M&amp;</w:t>
      </w:r>
      <w:r w:rsidR="009A5013" w:rsidRPr="00787699">
        <w:rPr>
          <w:color w:val="000000" w:themeColor="text1"/>
        </w:rPr>
        <w:t>A</w:t>
      </w:r>
      <w:r w:rsidR="002A4E8A" w:rsidRPr="00787699">
        <w:rPr>
          <w:color w:val="000000" w:themeColor="text1"/>
        </w:rPr>
        <w:t xml:space="preserve"> transactions</w:t>
      </w:r>
      <w:r w:rsidR="009A5013" w:rsidRPr="00787699">
        <w:rPr>
          <w:color w:val="000000" w:themeColor="text1"/>
        </w:rPr>
        <w:t xml:space="preserve">, by comparing the involved firms with the relevant firms or with the underlying industry. Using this approach, Müller (1986) found that acquiring firms suffer from loss of market share and rate of return on capital after </w:t>
      </w:r>
      <w:r w:rsidR="002A4E8A" w:rsidRPr="00787699">
        <w:rPr>
          <w:color w:val="000000" w:themeColor="text1"/>
        </w:rPr>
        <w:t>mergers and acquisitions activity</w:t>
      </w:r>
      <w:r w:rsidR="009A5013" w:rsidRPr="00787699">
        <w:rPr>
          <w:color w:val="000000" w:themeColor="text1"/>
        </w:rPr>
        <w:t xml:space="preserve">. Consistently, using the same methodology, </w:t>
      </w:r>
      <w:proofErr w:type="spellStart"/>
      <w:r w:rsidR="009A5013" w:rsidRPr="00787699">
        <w:rPr>
          <w:color w:val="000000" w:themeColor="text1"/>
        </w:rPr>
        <w:t>Ravenscraft</w:t>
      </w:r>
      <w:proofErr w:type="spellEnd"/>
      <w:r w:rsidR="009A5013" w:rsidRPr="00787699">
        <w:rPr>
          <w:color w:val="000000" w:themeColor="text1"/>
        </w:rPr>
        <w:t xml:space="preserve"> and Scherer (1987) found a similar deterioration effect for </w:t>
      </w:r>
      <w:r w:rsidR="002A4E8A" w:rsidRPr="00787699">
        <w:rPr>
          <w:color w:val="000000" w:themeColor="text1"/>
        </w:rPr>
        <w:t>other cases</w:t>
      </w:r>
      <w:r w:rsidR="009A5013" w:rsidRPr="00787699">
        <w:rPr>
          <w:color w:val="000000" w:themeColor="text1"/>
        </w:rPr>
        <w:t xml:space="preserve">. </w:t>
      </w:r>
      <w:r w:rsidR="002A4E8A" w:rsidRPr="00787699">
        <w:rPr>
          <w:color w:val="000000" w:themeColor="text1"/>
        </w:rPr>
        <w:t>In accordance</w:t>
      </w:r>
      <w:r w:rsidR="009A5013" w:rsidRPr="00787699">
        <w:rPr>
          <w:color w:val="000000" w:themeColor="text1"/>
        </w:rPr>
        <w:t xml:space="preserve"> to the obtained studies</w:t>
      </w:r>
      <w:r w:rsidR="002A4E8A" w:rsidRPr="00787699">
        <w:rPr>
          <w:color w:val="000000" w:themeColor="text1"/>
        </w:rPr>
        <w:t>’ results</w:t>
      </w:r>
      <w:r w:rsidR="009A5013" w:rsidRPr="00787699">
        <w:rPr>
          <w:color w:val="000000" w:themeColor="text1"/>
        </w:rPr>
        <w:t xml:space="preserve"> </w:t>
      </w:r>
      <w:r w:rsidR="002A4E8A" w:rsidRPr="00787699">
        <w:rPr>
          <w:color w:val="000000" w:themeColor="text1"/>
        </w:rPr>
        <w:t xml:space="preserve">several limitations appeared. </w:t>
      </w:r>
      <w:r w:rsidR="005D2A0E" w:rsidRPr="00787699">
        <w:rPr>
          <w:color w:val="000000" w:themeColor="text1"/>
        </w:rPr>
        <w:t>If the</w:t>
      </w:r>
      <w:r w:rsidR="009A5013" w:rsidRPr="00787699">
        <w:rPr>
          <w:color w:val="000000" w:themeColor="text1"/>
        </w:rPr>
        <w:t xml:space="preserve"> target firm has relatively little turnover compared to the acquiring firm, less than 5% of the acquiring firm, the financial contribution of the target firm is likely to be "piled up" in the consolidated statements for the entire corporate entity (</w:t>
      </w:r>
      <w:proofErr w:type="spellStart"/>
      <w:r w:rsidR="009A5013" w:rsidRPr="00787699">
        <w:rPr>
          <w:color w:val="000000" w:themeColor="text1"/>
        </w:rPr>
        <w:t>Ravenscraft</w:t>
      </w:r>
      <w:proofErr w:type="spellEnd"/>
      <w:r w:rsidR="009A5013" w:rsidRPr="00787699">
        <w:rPr>
          <w:color w:val="000000" w:themeColor="text1"/>
        </w:rPr>
        <w:t xml:space="preserve"> &amp; Scherer, 1989). It is equally difficult to identify the industry of a new incorporated firm and to find suitable comparable firms (</w:t>
      </w:r>
      <w:proofErr w:type="spellStart"/>
      <w:r w:rsidR="009A5013" w:rsidRPr="00787699">
        <w:rPr>
          <w:color w:val="000000" w:themeColor="text1"/>
        </w:rPr>
        <w:t>Ravenscraft</w:t>
      </w:r>
      <w:proofErr w:type="spellEnd"/>
      <w:r w:rsidR="009A5013" w:rsidRPr="00787699">
        <w:rPr>
          <w:color w:val="000000" w:themeColor="text1"/>
        </w:rPr>
        <w:t xml:space="preserve"> &amp; Scherer, 1987). A similar method of accounting-based research does not always take into account changes in the field of </w:t>
      </w:r>
      <w:r w:rsidR="002A4E8A" w:rsidRPr="00787699">
        <w:rPr>
          <w:color w:val="000000" w:themeColor="text1"/>
        </w:rPr>
        <w:t xml:space="preserve">technological and regulatory changes, which in turn are the main reasons for mergers and acquisitions </w:t>
      </w:r>
      <w:r w:rsidR="009A5013" w:rsidRPr="00787699">
        <w:rPr>
          <w:color w:val="000000" w:themeColor="text1"/>
        </w:rPr>
        <w:t xml:space="preserve">(Mitchell &amp; </w:t>
      </w:r>
      <w:proofErr w:type="spellStart"/>
      <w:r w:rsidR="009A5013" w:rsidRPr="00787699">
        <w:rPr>
          <w:color w:val="000000" w:themeColor="text1"/>
        </w:rPr>
        <w:t>Mulherin</w:t>
      </w:r>
      <w:proofErr w:type="spellEnd"/>
      <w:r w:rsidR="009A5013" w:rsidRPr="00787699">
        <w:rPr>
          <w:color w:val="000000" w:themeColor="text1"/>
        </w:rPr>
        <w:t xml:space="preserve">, 1996). This fact indicates that accounting research is rather blurred and </w:t>
      </w:r>
      <w:r w:rsidR="002A4E8A" w:rsidRPr="00787699">
        <w:rPr>
          <w:color w:val="000000" w:themeColor="text1"/>
        </w:rPr>
        <w:t>approximate</w:t>
      </w:r>
      <w:r w:rsidR="009A5013" w:rsidRPr="00787699">
        <w:rPr>
          <w:color w:val="000000" w:themeColor="text1"/>
        </w:rPr>
        <w:t>.</w:t>
      </w:r>
    </w:p>
    <w:p w14:paraId="0E55A6AE" w14:textId="1595FB66" w:rsidR="009A5013" w:rsidRPr="00DE363B" w:rsidRDefault="009A5013" w:rsidP="009A5013">
      <w:pPr>
        <w:tabs>
          <w:tab w:val="left" w:pos="0"/>
        </w:tabs>
        <w:rPr>
          <w:color w:val="000000" w:themeColor="text1"/>
        </w:rPr>
      </w:pPr>
      <w:r w:rsidRPr="00DE363B">
        <w:rPr>
          <w:color w:val="000000" w:themeColor="text1"/>
        </w:rPr>
        <w:lastRenderedPageBreak/>
        <w:t xml:space="preserve">Most often, </w:t>
      </w:r>
      <w:r w:rsidR="00DE363B" w:rsidRPr="00DE363B">
        <w:rPr>
          <w:color w:val="000000" w:themeColor="text1"/>
        </w:rPr>
        <w:t>researchers</w:t>
      </w:r>
      <w:r w:rsidRPr="00DE363B">
        <w:rPr>
          <w:color w:val="000000" w:themeColor="text1"/>
        </w:rPr>
        <w:t xml:space="preserve"> use a method that is based on an assessment of the change in firm value as a result of a merger. This method is known as the </w:t>
      </w:r>
      <w:r w:rsidR="00DE363B" w:rsidRPr="00DE363B">
        <w:rPr>
          <w:color w:val="000000" w:themeColor="text1"/>
        </w:rPr>
        <w:t>event-</w:t>
      </w:r>
      <w:r w:rsidRPr="00DE363B">
        <w:rPr>
          <w:color w:val="000000" w:themeColor="text1"/>
        </w:rPr>
        <w:t>study</w:t>
      </w:r>
      <w:r w:rsidR="00DE363B" w:rsidRPr="00DE363B">
        <w:rPr>
          <w:color w:val="000000" w:themeColor="text1"/>
        </w:rPr>
        <w:t xml:space="preserve"> method</w:t>
      </w:r>
      <w:r w:rsidRPr="00DE363B">
        <w:rPr>
          <w:color w:val="000000" w:themeColor="text1"/>
        </w:rPr>
        <w:t xml:space="preserve">. Particular attention in </w:t>
      </w:r>
      <w:r w:rsidR="00DE363B" w:rsidRPr="00DE363B">
        <w:rPr>
          <w:color w:val="000000" w:themeColor="text1"/>
        </w:rPr>
        <w:t>in this methodology</w:t>
      </w:r>
      <w:r w:rsidRPr="00DE363B">
        <w:rPr>
          <w:color w:val="000000" w:themeColor="text1"/>
        </w:rPr>
        <w:t xml:space="preserve"> is paid to the behavior of the stock market at the time of the event. The methodology of the event study assumes that the market is effective, and therefore changes in the share price of the involved firms reflect the cost of the economic impact of the event, in this case the merger. Most often this change is tested for general market movements and systematic risk.</w:t>
      </w:r>
    </w:p>
    <w:p w14:paraId="5EDE0575" w14:textId="1A3D13F0" w:rsidR="009A5013" w:rsidRPr="00DE363B" w:rsidRDefault="00827E31" w:rsidP="009A5013">
      <w:pPr>
        <w:tabs>
          <w:tab w:val="left" w:pos="0"/>
        </w:tabs>
        <w:rPr>
          <w:color w:val="000000" w:themeColor="text1"/>
        </w:rPr>
      </w:pPr>
      <w:r w:rsidRPr="00CC1D40">
        <w:t>However,</w:t>
      </w:r>
      <w:r w:rsidR="00E155A5" w:rsidRPr="00CC1D40">
        <w:t xml:space="preserve"> the event study approach </w:t>
      </w:r>
      <w:r w:rsidR="0063674E" w:rsidRPr="00CC1D40">
        <w:t>captures</w:t>
      </w:r>
      <w:r w:rsidR="00E155A5" w:rsidRPr="00CC1D40">
        <w:t xml:space="preserve"> only the short-term stock returns and does not disclose long-run performance of the companies.</w:t>
      </w:r>
      <w:r w:rsidRPr="00CC1D40">
        <w:t xml:space="preserve"> There are other market value indicators to be mentioned: Tobin’s Q, P/BV, market-adjusted</w:t>
      </w:r>
      <w:r w:rsidR="00E155A5" w:rsidRPr="00CC1D40">
        <w:t xml:space="preserve"> </w:t>
      </w:r>
      <w:r w:rsidRPr="00CC1D40">
        <w:t xml:space="preserve">stock market return, etc. </w:t>
      </w:r>
      <w:r w:rsidR="009A5013" w:rsidRPr="00DE363B">
        <w:rPr>
          <w:color w:val="000000" w:themeColor="text1"/>
        </w:rPr>
        <w:t xml:space="preserve">Based on the definition, Tobin Q is the ratio between the market value of the firm's assets and the </w:t>
      </w:r>
      <w:r w:rsidR="00DE363B" w:rsidRPr="00DE363B">
        <w:rPr>
          <w:color w:val="000000" w:themeColor="text1"/>
        </w:rPr>
        <w:t xml:space="preserve">replacement </w:t>
      </w:r>
      <w:r w:rsidR="009A5013" w:rsidRPr="00DE363B">
        <w:rPr>
          <w:color w:val="000000" w:themeColor="text1"/>
        </w:rPr>
        <w:t xml:space="preserve">value of its assets. In modern literature, the use of Tobin q is quite common, although there are usually no theoretical aspects of research, including the notion of its use as an indicator of business. According to </w:t>
      </w:r>
      <w:proofErr w:type="spellStart"/>
      <w:r w:rsidR="00DE363B" w:rsidRPr="00DE363B">
        <w:rPr>
          <w:color w:val="000000" w:themeColor="text1"/>
        </w:rPr>
        <w:t>Famá</w:t>
      </w:r>
      <w:proofErr w:type="spellEnd"/>
      <w:r w:rsidR="00DE363B" w:rsidRPr="00DE363B">
        <w:rPr>
          <w:color w:val="000000" w:themeColor="text1"/>
        </w:rPr>
        <w:t xml:space="preserve"> &amp; Barros </w:t>
      </w:r>
      <w:r w:rsidR="009A5013" w:rsidRPr="00DE363B">
        <w:rPr>
          <w:color w:val="000000" w:themeColor="text1"/>
        </w:rPr>
        <w:t>(2000), Tobin</w:t>
      </w:r>
      <w:r w:rsidR="00DE363B" w:rsidRPr="00DE363B">
        <w:rPr>
          <w:color w:val="000000" w:themeColor="text1"/>
        </w:rPr>
        <w:t>’s</w:t>
      </w:r>
      <w:r w:rsidR="009A5013" w:rsidRPr="00DE363B">
        <w:rPr>
          <w:color w:val="000000" w:themeColor="text1"/>
        </w:rPr>
        <w:t xml:space="preserve"> Q is entrenched as a consolidated variable of undeniable adequacy in various applications, whether in theoretical wor</w:t>
      </w:r>
      <w:r w:rsidR="00DE363B" w:rsidRPr="00DE363B">
        <w:rPr>
          <w:color w:val="000000" w:themeColor="text1"/>
        </w:rPr>
        <w:t>ks or in empirical tests. Using</w:t>
      </w:r>
      <w:r w:rsidR="009A5013" w:rsidRPr="00DE363B">
        <w:rPr>
          <w:color w:val="000000" w:themeColor="text1"/>
        </w:rPr>
        <w:t xml:space="preserve"> Tobin</w:t>
      </w:r>
      <w:r w:rsidR="00DE363B" w:rsidRPr="00DE363B">
        <w:rPr>
          <w:color w:val="000000" w:themeColor="text1"/>
        </w:rPr>
        <w:t>’s Q</w:t>
      </w:r>
      <w:r w:rsidR="009A5013" w:rsidRPr="00DE363B">
        <w:rPr>
          <w:color w:val="000000" w:themeColor="text1"/>
        </w:rPr>
        <w:t xml:space="preserve"> allows researchers to study not only the results obtained in companies (past performance), but also indicates growth opportunities in accordance with the value of q (future performance).</w:t>
      </w:r>
    </w:p>
    <w:p w14:paraId="27F53093" w14:textId="11D621DE" w:rsidR="00161BEE" w:rsidRDefault="00161BEE" w:rsidP="004D2A38">
      <w:pPr>
        <w:tabs>
          <w:tab w:val="left" w:pos="0"/>
        </w:tabs>
      </w:pPr>
      <w:r>
        <w:t xml:space="preserve">That is how the influence of the various factors in mergers and acquisition deals could be evaluated. But for now, we also need to understand what factors are there to bring the key success in such deals. There are thousands of researches on that theme that already studied a great variety of factors that might have any influence in M&amp;A. All those factors were already proved or rejected. Further the most common and well-studied factors will be presented. </w:t>
      </w:r>
    </w:p>
    <w:p w14:paraId="04554362" w14:textId="77777777" w:rsidR="00161BEE" w:rsidRDefault="00161BEE" w:rsidP="004D2A38">
      <w:pPr>
        <w:tabs>
          <w:tab w:val="left" w:pos="0"/>
        </w:tabs>
      </w:pPr>
      <w:r w:rsidRPr="00826B17">
        <w:rPr>
          <w:i/>
        </w:rPr>
        <w:t>Deal size.</w:t>
      </w:r>
      <w:r>
        <w:t xml:space="preserve"> </w:t>
      </w:r>
      <w:r w:rsidRPr="00826B17">
        <w:t xml:space="preserve">With the increase in the amount of the transaction, its effectiveness is </w:t>
      </w:r>
      <w:r>
        <w:t>decreasing</w:t>
      </w:r>
      <w:r w:rsidRPr="00826B17">
        <w:t>. Large transactions can lead to a significant deviation from the initially chosen ways of business development and strategic goals, which imposes significant risks on the buyer company. The complexities associated with large M&amp;A deals include additional financial and time costs for the integration of companies, which, failing, is capable of causing significant economic problems in the operation of the enterprise. In the course of small transactions, it is easier to conduct comprehensive training and mobilize the resources needed to implement a complex integration process</w:t>
      </w:r>
      <w:r>
        <w:t xml:space="preserve"> (Kozlov and </w:t>
      </w:r>
      <w:proofErr w:type="spellStart"/>
      <w:r>
        <w:t>Tupikova</w:t>
      </w:r>
      <w:proofErr w:type="spellEnd"/>
      <w:r>
        <w:t>, 2015).</w:t>
      </w:r>
      <w:r w:rsidRPr="00826B17">
        <w:t xml:space="preserve"> </w:t>
      </w:r>
      <w:r>
        <w:t>It was also observed, that even though the increase in deal size brings smaller premiums paid by acquirers for targets, large targets still tend to destroy more shareholder value in such transactions (</w:t>
      </w:r>
      <w:bookmarkStart w:id="5" w:name="baep-author-id3"/>
      <w:proofErr w:type="spellStart"/>
      <w:r w:rsidRPr="00294EB8">
        <w:t>Alexandridi</w:t>
      </w:r>
      <w:bookmarkStart w:id="6" w:name="baep-author-id4"/>
      <w:bookmarkEnd w:id="5"/>
      <w:r>
        <w:t>s</w:t>
      </w:r>
      <w:proofErr w:type="spellEnd"/>
      <w:r>
        <w:t xml:space="preserve">, </w:t>
      </w:r>
      <w:r w:rsidRPr="00294EB8">
        <w:t>Fuller</w:t>
      </w:r>
      <w:bookmarkStart w:id="7" w:name="baep-author-id5"/>
      <w:bookmarkEnd w:id="6"/>
      <w:r>
        <w:t xml:space="preserve">, </w:t>
      </w:r>
      <w:proofErr w:type="spellStart"/>
      <w:r w:rsidRPr="00294EB8">
        <w:t>Terhaar</w:t>
      </w:r>
      <w:bookmarkStart w:id="8" w:name="baep-author-id6"/>
      <w:bookmarkEnd w:id="7"/>
      <w:proofErr w:type="spellEnd"/>
      <w:r>
        <w:t xml:space="preserve"> and </w:t>
      </w:r>
      <w:proofErr w:type="spellStart"/>
      <w:r w:rsidRPr="00294EB8">
        <w:t>Travlos</w:t>
      </w:r>
      <w:bookmarkEnd w:id="8"/>
      <w:proofErr w:type="spellEnd"/>
      <w:r>
        <w:t xml:space="preserve">, 2013). </w:t>
      </w:r>
    </w:p>
    <w:p w14:paraId="5606C11F" w14:textId="77777777" w:rsidR="00161BEE" w:rsidRDefault="00161BEE" w:rsidP="004D2A38">
      <w:pPr>
        <w:tabs>
          <w:tab w:val="left" w:pos="0"/>
        </w:tabs>
      </w:pPr>
      <w:r w:rsidRPr="00400B61">
        <w:rPr>
          <w:i/>
        </w:rPr>
        <w:lastRenderedPageBreak/>
        <w:t xml:space="preserve">Acquirer and target </w:t>
      </w:r>
      <w:r>
        <w:rPr>
          <w:i/>
        </w:rPr>
        <w:t xml:space="preserve">similarity. </w:t>
      </w:r>
      <w:r w:rsidRPr="00C92486">
        <w:t>It was previously proven that mergers</w:t>
      </w:r>
      <w:r w:rsidRPr="00400B61">
        <w:t xml:space="preserve"> and acquisitions transactions between companies from different industries</w:t>
      </w:r>
      <w:r>
        <w:t xml:space="preserve"> </w:t>
      </w:r>
      <w:r w:rsidRPr="00400B61">
        <w:t xml:space="preserve">are less effective than intra-industry transactions </w:t>
      </w:r>
      <w:r>
        <w:t>(</w:t>
      </w:r>
      <w:proofErr w:type="spellStart"/>
      <w:r>
        <w:t>Polikarpova</w:t>
      </w:r>
      <w:proofErr w:type="spellEnd"/>
      <w:r>
        <w:t>, 2014)</w:t>
      </w:r>
      <w:r w:rsidRPr="00400B61">
        <w:t xml:space="preserve">. The complexity of integration can arise when parties </w:t>
      </w:r>
      <w:r>
        <w:t>of</w:t>
      </w:r>
      <w:r w:rsidRPr="00400B61">
        <w:t xml:space="preserve"> a merger and acquisition transaction belong to different industries. Many players</w:t>
      </w:r>
      <w:r>
        <w:t xml:space="preserve"> </w:t>
      </w:r>
      <w:r w:rsidRPr="00400B61">
        <w:t>try to avoid acquisitions of unrelated companies, try to find "binding threads" in companies for the purpose, which may consist of similar products, technologies or processes</w:t>
      </w:r>
      <w:r>
        <w:t xml:space="preserve">. There were also studies that focused mostly on the strategic similarity between merging companies rather than operational (Healy, Palepu, </w:t>
      </w:r>
      <w:proofErr w:type="spellStart"/>
      <w:r>
        <w:t>Ruback</w:t>
      </w:r>
      <w:proofErr w:type="spellEnd"/>
      <w:r>
        <w:t xml:space="preserve">, 1992; Ramaswamy, 1997; </w:t>
      </w:r>
      <w:proofErr w:type="spellStart"/>
      <w:r>
        <w:t>Iankova</w:t>
      </w:r>
      <w:proofErr w:type="spellEnd"/>
      <w:r>
        <w:t xml:space="preserve"> 2014).  Researchers examined the impact of the strategy similarities between acquiring and the target companies on the post-merger performance. The results suggested that transactions between strategically similar companies reach higher key performance indicators and stock returns than unrelated companies. As the reasons for such results authors mainly consider opportunities for economies of scale and scope, business synergies and increased market power. </w:t>
      </w:r>
    </w:p>
    <w:p w14:paraId="60A23AE4" w14:textId="3D8EC440" w:rsidR="00361335" w:rsidRDefault="00161BEE" w:rsidP="004D2A38">
      <w:pPr>
        <w:tabs>
          <w:tab w:val="left" w:pos="0"/>
        </w:tabs>
      </w:pPr>
      <w:r w:rsidRPr="00D04D50">
        <w:rPr>
          <w:i/>
        </w:rPr>
        <w:t>Source of financing</w:t>
      </w:r>
      <w:r>
        <w:rPr>
          <w:i/>
        </w:rPr>
        <w:t xml:space="preserve">. </w:t>
      </w:r>
      <w:r>
        <w:t xml:space="preserve">In case of the type of transaction financing sources there were different opinions and discussions. However, the opinion about cash as the best instrument for deals financing in terms of post-deal performance is prevailing in the modern literature. For example, Hayward (2003) examined post-merger performance of companies involving investment banks expertise in the deal structuring. The results of the search showed that complicated deal engineering including complex mix of financial instruments lead mostly to a higher banks commission rather than higher performance and stock returns. On the opposite, author suggests that simple cash financed transactions showed much better results. Another study on the same topic by Andre, </w:t>
      </w:r>
      <w:proofErr w:type="spellStart"/>
      <w:r>
        <w:t>Kooli</w:t>
      </w:r>
      <w:proofErr w:type="spellEnd"/>
      <w:r>
        <w:t xml:space="preserve"> and </w:t>
      </w:r>
      <w:proofErr w:type="spellStart"/>
      <w:r>
        <w:t>L’Her</w:t>
      </w:r>
      <w:proofErr w:type="spellEnd"/>
      <w:r>
        <w:t xml:space="preserve"> (2004) found out that companies involved into stock financed deals show weaker performance than cash financed. However, some authors introduce different and more flexible ideas, they suggest financing takeovers with stocks only if those stocks are overvalued and by cash when stocks are underestimated (Loughran and </w:t>
      </w:r>
      <w:proofErr w:type="spellStart"/>
      <w:r>
        <w:t>Vijh</w:t>
      </w:r>
      <w:proofErr w:type="spellEnd"/>
      <w:r>
        <w:t xml:space="preserve">, 1997). Nevertheless, some authors even found no evidence of the relationship between the source of financing and long-run after-deal corporate performance (Healy, Palepu and </w:t>
      </w:r>
      <w:proofErr w:type="spellStart"/>
      <w:r>
        <w:t>Ruback</w:t>
      </w:r>
      <w:proofErr w:type="spellEnd"/>
      <w:r>
        <w:t>, 1992).</w:t>
      </w:r>
    </w:p>
    <w:p w14:paraId="3AAEEA96" w14:textId="3E1D5164" w:rsidR="00E466CF" w:rsidRPr="005D2A0E" w:rsidRDefault="00691EBE" w:rsidP="00E466CF">
      <w:pPr>
        <w:tabs>
          <w:tab w:val="left" w:pos="0"/>
        </w:tabs>
      </w:pPr>
      <w:r w:rsidRPr="00CC1D40">
        <w:rPr>
          <w:i/>
        </w:rPr>
        <w:t>Acquisition type</w:t>
      </w:r>
      <w:r w:rsidRPr="00CC1D40">
        <w:t xml:space="preserve">. </w:t>
      </w:r>
      <w:r w:rsidR="005D2A0E" w:rsidRPr="005D2A0E">
        <w:t>Acquirers</w:t>
      </w:r>
      <w:r w:rsidR="00E466CF" w:rsidRPr="005D2A0E">
        <w:t xml:space="preserve"> choose between expanding their operations in their own country, domestic </w:t>
      </w:r>
      <w:r w:rsidR="005D2A0E" w:rsidRPr="005D2A0E">
        <w:t>transactions,</w:t>
      </w:r>
      <w:r w:rsidR="00E466CF" w:rsidRPr="005D2A0E">
        <w:t xml:space="preserve"> or in another country, cross-border </w:t>
      </w:r>
      <w:r w:rsidR="005D2A0E" w:rsidRPr="005D2A0E">
        <w:t>transactions</w:t>
      </w:r>
      <w:r w:rsidR="00E466CF" w:rsidRPr="005D2A0E">
        <w:t xml:space="preserve">. Cross-border mergers and acquisitions represent a way </w:t>
      </w:r>
      <w:r w:rsidR="005D2A0E" w:rsidRPr="005D2A0E">
        <w:t xml:space="preserve">of entry </w:t>
      </w:r>
      <w:r w:rsidR="00E466CF" w:rsidRPr="005D2A0E">
        <w:t>to a new foreign market. Often this process is accompanied by linguistic and cultural barriers, regulatory and institutional differences, as well as</w:t>
      </w:r>
      <w:r w:rsidR="005D2A0E" w:rsidRPr="005D2A0E">
        <w:t xml:space="preserve"> </w:t>
      </w:r>
      <w:r w:rsidR="00E466CF" w:rsidRPr="005D2A0E">
        <w:t>less efficient transmission of information</w:t>
      </w:r>
      <w:r w:rsidR="005D2A0E" w:rsidRPr="005D2A0E">
        <w:t xml:space="preserve"> and </w:t>
      </w:r>
      <w:r w:rsidR="00E466CF" w:rsidRPr="005D2A0E">
        <w:t xml:space="preserve">higher fixed costs for organizing transactions. Evidence of productivity divergence between cross-border and domestic </w:t>
      </w:r>
      <w:r w:rsidR="005D2A0E" w:rsidRPr="005D2A0E">
        <w:t>deals</w:t>
      </w:r>
      <w:r w:rsidR="00E466CF" w:rsidRPr="005D2A0E">
        <w:t xml:space="preserve"> is owned by Moller and </w:t>
      </w:r>
      <w:proofErr w:type="spellStart"/>
      <w:r w:rsidR="00E466CF" w:rsidRPr="005D2A0E">
        <w:t>Schlingemann</w:t>
      </w:r>
      <w:proofErr w:type="spellEnd"/>
      <w:r w:rsidR="00E466CF" w:rsidRPr="005D2A0E">
        <w:t xml:space="preserve"> (2004) who discovered </w:t>
      </w:r>
      <w:r w:rsidR="005D2A0E" w:rsidRPr="005D2A0E">
        <w:t>it</w:t>
      </w:r>
      <w:r w:rsidR="00E466CF" w:rsidRPr="005D2A0E">
        <w:t xml:space="preserve">. </w:t>
      </w:r>
      <w:r w:rsidR="005D2A0E" w:rsidRPr="005D2A0E">
        <w:t>Consequently</w:t>
      </w:r>
      <w:r w:rsidR="00E466CF" w:rsidRPr="005D2A0E">
        <w:t xml:space="preserve">, research data showed that buyers have </w:t>
      </w:r>
      <w:r w:rsidR="00E466CF" w:rsidRPr="005D2A0E">
        <w:lastRenderedPageBreak/>
        <w:t xml:space="preserve">significantly lower stock and operational indicators for cross-border transactions than for internal transactions. This suggests that there is an incorrect assessment by buyers of synergies in cross-border mergers and acquisitions (Moller &amp; </w:t>
      </w:r>
      <w:proofErr w:type="spellStart"/>
      <w:r w:rsidR="00E466CF" w:rsidRPr="005D2A0E">
        <w:t>Schlingemann</w:t>
      </w:r>
      <w:proofErr w:type="spellEnd"/>
      <w:r w:rsidR="00E466CF" w:rsidRPr="005D2A0E">
        <w:t>, 2004).</w:t>
      </w:r>
    </w:p>
    <w:p w14:paraId="72559E83" w14:textId="2A3CFA5E" w:rsidR="00E466CF" w:rsidRPr="00FF0CD4" w:rsidRDefault="00691EBE" w:rsidP="00E466CF">
      <w:pPr>
        <w:tabs>
          <w:tab w:val="left" w:pos="0"/>
        </w:tabs>
        <w:rPr>
          <w:color w:val="FF0000"/>
        </w:rPr>
      </w:pPr>
      <w:r w:rsidRPr="00CC1D40">
        <w:rPr>
          <w:i/>
        </w:rPr>
        <w:t>Deal atmosphere</w:t>
      </w:r>
      <w:r w:rsidRPr="00CC1D40">
        <w:t xml:space="preserve">. </w:t>
      </w:r>
      <w:r w:rsidR="00E466CF" w:rsidRPr="005D2A0E">
        <w:t xml:space="preserve">The transaction is a method of acquisition </w:t>
      </w:r>
      <w:r w:rsidR="005D2A0E" w:rsidRPr="005D2A0E">
        <w:t xml:space="preserve">that </w:t>
      </w:r>
      <w:r w:rsidR="00E466CF" w:rsidRPr="005D2A0E">
        <w:t xml:space="preserve">is divided into two types: friendly and hostile </w:t>
      </w:r>
      <w:r w:rsidR="005D2A0E" w:rsidRPr="005D2A0E">
        <w:t>transactions</w:t>
      </w:r>
      <w:r w:rsidR="00E466CF" w:rsidRPr="005D2A0E">
        <w:t xml:space="preserve">. Hostile takeovers are </w:t>
      </w:r>
      <w:r w:rsidR="005D2A0E" w:rsidRPr="005D2A0E">
        <w:t>carried out</w:t>
      </w:r>
      <w:r w:rsidR="00E466CF" w:rsidRPr="005D2A0E">
        <w:t xml:space="preserve"> regardless of opposition </w:t>
      </w:r>
      <w:r w:rsidR="005D2A0E" w:rsidRPr="005D2A0E">
        <w:t>of</w:t>
      </w:r>
      <w:r w:rsidR="00E466CF" w:rsidRPr="005D2A0E">
        <w:t xml:space="preserve"> the target company. Typically, the closing price of hostile takeovers exceeds the market price before the bidding. This process makes them more expensive and unusual than friendly </w:t>
      </w:r>
      <w:r w:rsidR="005D2A0E" w:rsidRPr="005D2A0E">
        <w:t>deals</w:t>
      </w:r>
      <w:r w:rsidR="00E466CF" w:rsidRPr="005D2A0E">
        <w:t>. It can be assumed that only hostile takeovers with high expected synergies will be successful. And this, as a consequence, means that hostility in corporate takeovers should be linked to the positive performance of the combined company. In turn, empirical evidence does not support this theory (Ghosh, 2001; Powell &amp; Stark, 2005).</w:t>
      </w:r>
    </w:p>
    <w:p w14:paraId="0020E4CE" w14:textId="03FA5F6D" w:rsidR="008E65ED" w:rsidRDefault="00CC0BB2" w:rsidP="004D2A38">
      <w:pPr>
        <w:tabs>
          <w:tab w:val="left" w:pos="0"/>
        </w:tabs>
      </w:pPr>
      <w:r w:rsidRPr="00CC1D40">
        <w:t xml:space="preserve">Below summary of the main factors that </w:t>
      </w:r>
      <w:r w:rsidR="00750E0B" w:rsidRPr="00CC1D40">
        <w:t>were studied in the business literature and considered as main drivers of the overall results of M&amp;A deals</w:t>
      </w:r>
      <w:r w:rsidR="00BD2073" w:rsidRPr="00BD2073">
        <w:t xml:space="preserve"> (</w:t>
      </w:r>
      <w:r w:rsidR="00BD2073">
        <w:fldChar w:fldCharType="begin"/>
      </w:r>
      <w:r w:rsidR="00BD2073">
        <w:instrText xml:space="preserve"> REF _Ref514671167 \r \h </w:instrText>
      </w:r>
      <w:r w:rsidR="00BD2073">
        <w:fldChar w:fldCharType="separate"/>
      </w:r>
      <w:r w:rsidR="00154E78">
        <w:t>Table 1</w:t>
      </w:r>
      <w:r w:rsidR="00BD2073">
        <w:fldChar w:fldCharType="end"/>
      </w:r>
      <w:r w:rsidR="00BD2073">
        <w:t>)</w:t>
      </w:r>
      <w:r w:rsidR="00252D59" w:rsidRPr="00CC1D40">
        <w:t>. The results of the researches are sometimes ambiguous and contradictory. Different authors find opposite results from those found previously by other authors.</w:t>
      </w:r>
    </w:p>
    <w:p w14:paraId="17185B2A" w14:textId="1E00D4FB" w:rsidR="00CC0BB2" w:rsidRDefault="00CC0BB2" w:rsidP="00E249F5">
      <w:pPr>
        <w:pStyle w:val="a0"/>
        <w:tabs>
          <w:tab w:val="left" w:pos="0"/>
        </w:tabs>
        <w:ind w:left="0"/>
      </w:pPr>
      <w:bookmarkStart w:id="9" w:name="_Ref514671167"/>
      <w:r>
        <w:t>Summary on the main factors of M&amp;A performance</w:t>
      </w:r>
      <w:bookmarkEnd w:id="9"/>
    </w:p>
    <w:tbl>
      <w:tblPr>
        <w:tblStyle w:val="22"/>
        <w:tblW w:w="5000" w:type="pct"/>
        <w:jc w:val="center"/>
        <w:tblLook w:val="04A0" w:firstRow="1" w:lastRow="0" w:firstColumn="1" w:lastColumn="0" w:noHBand="0" w:noVBand="1"/>
      </w:tblPr>
      <w:tblGrid>
        <w:gridCol w:w="2179"/>
        <w:gridCol w:w="3750"/>
        <w:gridCol w:w="3750"/>
      </w:tblGrid>
      <w:tr w:rsidR="00361335" w:rsidRPr="00873A54" w14:paraId="3370A644" w14:textId="77A427C1" w:rsidTr="00750E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6" w:type="pct"/>
            <w:tcBorders>
              <w:top w:val="single" w:sz="4" w:space="0" w:color="auto"/>
              <w:left w:val="single" w:sz="4" w:space="0" w:color="auto"/>
              <w:bottom w:val="single" w:sz="4" w:space="0" w:color="auto"/>
              <w:right w:val="single" w:sz="4" w:space="0" w:color="auto"/>
            </w:tcBorders>
            <w:shd w:val="clear" w:color="auto" w:fill="auto"/>
          </w:tcPr>
          <w:p w14:paraId="15746537" w14:textId="687F130D" w:rsidR="00361335" w:rsidRPr="00873A54" w:rsidRDefault="00361335" w:rsidP="004D2A38">
            <w:pPr>
              <w:tabs>
                <w:tab w:val="left" w:pos="0"/>
              </w:tabs>
              <w:ind w:firstLine="0"/>
              <w:jc w:val="left"/>
              <w:rPr>
                <w:sz w:val="20"/>
              </w:rPr>
            </w:pPr>
            <w:r>
              <w:rPr>
                <w:sz w:val="20"/>
              </w:rPr>
              <w:t>Factor</w:t>
            </w:r>
          </w:p>
        </w:tc>
        <w:tc>
          <w:tcPr>
            <w:tcW w:w="1937" w:type="pct"/>
            <w:tcBorders>
              <w:top w:val="single" w:sz="4" w:space="0" w:color="auto"/>
              <w:left w:val="single" w:sz="4" w:space="0" w:color="auto"/>
              <w:bottom w:val="single" w:sz="4" w:space="0" w:color="auto"/>
              <w:right w:val="single" w:sz="4" w:space="0" w:color="auto"/>
            </w:tcBorders>
            <w:shd w:val="clear" w:color="auto" w:fill="auto"/>
          </w:tcPr>
          <w:p w14:paraId="2D5BBD0F" w14:textId="094FE241" w:rsidR="00361335" w:rsidRPr="00873A54" w:rsidRDefault="00361335" w:rsidP="004D2A38">
            <w:pPr>
              <w:tabs>
                <w:tab w:val="left" w:pos="0"/>
              </w:tabs>
              <w:ind w:firstLine="0"/>
              <w:jc w:val="left"/>
              <w:cnfStyle w:val="100000000000" w:firstRow="1" w:lastRow="0" w:firstColumn="0" w:lastColumn="0" w:oddVBand="0" w:evenVBand="0" w:oddHBand="0" w:evenHBand="0" w:firstRowFirstColumn="0" w:firstRowLastColumn="0" w:lastRowFirstColumn="0" w:lastRowLastColumn="0"/>
              <w:rPr>
                <w:sz w:val="20"/>
              </w:rPr>
            </w:pPr>
            <w:r>
              <w:rPr>
                <w:sz w:val="20"/>
              </w:rPr>
              <w:t>Article and authors</w:t>
            </w:r>
          </w:p>
        </w:tc>
        <w:tc>
          <w:tcPr>
            <w:tcW w:w="1937" w:type="pct"/>
            <w:tcBorders>
              <w:top w:val="single" w:sz="4" w:space="0" w:color="auto"/>
              <w:left w:val="single" w:sz="4" w:space="0" w:color="auto"/>
              <w:bottom w:val="single" w:sz="4" w:space="0" w:color="auto"/>
              <w:right w:val="single" w:sz="4" w:space="0" w:color="auto"/>
            </w:tcBorders>
          </w:tcPr>
          <w:p w14:paraId="6F961883" w14:textId="3AE67486" w:rsidR="00361335" w:rsidRPr="00873A54" w:rsidRDefault="00361335" w:rsidP="004D2A38">
            <w:pPr>
              <w:tabs>
                <w:tab w:val="left" w:pos="0"/>
              </w:tabs>
              <w:ind w:firstLine="0"/>
              <w:jc w:val="left"/>
              <w:cnfStyle w:val="100000000000" w:firstRow="1" w:lastRow="0" w:firstColumn="0" w:lastColumn="0" w:oddVBand="0" w:evenVBand="0" w:oddHBand="0" w:evenHBand="0" w:firstRowFirstColumn="0" w:firstRowLastColumn="0" w:lastRowFirstColumn="0" w:lastRowLastColumn="0"/>
              <w:rPr>
                <w:sz w:val="20"/>
              </w:rPr>
            </w:pPr>
            <w:r>
              <w:rPr>
                <w:sz w:val="20"/>
              </w:rPr>
              <w:t>Results of the research</w:t>
            </w:r>
          </w:p>
        </w:tc>
      </w:tr>
      <w:tr w:rsidR="00750E0B" w:rsidRPr="00873A54" w14:paraId="38ABAB36" w14:textId="6C374E1A" w:rsidTr="00750E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6" w:type="pct"/>
            <w:vMerge w:val="restart"/>
            <w:tcBorders>
              <w:top w:val="single" w:sz="4" w:space="0" w:color="auto"/>
              <w:left w:val="single" w:sz="4" w:space="0" w:color="auto"/>
              <w:bottom w:val="single" w:sz="4" w:space="0" w:color="auto"/>
              <w:right w:val="single" w:sz="4" w:space="0" w:color="auto"/>
            </w:tcBorders>
            <w:vAlign w:val="center"/>
          </w:tcPr>
          <w:p w14:paraId="03A752ED" w14:textId="6CABE0AF" w:rsidR="00750E0B" w:rsidRPr="00873A54" w:rsidRDefault="00750E0B" w:rsidP="004D2A38">
            <w:pPr>
              <w:tabs>
                <w:tab w:val="left" w:pos="0"/>
              </w:tabs>
              <w:ind w:firstLine="0"/>
              <w:jc w:val="left"/>
              <w:rPr>
                <w:b w:val="0"/>
                <w:sz w:val="20"/>
              </w:rPr>
            </w:pPr>
            <w:r>
              <w:rPr>
                <w:b w:val="0"/>
                <w:sz w:val="20"/>
              </w:rPr>
              <w:t>Deal size</w:t>
            </w:r>
          </w:p>
        </w:tc>
        <w:tc>
          <w:tcPr>
            <w:tcW w:w="1937" w:type="pct"/>
            <w:tcBorders>
              <w:top w:val="single" w:sz="4" w:space="0" w:color="auto"/>
              <w:left w:val="single" w:sz="4" w:space="0" w:color="auto"/>
              <w:bottom w:val="single" w:sz="4" w:space="0" w:color="auto"/>
              <w:right w:val="single" w:sz="4" w:space="0" w:color="auto"/>
            </w:tcBorders>
            <w:vAlign w:val="center"/>
          </w:tcPr>
          <w:p w14:paraId="452507DE" w14:textId="6D7BEA63" w:rsidR="00750E0B" w:rsidRPr="00873A54" w:rsidRDefault="00750E0B" w:rsidP="004D2A38">
            <w:pPr>
              <w:tabs>
                <w:tab w:val="left" w:pos="0"/>
              </w:tabs>
              <w:ind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 xml:space="preserve">Kozlov, </w:t>
            </w:r>
            <w:proofErr w:type="spellStart"/>
            <w:r>
              <w:rPr>
                <w:sz w:val="20"/>
              </w:rPr>
              <w:t>Tupikova</w:t>
            </w:r>
            <w:proofErr w:type="spellEnd"/>
            <w:r>
              <w:rPr>
                <w:sz w:val="20"/>
              </w:rPr>
              <w:t xml:space="preserve"> 2015</w:t>
            </w:r>
          </w:p>
        </w:tc>
        <w:tc>
          <w:tcPr>
            <w:tcW w:w="1937" w:type="pct"/>
            <w:tcBorders>
              <w:top w:val="single" w:sz="4" w:space="0" w:color="auto"/>
              <w:left w:val="single" w:sz="4" w:space="0" w:color="auto"/>
              <w:bottom w:val="single" w:sz="4" w:space="0" w:color="auto"/>
              <w:right w:val="single" w:sz="4" w:space="0" w:color="auto"/>
            </w:tcBorders>
            <w:vAlign w:val="center"/>
          </w:tcPr>
          <w:p w14:paraId="20BC26AC" w14:textId="6C274D02" w:rsidR="00750E0B" w:rsidRPr="00873A54" w:rsidRDefault="00750E0B" w:rsidP="004D2A38">
            <w:pPr>
              <w:tabs>
                <w:tab w:val="left" w:pos="0"/>
              </w:tabs>
              <w:ind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 xml:space="preserve">Smaller target acquisitions are more beneficial, due to easier </w:t>
            </w:r>
            <w:r w:rsidRPr="004035FE">
              <w:rPr>
                <w:sz w:val="20"/>
              </w:rPr>
              <w:t xml:space="preserve">resources </w:t>
            </w:r>
            <w:r>
              <w:rPr>
                <w:sz w:val="20"/>
              </w:rPr>
              <w:t xml:space="preserve">mobilization and </w:t>
            </w:r>
            <w:r w:rsidRPr="004035FE">
              <w:rPr>
                <w:sz w:val="20"/>
              </w:rPr>
              <w:t>integration process</w:t>
            </w:r>
            <w:r>
              <w:rPr>
                <w:sz w:val="20"/>
              </w:rPr>
              <w:t>es.</w:t>
            </w:r>
          </w:p>
        </w:tc>
      </w:tr>
      <w:tr w:rsidR="00750E0B" w:rsidRPr="00873A54" w14:paraId="67D367B4" w14:textId="6D244543" w:rsidTr="00750E0B">
        <w:trPr>
          <w:jc w:val="center"/>
        </w:trPr>
        <w:tc>
          <w:tcPr>
            <w:cnfStyle w:val="001000000000" w:firstRow="0" w:lastRow="0" w:firstColumn="1" w:lastColumn="0" w:oddVBand="0" w:evenVBand="0" w:oddHBand="0" w:evenHBand="0" w:firstRowFirstColumn="0" w:firstRowLastColumn="0" w:lastRowFirstColumn="0" w:lastRowLastColumn="0"/>
            <w:tcW w:w="1126" w:type="pct"/>
            <w:vMerge/>
            <w:tcBorders>
              <w:top w:val="single" w:sz="4" w:space="0" w:color="auto"/>
              <w:left w:val="single" w:sz="4" w:space="0" w:color="auto"/>
              <w:bottom w:val="single" w:sz="4" w:space="0" w:color="auto"/>
              <w:right w:val="single" w:sz="4" w:space="0" w:color="auto"/>
            </w:tcBorders>
          </w:tcPr>
          <w:p w14:paraId="2CD40F1C" w14:textId="05024AEF" w:rsidR="00750E0B" w:rsidRPr="00873A54" w:rsidRDefault="00750E0B" w:rsidP="004D2A38">
            <w:pPr>
              <w:tabs>
                <w:tab w:val="left" w:pos="0"/>
              </w:tabs>
              <w:ind w:firstLine="0"/>
              <w:jc w:val="left"/>
              <w:rPr>
                <w:b w:val="0"/>
                <w:sz w:val="20"/>
              </w:rPr>
            </w:pPr>
          </w:p>
        </w:tc>
        <w:tc>
          <w:tcPr>
            <w:tcW w:w="1937" w:type="pct"/>
            <w:tcBorders>
              <w:top w:val="single" w:sz="4" w:space="0" w:color="auto"/>
              <w:left w:val="single" w:sz="4" w:space="0" w:color="auto"/>
              <w:bottom w:val="single" w:sz="4" w:space="0" w:color="auto"/>
              <w:right w:val="single" w:sz="4" w:space="0" w:color="auto"/>
            </w:tcBorders>
            <w:vAlign w:val="center"/>
          </w:tcPr>
          <w:p w14:paraId="5E546C81" w14:textId="2CA9D51A" w:rsidR="00750E0B" w:rsidRPr="00873A54" w:rsidRDefault="00750E0B" w:rsidP="004D2A38">
            <w:pPr>
              <w:tabs>
                <w:tab w:val="left" w:pos="0"/>
              </w:tabs>
              <w:ind w:firstLin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4035FE">
              <w:rPr>
                <w:sz w:val="20"/>
              </w:rPr>
              <w:t>Alexandridis</w:t>
            </w:r>
            <w:proofErr w:type="spellEnd"/>
            <w:r w:rsidRPr="004035FE">
              <w:rPr>
                <w:sz w:val="20"/>
              </w:rPr>
              <w:t xml:space="preserve"> </w:t>
            </w:r>
            <w:r>
              <w:rPr>
                <w:sz w:val="20"/>
              </w:rPr>
              <w:t>et. al</w:t>
            </w:r>
            <w:r w:rsidRPr="004035FE">
              <w:rPr>
                <w:sz w:val="20"/>
              </w:rPr>
              <w:t>, 2013</w:t>
            </w:r>
          </w:p>
        </w:tc>
        <w:tc>
          <w:tcPr>
            <w:tcW w:w="1937" w:type="pct"/>
            <w:tcBorders>
              <w:top w:val="single" w:sz="4" w:space="0" w:color="auto"/>
              <w:left w:val="single" w:sz="4" w:space="0" w:color="auto"/>
              <w:bottom w:val="single" w:sz="4" w:space="0" w:color="auto"/>
              <w:right w:val="single" w:sz="4" w:space="0" w:color="auto"/>
            </w:tcBorders>
            <w:vAlign w:val="center"/>
          </w:tcPr>
          <w:p w14:paraId="2381FEB2" w14:textId="37B2688E" w:rsidR="00750E0B" w:rsidRPr="00873A54" w:rsidRDefault="00750E0B" w:rsidP="004D2A38">
            <w:pPr>
              <w:tabs>
                <w:tab w:val="left" w:pos="0"/>
              </w:tabs>
              <w:ind w:firstLine="0"/>
              <w:jc w:val="left"/>
              <w:cnfStyle w:val="000000000000" w:firstRow="0" w:lastRow="0" w:firstColumn="0" w:lastColumn="0" w:oddVBand="0" w:evenVBand="0" w:oddHBand="0" w:evenHBand="0" w:firstRowFirstColumn="0" w:firstRowLastColumn="0" w:lastRowFirstColumn="0" w:lastRowLastColumn="0"/>
              <w:rPr>
                <w:sz w:val="20"/>
              </w:rPr>
            </w:pPr>
            <w:r>
              <w:rPr>
                <w:sz w:val="20"/>
              </w:rPr>
              <w:t>Premiums paid for bigger targets are smaller related in percentage of the total deal value. However, bigger deals tend to destroy more shareholder value than smaller ones.</w:t>
            </w:r>
          </w:p>
        </w:tc>
      </w:tr>
      <w:tr w:rsidR="00750E0B" w:rsidRPr="00873A54" w14:paraId="671A6901" w14:textId="4D14C71C" w:rsidTr="00750E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6" w:type="pct"/>
            <w:vMerge w:val="restart"/>
            <w:tcBorders>
              <w:top w:val="single" w:sz="4" w:space="0" w:color="auto"/>
              <w:left w:val="single" w:sz="4" w:space="0" w:color="auto"/>
              <w:right w:val="single" w:sz="4" w:space="0" w:color="auto"/>
            </w:tcBorders>
            <w:vAlign w:val="center"/>
          </w:tcPr>
          <w:p w14:paraId="343E523D" w14:textId="2B742307" w:rsidR="00750E0B" w:rsidRPr="00873A54" w:rsidRDefault="00750E0B" w:rsidP="004D2A38">
            <w:pPr>
              <w:tabs>
                <w:tab w:val="left" w:pos="0"/>
              </w:tabs>
              <w:ind w:firstLine="0"/>
              <w:jc w:val="left"/>
              <w:rPr>
                <w:b w:val="0"/>
                <w:sz w:val="20"/>
              </w:rPr>
            </w:pPr>
            <w:r>
              <w:rPr>
                <w:b w:val="0"/>
                <w:sz w:val="20"/>
              </w:rPr>
              <w:t>Acquirer and target similarity</w:t>
            </w:r>
          </w:p>
        </w:tc>
        <w:tc>
          <w:tcPr>
            <w:tcW w:w="1937" w:type="pct"/>
            <w:tcBorders>
              <w:top w:val="single" w:sz="4" w:space="0" w:color="auto"/>
              <w:left w:val="single" w:sz="4" w:space="0" w:color="auto"/>
              <w:bottom w:val="single" w:sz="4" w:space="0" w:color="auto"/>
              <w:right w:val="single" w:sz="4" w:space="0" w:color="auto"/>
            </w:tcBorders>
            <w:vAlign w:val="center"/>
          </w:tcPr>
          <w:p w14:paraId="55E5AC93" w14:textId="7CC334B8" w:rsidR="00750E0B" w:rsidRPr="00873A54" w:rsidRDefault="00750E0B" w:rsidP="004D2A38">
            <w:pPr>
              <w:tabs>
                <w:tab w:val="left" w:pos="0"/>
              </w:tabs>
              <w:ind w:firstLine="0"/>
              <w:jc w:val="left"/>
              <w:cnfStyle w:val="000000100000" w:firstRow="0" w:lastRow="0" w:firstColumn="0" w:lastColumn="0" w:oddVBand="0" w:evenVBand="0" w:oddHBand="1" w:evenHBand="0" w:firstRowFirstColumn="0" w:firstRowLastColumn="0" w:lastRowFirstColumn="0" w:lastRowLastColumn="0"/>
              <w:rPr>
                <w:sz w:val="20"/>
              </w:rPr>
            </w:pPr>
            <w:proofErr w:type="spellStart"/>
            <w:r>
              <w:rPr>
                <w:sz w:val="20"/>
              </w:rPr>
              <w:t>Polikarpova</w:t>
            </w:r>
            <w:proofErr w:type="spellEnd"/>
            <w:r>
              <w:rPr>
                <w:sz w:val="20"/>
              </w:rPr>
              <w:t xml:space="preserve"> 2014</w:t>
            </w:r>
          </w:p>
        </w:tc>
        <w:tc>
          <w:tcPr>
            <w:tcW w:w="1937" w:type="pct"/>
            <w:tcBorders>
              <w:top w:val="single" w:sz="4" w:space="0" w:color="auto"/>
              <w:left w:val="single" w:sz="4" w:space="0" w:color="auto"/>
              <w:bottom w:val="single" w:sz="4" w:space="0" w:color="auto"/>
              <w:right w:val="single" w:sz="4" w:space="0" w:color="auto"/>
            </w:tcBorders>
          </w:tcPr>
          <w:p w14:paraId="31274BD9" w14:textId="4903E84E" w:rsidR="00750E0B" w:rsidRPr="00873A54" w:rsidRDefault="00750E0B" w:rsidP="004D2A38">
            <w:pPr>
              <w:tabs>
                <w:tab w:val="left" w:pos="0"/>
              </w:tabs>
              <w:ind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Intra-industry deals are more effective</w:t>
            </w:r>
          </w:p>
        </w:tc>
      </w:tr>
      <w:tr w:rsidR="00750E0B" w:rsidRPr="00873A54" w14:paraId="3A70ADCC" w14:textId="4B959308" w:rsidTr="00312CE6">
        <w:trPr>
          <w:jc w:val="center"/>
        </w:trPr>
        <w:tc>
          <w:tcPr>
            <w:cnfStyle w:val="001000000000" w:firstRow="0" w:lastRow="0" w:firstColumn="1" w:lastColumn="0" w:oddVBand="0" w:evenVBand="0" w:oddHBand="0" w:evenHBand="0" w:firstRowFirstColumn="0" w:firstRowLastColumn="0" w:lastRowFirstColumn="0" w:lastRowLastColumn="0"/>
            <w:tcW w:w="1126" w:type="pct"/>
            <w:vMerge/>
            <w:tcBorders>
              <w:left w:val="single" w:sz="4" w:space="0" w:color="auto"/>
              <w:right w:val="single" w:sz="4" w:space="0" w:color="auto"/>
            </w:tcBorders>
          </w:tcPr>
          <w:p w14:paraId="7B3B30E3" w14:textId="2F641A88" w:rsidR="00750E0B" w:rsidRPr="00873A54" w:rsidRDefault="00750E0B" w:rsidP="004D2A38">
            <w:pPr>
              <w:tabs>
                <w:tab w:val="left" w:pos="0"/>
              </w:tabs>
              <w:ind w:firstLine="0"/>
              <w:jc w:val="left"/>
              <w:rPr>
                <w:b w:val="0"/>
                <w:sz w:val="20"/>
              </w:rPr>
            </w:pPr>
          </w:p>
        </w:tc>
        <w:tc>
          <w:tcPr>
            <w:tcW w:w="1937" w:type="pct"/>
            <w:tcBorders>
              <w:top w:val="single" w:sz="4" w:space="0" w:color="auto"/>
              <w:left w:val="single" w:sz="4" w:space="0" w:color="auto"/>
              <w:bottom w:val="single" w:sz="4" w:space="0" w:color="auto"/>
              <w:right w:val="single" w:sz="4" w:space="0" w:color="auto"/>
            </w:tcBorders>
            <w:vAlign w:val="center"/>
          </w:tcPr>
          <w:p w14:paraId="28CF7964" w14:textId="60460E0F" w:rsidR="00750E0B" w:rsidRPr="00873A54" w:rsidRDefault="00750E0B" w:rsidP="004D2A38">
            <w:pPr>
              <w:tabs>
                <w:tab w:val="left" w:pos="0"/>
              </w:tabs>
              <w:ind w:firstLine="0"/>
              <w:jc w:val="left"/>
              <w:cnfStyle w:val="000000000000" w:firstRow="0" w:lastRow="0" w:firstColumn="0" w:lastColumn="0" w:oddVBand="0" w:evenVBand="0" w:oddHBand="0" w:evenHBand="0" w:firstRowFirstColumn="0" w:firstRowLastColumn="0" w:lastRowFirstColumn="0" w:lastRowLastColumn="0"/>
              <w:rPr>
                <w:sz w:val="20"/>
              </w:rPr>
            </w:pPr>
            <w:r w:rsidRPr="00750E0B">
              <w:rPr>
                <w:sz w:val="20"/>
              </w:rPr>
              <w:t xml:space="preserve">Healy, Palepu, </w:t>
            </w:r>
            <w:proofErr w:type="spellStart"/>
            <w:r w:rsidRPr="00750E0B">
              <w:rPr>
                <w:sz w:val="20"/>
              </w:rPr>
              <w:t>Ruback</w:t>
            </w:r>
            <w:proofErr w:type="spellEnd"/>
            <w:r w:rsidRPr="00750E0B">
              <w:rPr>
                <w:sz w:val="20"/>
              </w:rPr>
              <w:t xml:space="preserve"> 1992</w:t>
            </w:r>
          </w:p>
        </w:tc>
        <w:tc>
          <w:tcPr>
            <w:tcW w:w="1937" w:type="pct"/>
            <w:vMerge w:val="restart"/>
            <w:tcBorders>
              <w:top w:val="single" w:sz="4" w:space="0" w:color="auto"/>
              <w:left w:val="single" w:sz="4" w:space="0" w:color="auto"/>
              <w:right w:val="single" w:sz="4" w:space="0" w:color="auto"/>
            </w:tcBorders>
          </w:tcPr>
          <w:p w14:paraId="44367385" w14:textId="2CAEA387" w:rsidR="00750E0B" w:rsidRPr="00873A54" w:rsidRDefault="00750E0B" w:rsidP="004D2A38">
            <w:pPr>
              <w:tabs>
                <w:tab w:val="left" w:pos="0"/>
              </w:tabs>
              <w:ind w:firstLine="0"/>
              <w:jc w:val="left"/>
              <w:cnfStyle w:val="000000000000" w:firstRow="0" w:lastRow="0" w:firstColumn="0" w:lastColumn="0" w:oddVBand="0" w:evenVBand="0" w:oddHBand="0" w:evenHBand="0" w:firstRowFirstColumn="0" w:firstRowLastColumn="0" w:lastRowFirstColumn="0" w:lastRowLastColumn="0"/>
              <w:rPr>
                <w:sz w:val="20"/>
              </w:rPr>
            </w:pPr>
            <w:r>
              <w:rPr>
                <w:sz w:val="20"/>
              </w:rPr>
              <w:t>Transactions between strategically related firms are more efficient in terms of KPIs and stock returns, than between unrelated companies.</w:t>
            </w:r>
          </w:p>
        </w:tc>
      </w:tr>
      <w:tr w:rsidR="00750E0B" w:rsidRPr="00873A54" w14:paraId="521F049E" w14:textId="77777777" w:rsidTr="00312C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6" w:type="pct"/>
            <w:vMerge/>
            <w:tcBorders>
              <w:left w:val="single" w:sz="4" w:space="0" w:color="auto"/>
              <w:right w:val="single" w:sz="4" w:space="0" w:color="auto"/>
            </w:tcBorders>
          </w:tcPr>
          <w:p w14:paraId="30A70EC6" w14:textId="77777777" w:rsidR="00750E0B" w:rsidRPr="00873A54" w:rsidRDefault="00750E0B" w:rsidP="004D2A38">
            <w:pPr>
              <w:tabs>
                <w:tab w:val="left" w:pos="0"/>
              </w:tabs>
              <w:ind w:firstLine="0"/>
              <w:jc w:val="left"/>
              <w:rPr>
                <w:b w:val="0"/>
                <w:sz w:val="20"/>
              </w:rPr>
            </w:pPr>
          </w:p>
        </w:tc>
        <w:tc>
          <w:tcPr>
            <w:tcW w:w="1937" w:type="pct"/>
            <w:tcBorders>
              <w:top w:val="single" w:sz="4" w:space="0" w:color="auto"/>
              <w:left w:val="single" w:sz="4" w:space="0" w:color="auto"/>
              <w:bottom w:val="single" w:sz="4" w:space="0" w:color="auto"/>
              <w:right w:val="single" w:sz="4" w:space="0" w:color="auto"/>
            </w:tcBorders>
            <w:vAlign w:val="center"/>
          </w:tcPr>
          <w:p w14:paraId="13EE8BF6" w14:textId="60AAB85B" w:rsidR="00750E0B" w:rsidRPr="00750E0B" w:rsidRDefault="00750E0B" w:rsidP="004D2A38">
            <w:pPr>
              <w:tabs>
                <w:tab w:val="left" w:pos="0"/>
              </w:tabs>
              <w:ind w:firstLine="0"/>
              <w:jc w:val="left"/>
              <w:cnfStyle w:val="000000100000" w:firstRow="0" w:lastRow="0" w:firstColumn="0" w:lastColumn="0" w:oddVBand="0" w:evenVBand="0" w:oddHBand="1" w:evenHBand="0" w:firstRowFirstColumn="0" w:firstRowLastColumn="0" w:lastRowFirstColumn="0" w:lastRowLastColumn="0"/>
              <w:rPr>
                <w:sz w:val="20"/>
              </w:rPr>
            </w:pPr>
            <w:r w:rsidRPr="00750E0B">
              <w:rPr>
                <w:sz w:val="20"/>
              </w:rPr>
              <w:t>Ramaswamy</w:t>
            </w:r>
            <w:r>
              <w:rPr>
                <w:sz w:val="20"/>
              </w:rPr>
              <w:t xml:space="preserve"> </w:t>
            </w:r>
            <w:r w:rsidRPr="00750E0B">
              <w:rPr>
                <w:sz w:val="20"/>
              </w:rPr>
              <w:t>1997</w:t>
            </w:r>
          </w:p>
        </w:tc>
        <w:tc>
          <w:tcPr>
            <w:tcW w:w="1937" w:type="pct"/>
            <w:vMerge/>
            <w:tcBorders>
              <w:left w:val="single" w:sz="4" w:space="0" w:color="auto"/>
              <w:right w:val="single" w:sz="4" w:space="0" w:color="auto"/>
            </w:tcBorders>
          </w:tcPr>
          <w:p w14:paraId="417C2187" w14:textId="77777777" w:rsidR="00750E0B" w:rsidRPr="00873A54" w:rsidRDefault="00750E0B" w:rsidP="004D2A38">
            <w:pPr>
              <w:tabs>
                <w:tab w:val="left" w:pos="0"/>
              </w:tabs>
              <w:ind w:firstLine="0"/>
              <w:jc w:val="left"/>
              <w:cnfStyle w:val="000000100000" w:firstRow="0" w:lastRow="0" w:firstColumn="0" w:lastColumn="0" w:oddVBand="0" w:evenVBand="0" w:oddHBand="1" w:evenHBand="0" w:firstRowFirstColumn="0" w:firstRowLastColumn="0" w:lastRowFirstColumn="0" w:lastRowLastColumn="0"/>
              <w:rPr>
                <w:sz w:val="20"/>
              </w:rPr>
            </w:pPr>
          </w:p>
        </w:tc>
      </w:tr>
      <w:tr w:rsidR="00750E0B" w:rsidRPr="00873A54" w14:paraId="4E7CFF79" w14:textId="77777777" w:rsidTr="00312CE6">
        <w:trPr>
          <w:jc w:val="center"/>
        </w:trPr>
        <w:tc>
          <w:tcPr>
            <w:cnfStyle w:val="001000000000" w:firstRow="0" w:lastRow="0" w:firstColumn="1" w:lastColumn="0" w:oddVBand="0" w:evenVBand="0" w:oddHBand="0" w:evenHBand="0" w:firstRowFirstColumn="0" w:firstRowLastColumn="0" w:lastRowFirstColumn="0" w:lastRowLastColumn="0"/>
            <w:tcW w:w="1126" w:type="pct"/>
            <w:vMerge/>
            <w:tcBorders>
              <w:left w:val="single" w:sz="4" w:space="0" w:color="auto"/>
              <w:bottom w:val="single" w:sz="4" w:space="0" w:color="auto"/>
              <w:right w:val="single" w:sz="4" w:space="0" w:color="auto"/>
            </w:tcBorders>
          </w:tcPr>
          <w:p w14:paraId="2198D2CC" w14:textId="77777777" w:rsidR="00750E0B" w:rsidRPr="00873A54" w:rsidRDefault="00750E0B" w:rsidP="004D2A38">
            <w:pPr>
              <w:tabs>
                <w:tab w:val="left" w:pos="0"/>
              </w:tabs>
              <w:ind w:firstLine="0"/>
              <w:jc w:val="left"/>
              <w:rPr>
                <w:b w:val="0"/>
                <w:sz w:val="20"/>
              </w:rPr>
            </w:pPr>
          </w:p>
        </w:tc>
        <w:tc>
          <w:tcPr>
            <w:tcW w:w="1937" w:type="pct"/>
            <w:tcBorders>
              <w:top w:val="single" w:sz="4" w:space="0" w:color="auto"/>
              <w:left w:val="single" w:sz="4" w:space="0" w:color="auto"/>
              <w:bottom w:val="single" w:sz="4" w:space="0" w:color="auto"/>
              <w:right w:val="single" w:sz="4" w:space="0" w:color="auto"/>
            </w:tcBorders>
            <w:vAlign w:val="center"/>
          </w:tcPr>
          <w:p w14:paraId="7EDBAF47" w14:textId="3974B49F" w:rsidR="00750E0B" w:rsidRPr="00750E0B" w:rsidRDefault="00750E0B" w:rsidP="004D2A38">
            <w:pPr>
              <w:tabs>
                <w:tab w:val="left" w:pos="0"/>
              </w:tabs>
              <w:ind w:firstLin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750E0B">
              <w:rPr>
                <w:sz w:val="20"/>
              </w:rPr>
              <w:t>Iankova</w:t>
            </w:r>
            <w:proofErr w:type="spellEnd"/>
            <w:r>
              <w:rPr>
                <w:sz w:val="20"/>
              </w:rPr>
              <w:t xml:space="preserve"> </w:t>
            </w:r>
            <w:r w:rsidRPr="00750E0B">
              <w:rPr>
                <w:sz w:val="20"/>
              </w:rPr>
              <w:t>2014</w:t>
            </w:r>
          </w:p>
        </w:tc>
        <w:tc>
          <w:tcPr>
            <w:tcW w:w="1937" w:type="pct"/>
            <w:vMerge/>
            <w:tcBorders>
              <w:left w:val="single" w:sz="4" w:space="0" w:color="auto"/>
              <w:bottom w:val="single" w:sz="4" w:space="0" w:color="auto"/>
              <w:right w:val="single" w:sz="4" w:space="0" w:color="auto"/>
            </w:tcBorders>
          </w:tcPr>
          <w:p w14:paraId="4CE02875" w14:textId="77777777" w:rsidR="00750E0B" w:rsidRPr="00873A54" w:rsidRDefault="00750E0B" w:rsidP="004D2A38">
            <w:pPr>
              <w:tabs>
                <w:tab w:val="left" w:pos="0"/>
              </w:tabs>
              <w:ind w:firstLine="0"/>
              <w:jc w:val="left"/>
              <w:cnfStyle w:val="000000000000" w:firstRow="0" w:lastRow="0" w:firstColumn="0" w:lastColumn="0" w:oddVBand="0" w:evenVBand="0" w:oddHBand="0" w:evenHBand="0" w:firstRowFirstColumn="0" w:firstRowLastColumn="0" w:lastRowFirstColumn="0" w:lastRowLastColumn="0"/>
              <w:rPr>
                <w:sz w:val="20"/>
              </w:rPr>
            </w:pPr>
          </w:p>
        </w:tc>
      </w:tr>
      <w:tr w:rsidR="00AC085B" w:rsidRPr="00873A54" w14:paraId="5C8013AC" w14:textId="77777777" w:rsidTr="00AC08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6" w:type="pct"/>
            <w:vMerge w:val="restart"/>
            <w:tcBorders>
              <w:top w:val="single" w:sz="4" w:space="0" w:color="auto"/>
              <w:left w:val="single" w:sz="4" w:space="0" w:color="auto"/>
              <w:right w:val="single" w:sz="4" w:space="0" w:color="auto"/>
            </w:tcBorders>
            <w:vAlign w:val="center"/>
          </w:tcPr>
          <w:p w14:paraId="66FA8358" w14:textId="2A5B8ECE" w:rsidR="00AC085B" w:rsidRPr="00873A54" w:rsidRDefault="00AC085B" w:rsidP="00AC085B">
            <w:pPr>
              <w:tabs>
                <w:tab w:val="left" w:pos="0"/>
              </w:tabs>
              <w:ind w:firstLine="0"/>
              <w:jc w:val="left"/>
              <w:rPr>
                <w:b w:val="0"/>
                <w:sz w:val="20"/>
              </w:rPr>
            </w:pPr>
            <w:r>
              <w:rPr>
                <w:b w:val="0"/>
                <w:sz w:val="20"/>
              </w:rPr>
              <w:t>Source of financing</w:t>
            </w:r>
          </w:p>
        </w:tc>
        <w:tc>
          <w:tcPr>
            <w:tcW w:w="1937" w:type="pct"/>
            <w:tcBorders>
              <w:top w:val="single" w:sz="4" w:space="0" w:color="auto"/>
              <w:left w:val="single" w:sz="4" w:space="0" w:color="auto"/>
              <w:bottom w:val="single" w:sz="4" w:space="0" w:color="auto"/>
              <w:right w:val="single" w:sz="4" w:space="0" w:color="auto"/>
            </w:tcBorders>
          </w:tcPr>
          <w:p w14:paraId="338DADD9" w14:textId="03F7BD82" w:rsidR="00AC085B" w:rsidRPr="00750E0B" w:rsidRDefault="00AC085B" w:rsidP="004D2A38">
            <w:pPr>
              <w:tabs>
                <w:tab w:val="left" w:pos="0"/>
              </w:tabs>
              <w:ind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Hayward 2003</w:t>
            </w:r>
          </w:p>
        </w:tc>
        <w:tc>
          <w:tcPr>
            <w:tcW w:w="1937" w:type="pct"/>
            <w:tcBorders>
              <w:top w:val="single" w:sz="4" w:space="0" w:color="auto"/>
              <w:left w:val="single" w:sz="4" w:space="0" w:color="auto"/>
              <w:bottom w:val="single" w:sz="4" w:space="0" w:color="auto"/>
              <w:right w:val="single" w:sz="4" w:space="0" w:color="auto"/>
            </w:tcBorders>
          </w:tcPr>
          <w:p w14:paraId="5D53375F" w14:textId="183FE567" w:rsidR="00AC085B" w:rsidRPr="00873A54" w:rsidRDefault="00AC085B" w:rsidP="004D2A38">
            <w:pPr>
              <w:tabs>
                <w:tab w:val="left" w:pos="0"/>
              </w:tabs>
              <w:ind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Simple cash-financed deals are more efficient</w:t>
            </w:r>
          </w:p>
        </w:tc>
      </w:tr>
      <w:tr w:rsidR="00AC085B" w:rsidRPr="00873A54" w14:paraId="04B0FBF6" w14:textId="77FA9872" w:rsidTr="00603D98">
        <w:trPr>
          <w:jc w:val="center"/>
        </w:trPr>
        <w:tc>
          <w:tcPr>
            <w:cnfStyle w:val="001000000000" w:firstRow="0" w:lastRow="0" w:firstColumn="1" w:lastColumn="0" w:oddVBand="0" w:evenVBand="0" w:oddHBand="0" w:evenHBand="0" w:firstRowFirstColumn="0" w:firstRowLastColumn="0" w:lastRowFirstColumn="0" w:lastRowLastColumn="0"/>
            <w:tcW w:w="1126" w:type="pct"/>
            <w:vMerge/>
            <w:tcBorders>
              <w:left w:val="single" w:sz="4" w:space="0" w:color="auto"/>
              <w:right w:val="single" w:sz="4" w:space="0" w:color="auto"/>
            </w:tcBorders>
          </w:tcPr>
          <w:p w14:paraId="0FC834FE" w14:textId="64AA1E9B" w:rsidR="00AC085B" w:rsidRPr="00873A54" w:rsidRDefault="00AC085B" w:rsidP="004D2A38">
            <w:pPr>
              <w:tabs>
                <w:tab w:val="left" w:pos="0"/>
              </w:tabs>
              <w:ind w:firstLine="0"/>
              <w:jc w:val="left"/>
              <w:rPr>
                <w:b w:val="0"/>
                <w:sz w:val="20"/>
              </w:rPr>
            </w:pPr>
          </w:p>
        </w:tc>
        <w:tc>
          <w:tcPr>
            <w:tcW w:w="1937" w:type="pct"/>
            <w:tcBorders>
              <w:top w:val="single" w:sz="4" w:space="0" w:color="auto"/>
              <w:left w:val="single" w:sz="4" w:space="0" w:color="auto"/>
              <w:bottom w:val="single" w:sz="4" w:space="0" w:color="auto"/>
              <w:right w:val="single" w:sz="4" w:space="0" w:color="auto"/>
            </w:tcBorders>
          </w:tcPr>
          <w:p w14:paraId="0EA5AB80" w14:textId="572B78E2" w:rsidR="00AC085B" w:rsidRPr="00873A54" w:rsidRDefault="00AC085B" w:rsidP="004D2A38">
            <w:pPr>
              <w:tabs>
                <w:tab w:val="left" w:pos="0"/>
              </w:tabs>
              <w:ind w:firstLine="0"/>
              <w:jc w:val="left"/>
              <w:cnfStyle w:val="000000000000" w:firstRow="0" w:lastRow="0" w:firstColumn="0" w:lastColumn="0" w:oddVBand="0" w:evenVBand="0" w:oddHBand="0" w:evenHBand="0" w:firstRowFirstColumn="0" w:firstRowLastColumn="0" w:lastRowFirstColumn="0" w:lastRowLastColumn="0"/>
              <w:rPr>
                <w:sz w:val="20"/>
              </w:rPr>
            </w:pPr>
            <w:r w:rsidRPr="00AC085B">
              <w:rPr>
                <w:sz w:val="20"/>
              </w:rPr>
              <w:t xml:space="preserve">Andre, </w:t>
            </w:r>
            <w:proofErr w:type="spellStart"/>
            <w:r w:rsidRPr="00AC085B">
              <w:rPr>
                <w:sz w:val="20"/>
              </w:rPr>
              <w:t>Kooli</w:t>
            </w:r>
            <w:proofErr w:type="spellEnd"/>
            <w:r w:rsidRPr="00AC085B">
              <w:rPr>
                <w:sz w:val="20"/>
              </w:rPr>
              <w:t xml:space="preserve"> and </w:t>
            </w:r>
            <w:proofErr w:type="spellStart"/>
            <w:r w:rsidRPr="00AC085B">
              <w:rPr>
                <w:sz w:val="20"/>
              </w:rPr>
              <w:t>L’Her</w:t>
            </w:r>
            <w:proofErr w:type="spellEnd"/>
            <w:r w:rsidRPr="00AC085B">
              <w:rPr>
                <w:sz w:val="20"/>
              </w:rPr>
              <w:t xml:space="preserve"> 2004</w:t>
            </w:r>
          </w:p>
        </w:tc>
        <w:tc>
          <w:tcPr>
            <w:tcW w:w="1937" w:type="pct"/>
            <w:tcBorders>
              <w:top w:val="single" w:sz="4" w:space="0" w:color="auto"/>
              <w:left w:val="single" w:sz="4" w:space="0" w:color="auto"/>
              <w:bottom w:val="single" w:sz="4" w:space="0" w:color="auto"/>
              <w:right w:val="single" w:sz="4" w:space="0" w:color="auto"/>
            </w:tcBorders>
          </w:tcPr>
          <w:p w14:paraId="63B7332A" w14:textId="28F28855" w:rsidR="00AC085B" w:rsidRPr="00873A54" w:rsidRDefault="00AC085B" w:rsidP="004D2A38">
            <w:pPr>
              <w:tabs>
                <w:tab w:val="left" w:pos="0"/>
              </w:tabs>
              <w:ind w:firstLine="0"/>
              <w:jc w:val="left"/>
              <w:cnfStyle w:val="000000000000" w:firstRow="0" w:lastRow="0" w:firstColumn="0" w:lastColumn="0" w:oddVBand="0" w:evenVBand="0" w:oddHBand="0" w:evenHBand="0" w:firstRowFirstColumn="0" w:firstRowLastColumn="0" w:lastRowFirstColumn="0" w:lastRowLastColumn="0"/>
              <w:rPr>
                <w:sz w:val="20"/>
              </w:rPr>
            </w:pPr>
            <w:r>
              <w:rPr>
                <w:sz w:val="20"/>
              </w:rPr>
              <w:t>Stock financed deals show weaker performance</w:t>
            </w:r>
          </w:p>
        </w:tc>
      </w:tr>
      <w:tr w:rsidR="00AC085B" w:rsidRPr="00873A54" w14:paraId="238A7052" w14:textId="77777777" w:rsidTr="00603D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6" w:type="pct"/>
            <w:vMerge/>
            <w:tcBorders>
              <w:left w:val="single" w:sz="4" w:space="0" w:color="auto"/>
              <w:right w:val="single" w:sz="4" w:space="0" w:color="auto"/>
            </w:tcBorders>
          </w:tcPr>
          <w:p w14:paraId="099E83F6" w14:textId="77777777" w:rsidR="00AC085B" w:rsidRPr="00873A54" w:rsidRDefault="00AC085B" w:rsidP="004D2A38">
            <w:pPr>
              <w:tabs>
                <w:tab w:val="left" w:pos="0"/>
              </w:tabs>
              <w:ind w:firstLine="0"/>
              <w:jc w:val="left"/>
              <w:rPr>
                <w:b w:val="0"/>
                <w:sz w:val="20"/>
              </w:rPr>
            </w:pPr>
          </w:p>
        </w:tc>
        <w:tc>
          <w:tcPr>
            <w:tcW w:w="1937" w:type="pct"/>
            <w:tcBorders>
              <w:top w:val="single" w:sz="4" w:space="0" w:color="auto"/>
              <w:left w:val="single" w:sz="4" w:space="0" w:color="auto"/>
              <w:bottom w:val="single" w:sz="4" w:space="0" w:color="auto"/>
              <w:right w:val="single" w:sz="4" w:space="0" w:color="auto"/>
            </w:tcBorders>
          </w:tcPr>
          <w:p w14:paraId="21393914" w14:textId="0ED775B9" w:rsidR="00AC085B" w:rsidRPr="00AC085B" w:rsidRDefault="00AC085B" w:rsidP="004D2A38">
            <w:pPr>
              <w:tabs>
                <w:tab w:val="left" w:pos="0"/>
              </w:tabs>
              <w:ind w:firstLine="0"/>
              <w:jc w:val="left"/>
              <w:cnfStyle w:val="000000100000" w:firstRow="0" w:lastRow="0" w:firstColumn="0" w:lastColumn="0" w:oddVBand="0" w:evenVBand="0" w:oddHBand="1" w:evenHBand="0" w:firstRowFirstColumn="0" w:firstRowLastColumn="0" w:lastRowFirstColumn="0" w:lastRowLastColumn="0"/>
              <w:rPr>
                <w:sz w:val="20"/>
              </w:rPr>
            </w:pPr>
            <w:r w:rsidRPr="00AC085B">
              <w:rPr>
                <w:sz w:val="20"/>
              </w:rPr>
              <w:t xml:space="preserve">Loughran and </w:t>
            </w:r>
            <w:proofErr w:type="spellStart"/>
            <w:r w:rsidRPr="00AC085B">
              <w:rPr>
                <w:sz w:val="20"/>
              </w:rPr>
              <w:t>Vijh</w:t>
            </w:r>
            <w:proofErr w:type="spellEnd"/>
          </w:p>
        </w:tc>
        <w:tc>
          <w:tcPr>
            <w:tcW w:w="1937" w:type="pct"/>
            <w:tcBorders>
              <w:top w:val="single" w:sz="4" w:space="0" w:color="auto"/>
              <w:left w:val="single" w:sz="4" w:space="0" w:color="auto"/>
              <w:bottom w:val="single" w:sz="4" w:space="0" w:color="auto"/>
              <w:right w:val="single" w:sz="4" w:space="0" w:color="auto"/>
            </w:tcBorders>
          </w:tcPr>
          <w:p w14:paraId="2B4F7D66" w14:textId="0BC285A4" w:rsidR="00AC085B" w:rsidRPr="00873A54" w:rsidRDefault="00AC085B" w:rsidP="004D2A38">
            <w:pPr>
              <w:tabs>
                <w:tab w:val="left" w:pos="0"/>
              </w:tabs>
              <w:ind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Use of stock if overvalued, and use of cash when stocks are undervalued</w:t>
            </w:r>
          </w:p>
        </w:tc>
      </w:tr>
      <w:tr w:rsidR="00AC085B" w:rsidRPr="00873A54" w14:paraId="65184D9A" w14:textId="77777777" w:rsidTr="00AC085B">
        <w:trPr>
          <w:jc w:val="center"/>
        </w:trPr>
        <w:tc>
          <w:tcPr>
            <w:cnfStyle w:val="001000000000" w:firstRow="0" w:lastRow="0" w:firstColumn="1" w:lastColumn="0" w:oddVBand="0" w:evenVBand="0" w:oddHBand="0" w:evenHBand="0" w:firstRowFirstColumn="0" w:firstRowLastColumn="0" w:lastRowFirstColumn="0" w:lastRowLastColumn="0"/>
            <w:tcW w:w="1126" w:type="pct"/>
            <w:vMerge/>
            <w:tcBorders>
              <w:left w:val="single" w:sz="4" w:space="0" w:color="auto"/>
              <w:right w:val="single" w:sz="4" w:space="0" w:color="auto"/>
            </w:tcBorders>
          </w:tcPr>
          <w:p w14:paraId="40AEFEF9" w14:textId="77777777" w:rsidR="00AC085B" w:rsidRPr="00873A54" w:rsidRDefault="00AC085B" w:rsidP="004D2A38">
            <w:pPr>
              <w:tabs>
                <w:tab w:val="left" w:pos="0"/>
              </w:tabs>
              <w:ind w:firstLine="0"/>
              <w:jc w:val="left"/>
              <w:rPr>
                <w:b w:val="0"/>
                <w:sz w:val="20"/>
              </w:rPr>
            </w:pPr>
          </w:p>
        </w:tc>
        <w:tc>
          <w:tcPr>
            <w:tcW w:w="1937" w:type="pct"/>
            <w:tcBorders>
              <w:top w:val="single" w:sz="4" w:space="0" w:color="auto"/>
              <w:left w:val="single" w:sz="4" w:space="0" w:color="auto"/>
              <w:bottom w:val="single" w:sz="4" w:space="0" w:color="auto"/>
              <w:right w:val="single" w:sz="4" w:space="0" w:color="auto"/>
            </w:tcBorders>
          </w:tcPr>
          <w:p w14:paraId="1478649C" w14:textId="7CEEBDB5" w:rsidR="00AC085B" w:rsidRPr="00AC085B" w:rsidRDefault="00AC085B" w:rsidP="004D2A38">
            <w:pPr>
              <w:tabs>
                <w:tab w:val="left" w:pos="0"/>
              </w:tabs>
              <w:ind w:firstLine="0"/>
              <w:jc w:val="left"/>
              <w:cnfStyle w:val="000000000000" w:firstRow="0" w:lastRow="0" w:firstColumn="0" w:lastColumn="0" w:oddVBand="0" w:evenVBand="0" w:oddHBand="0" w:evenHBand="0" w:firstRowFirstColumn="0" w:firstRowLastColumn="0" w:lastRowFirstColumn="0" w:lastRowLastColumn="0"/>
              <w:rPr>
                <w:sz w:val="20"/>
              </w:rPr>
            </w:pPr>
            <w:r w:rsidRPr="00AC085B">
              <w:rPr>
                <w:sz w:val="20"/>
              </w:rPr>
              <w:t xml:space="preserve">Healy, Palepu and </w:t>
            </w:r>
            <w:proofErr w:type="spellStart"/>
            <w:r w:rsidRPr="00AC085B">
              <w:rPr>
                <w:sz w:val="20"/>
              </w:rPr>
              <w:t>Ruback</w:t>
            </w:r>
            <w:proofErr w:type="spellEnd"/>
            <w:r w:rsidRPr="00AC085B">
              <w:rPr>
                <w:sz w:val="20"/>
              </w:rPr>
              <w:t>, 1992</w:t>
            </w:r>
          </w:p>
        </w:tc>
        <w:tc>
          <w:tcPr>
            <w:tcW w:w="1937" w:type="pct"/>
            <w:tcBorders>
              <w:top w:val="single" w:sz="4" w:space="0" w:color="auto"/>
              <w:left w:val="single" w:sz="4" w:space="0" w:color="auto"/>
              <w:bottom w:val="single" w:sz="4" w:space="0" w:color="auto"/>
              <w:right w:val="single" w:sz="4" w:space="0" w:color="auto"/>
            </w:tcBorders>
          </w:tcPr>
          <w:p w14:paraId="69B87974" w14:textId="41739CA5" w:rsidR="00AC085B" w:rsidRPr="00873A54" w:rsidRDefault="00AC085B" w:rsidP="004D2A38">
            <w:pPr>
              <w:tabs>
                <w:tab w:val="left" w:pos="0"/>
              </w:tabs>
              <w:ind w:firstLine="0"/>
              <w:jc w:val="left"/>
              <w:cnfStyle w:val="000000000000" w:firstRow="0" w:lastRow="0" w:firstColumn="0" w:lastColumn="0" w:oddVBand="0" w:evenVBand="0" w:oddHBand="0" w:evenHBand="0" w:firstRowFirstColumn="0" w:firstRowLastColumn="0" w:lastRowFirstColumn="0" w:lastRowLastColumn="0"/>
              <w:rPr>
                <w:sz w:val="20"/>
              </w:rPr>
            </w:pPr>
            <w:r>
              <w:rPr>
                <w:sz w:val="20"/>
              </w:rPr>
              <w:t>No evidence of financing type and company performance</w:t>
            </w:r>
          </w:p>
        </w:tc>
      </w:tr>
      <w:tr w:rsidR="00AC085B" w:rsidRPr="00873A54" w14:paraId="302939EF" w14:textId="77777777" w:rsidTr="00603D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6" w:type="pct"/>
            <w:vMerge w:val="restart"/>
            <w:tcBorders>
              <w:left w:val="single" w:sz="4" w:space="0" w:color="auto"/>
              <w:right w:val="single" w:sz="4" w:space="0" w:color="auto"/>
            </w:tcBorders>
            <w:vAlign w:val="center"/>
          </w:tcPr>
          <w:p w14:paraId="7AB6679A" w14:textId="020D68D0" w:rsidR="00AC085B" w:rsidRPr="00873A54" w:rsidRDefault="00AC085B" w:rsidP="00AC085B">
            <w:pPr>
              <w:tabs>
                <w:tab w:val="left" w:pos="0"/>
              </w:tabs>
              <w:ind w:firstLine="0"/>
              <w:jc w:val="left"/>
              <w:rPr>
                <w:b w:val="0"/>
                <w:sz w:val="20"/>
              </w:rPr>
            </w:pPr>
            <w:r>
              <w:rPr>
                <w:b w:val="0"/>
                <w:sz w:val="20"/>
              </w:rPr>
              <w:t>Deal atmosphere</w:t>
            </w:r>
          </w:p>
        </w:tc>
        <w:tc>
          <w:tcPr>
            <w:tcW w:w="1937" w:type="pct"/>
            <w:tcBorders>
              <w:top w:val="single" w:sz="4" w:space="0" w:color="auto"/>
              <w:left w:val="single" w:sz="4" w:space="0" w:color="auto"/>
              <w:bottom w:val="single" w:sz="4" w:space="0" w:color="auto"/>
              <w:right w:val="single" w:sz="4" w:space="0" w:color="auto"/>
            </w:tcBorders>
          </w:tcPr>
          <w:p w14:paraId="42B17C13" w14:textId="570C2E1F" w:rsidR="00AC085B" w:rsidRPr="00AC085B" w:rsidRDefault="00AC085B" w:rsidP="004D2A38">
            <w:pPr>
              <w:tabs>
                <w:tab w:val="left" w:pos="0"/>
              </w:tabs>
              <w:ind w:firstLine="0"/>
              <w:jc w:val="left"/>
              <w:cnfStyle w:val="000000100000" w:firstRow="0" w:lastRow="0" w:firstColumn="0" w:lastColumn="0" w:oddVBand="0" w:evenVBand="0" w:oddHBand="1" w:evenHBand="0" w:firstRowFirstColumn="0" w:firstRowLastColumn="0" w:lastRowFirstColumn="0" w:lastRowLastColumn="0"/>
              <w:rPr>
                <w:sz w:val="20"/>
              </w:rPr>
            </w:pPr>
            <w:r w:rsidRPr="00AC085B">
              <w:rPr>
                <w:sz w:val="20"/>
              </w:rPr>
              <w:t>Ghosh 2001</w:t>
            </w:r>
          </w:p>
        </w:tc>
        <w:tc>
          <w:tcPr>
            <w:tcW w:w="1937" w:type="pct"/>
            <w:vMerge w:val="restart"/>
            <w:tcBorders>
              <w:top w:val="single" w:sz="4" w:space="0" w:color="auto"/>
              <w:left w:val="single" w:sz="4" w:space="0" w:color="auto"/>
              <w:right w:val="single" w:sz="4" w:space="0" w:color="auto"/>
            </w:tcBorders>
          </w:tcPr>
          <w:p w14:paraId="2DF1CBEE" w14:textId="16EBD319" w:rsidR="00AC085B" w:rsidRDefault="00AC085B" w:rsidP="004D2A38">
            <w:pPr>
              <w:tabs>
                <w:tab w:val="left" w:pos="0"/>
              </w:tabs>
              <w:ind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No evidence of hostile takeovers to outperform friendly ones</w:t>
            </w:r>
          </w:p>
        </w:tc>
      </w:tr>
      <w:tr w:rsidR="00AC085B" w:rsidRPr="00873A54" w14:paraId="43B2AF2E" w14:textId="77777777" w:rsidTr="00603D98">
        <w:trPr>
          <w:jc w:val="center"/>
        </w:trPr>
        <w:tc>
          <w:tcPr>
            <w:cnfStyle w:val="001000000000" w:firstRow="0" w:lastRow="0" w:firstColumn="1" w:lastColumn="0" w:oddVBand="0" w:evenVBand="0" w:oddHBand="0" w:evenHBand="0" w:firstRowFirstColumn="0" w:firstRowLastColumn="0" w:lastRowFirstColumn="0" w:lastRowLastColumn="0"/>
            <w:tcW w:w="1126" w:type="pct"/>
            <w:vMerge/>
            <w:tcBorders>
              <w:left w:val="single" w:sz="4" w:space="0" w:color="auto"/>
              <w:right w:val="single" w:sz="4" w:space="0" w:color="auto"/>
            </w:tcBorders>
          </w:tcPr>
          <w:p w14:paraId="3D913831" w14:textId="77777777" w:rsidR="00AC085B" w:rsidRDefault="00AC085B" w:rsidP="004D2A38">
            <w:pPr>
              <w:tabs>
                <w:tab w:val="left" w:pos="0"/>
              </w:tabs>
              <w:ind w:firstLine="0"/>
              <w:jc w:val="left"/>
              <w:rPr>
                <w:b w:val="0"/>
                <w:sz w:val="20"/>
              </w:rPr>
            </w:pPr>
          </w:p>
        </w:tc>
        <w:tc>
          <w:tcPr>
            <w:tcW w:w="1937" w:type="pct"/>
            <w:tcBorders>
              <w:top w:val="single" w:sz="4" w:space="0" w:color="auto"/>
              <w:left w:val="single" w:sz="4" w:space="0" w:color="auto"/>
              <w:bottom w:val="single" w:sz="4" w:space="0" w:color="auto"/>
              <w:right w:val="single" w:sz="4" w:space="0" w:color="auto"/>
            </w:tcBorders>
          </w:tcPr>
          <w:p w14:paraId="07257FAE" w14:textId="13C912EC" w:rsidR="00AC085B" w:rsidRPr="00AC085B" w:rsidRDefault="00AC085B" w:rsidP="004D2A38">
            <w:pPr>
              <w:tabs>
                <w:tab w:val="left" w:pos="0"/>
              </w:tabs>
              <w:ind w:firstLine="0"/>
              <w:jc w:val="left"/>
              <w:cnfStyle w:val="000000000000" w:firstRow="0" w:lastRow="0" w:firstColumn="0" w:lastColumn="0" w:oddVBand="0" w:evenVBand="0" w:oddHBand="0" w:evenHBand="0" w:firstRowFirstColumn="0" w:firstRowLastColumn="0" w:lastRowFirstColumn="0" w:lastRowLastColumn="0"/>
              <w:rPr>
                <w:sz w:val="20"/>
              </w:rPr>
            </w:pPr>
            <w:r w:rsidRPr="00AC085B">
              <w:rPr>
                <w:sz w:val="20"/>
              </w:rPr>
              <w:t>Powell</w:t>
            </w:r>
            <w:r>
              <w:rPr>
                <w:sz w:val="20"/>
              </w:rPr>
              <w:t xml:space="preserve">, </w:t>
            </w:r>
            <w:r w:rsidRPr="00AC085B">
              <w:rPr>
                <w:sz w:val="20"/>
              </w:rPr>
              <w:t>Stark 2005</w:t>
            </w:r>
          </w:p>
        </w:tc>
        <w:tc>
          <w:tcPr>
            <w:tcW w:w="1937" w:type="pct"/>
            <w:vMerge/>
            <w:tcBorders>
              <w:left w:val="single" w:sz="4" w:space="0" w:color="auto"/>
              <w:bottom w:val="single" w:sz="4" w:space="0" w:color="auto"/>
              <w:right w:val="single" w:sz="4" w:space="0" w:color="auto"/>
            </w:tcBorders>
          </w:tcPr>
          <w:p w14:paraId="449FDB73" w14:textId="77777777" w:rsidR="00AC085B" w:rsidRDefault="00AC085B" w:rsidP="004D2A38">
            <w:pPr>
              <w:tabs>
                <w:tab w:val="left" w:pos="0"/>
              </w:tabs>
              <w:ind w:firstLine="0"/>
              <w:jc w:val="left"/>
              <w:cnfStyle w:val="000000000000" w:firstRow="0" w:lastRow="0" w:firstColumn="0" w:lastColumn="0" w:oddVBand="0" w:evenVBand="0" w:oddHBand="0" w:evenHBand="0" w:firstRowFirstColumn="0" w:firstRowLastColumn="0" w:lastRowFirstColumn="0" w:lastRowLastColumn="0"/>
              <w:rPr>
                <w:sz w:val="20"/>
              </w:rPr>
            </w:pPr>
          </w:p>
        </w:tc>
      </w:tr>
    </w:tbl>
    <w:p w14:paraId="5C2B96C8" w14:textId="26F32241" w:rsidR="00161BEE" w:rsidRDefault="00161BEE" w:rsidP="004D2A38">
      <w:pPr>
        <w:tabs>
          <w:tab w:val="left" w:pos="0"/>
        </w:tabs>
      </w:pPr>
    </w:p>
    <w:p w14:paraId="78B9EEEB" w14:textId="100F9D64" w:rsidR="00965CA5" w:rsidRDefault="00D20B80" w:rsidP="004D2A38">
      <w:pPr>
        <w:tabs>
          <w:tab w:val="left" w:pos="0"/>
        </w:tabs>
      </w:pPr>
      <w:r w:rsidRPr="00D20B80">
        <w:t xml:space="preserve">Despite the presence of a large number of motives for mergers and acquisitions, often these transactions have different effects on the value of participating companies. </w:t>
      </w:r>
      <w:r w:rsidR="00965CA5">
        <w:t>Besides there are many factors that influence the results of such transactions. We already mentioned some of the financial factors previously, but there are much more strategic, managerial and other types of these forces that may have an impact on the firms’ performance. However, it should be noted that n</w:t>
      </w:r>
      <w:r w:rsidR="00965CA5" w:rsidRPr="00965CA5">
        <w:t>one of the previous major studies have considered working capital as one of the significant factors</w:t>
      </w:r>
      <w:r w:rsidR="00965CA5">
        <w:t xml:space="preserve"> influencing firms in mergers and acquisitions.</w:t>
      </w:r>
    </w:p>
    <w:p w14:paraId="004F57ED" w14:textId="6F71B858" w:rsidR="00EE2777" w:rsidRDefault="00663C5D" w:rsidP="004D2A38">
      <w:pPr>
        <w:pStyle w:val="2"/>
        <w:tabs>
          <w:tab w:val="left" w:pos="0"/>
        </w:tabs>
      </w:pPr>
      <w:bookmarkStart w:id="10" w:name="_Toc514964130"/>
      <w:r w:rsidRPr="00EE2777">
        <w:t>Working capital management and corporate performanc</w:t>
      </w:r>
      <w:r w:rsidR="00EE2777">
        <w:t>e</w:t>
      </w:r>
      <w:bookmarkEnd w:id="10"/>
    </w:p>
    <w:p w14:paraId="19DA961E" w14:textId="0E899BA4" w:rsidR="007F342B" w:rsidRDefault="007F342B" w:rsidP="004D2A38">
      <w:pPr>
        <w:tabs>
          <w:tab w:val="left" w:pos="0"/>
        </w:tabs>
      </w:pPr>
      <w:r w:rsidRPr="007F342B">
        <w:t xml:space="preserve">The topic of working capital management in </w:t>
      </w:r>
      <w:r w:rsidR="00B05FDA">
        <w:t xml:space="preserve">the </w:t>
      </w:r>
      <w:r w:rsidRPr="007F342B">
        <w:t xml:space="preserve">literature and practice has recently played a very important role, but despite this, </w:t>
      </w:r>
      <w:r>
        <w:t>th</w:t>
      </w:r>
      <w:r w:rsidR="00D529A2">
        <w:t>e</w:t>
      </w:r>
      <w:r>
        <w:t xml:space="preserve"> theme yet is underestimated and seems not very well studied. Especially it is hard to find any evidences of working capital management influence during M&amp;A deals. But first we have to understand what exactly working capital and working capital management mean. </w:t>
      </w:r>
    </w:p>
    <w:p w14:paraId="19E9BEBC" w14:textId="19F1E5E0" w:rsidR="00445B19" w:rsidRDefault="007F342B" w:rsidP="004D2A38">
      <w:pPr>
        <w:tabs>
          <w:tab w:val="left" w:pos="0"/>
        </w:tabs>
      </w:pPr>
      <w:r>
        <w:t xml:space="preserve">According to Bhattacharya (2009), the term of working capital was developed by Karl Marx in 1914, however at that time it was mentioned as “variable capital”. </w:t>
      </w:r>
      <w:r w:rsidR="004B71BD">
        <w:t>Nowadays the term “working capital” is mostly attributable to the balance sheet values of current assets and current liabilities, while the difference between current assets and current liabilities is defined as “net working capital” (</w:t>
      </w:r>
      <w:proofErr w:type="spellStart"/>
      <w:r w:rsidR="004B71BD">
        <w:t>Brealey</w:t>
      </w:r>
      <w:proofErr w:type="spellEnd"/>
      <w:r w:rsidR="004B71BD">
        <w:t xml:space="preserve">, Myers, Allen, 2014). </w:t>
      </w:r>
      <w:r w:rsidR="00D922EF">
        <w:t>The concept of working capital leads to understanding of nature of short-term assets financing (</w:t>
      </w:r>
      <w:r w:rsidR="0065189C">
        <w:fldChar w:fldCharType="begin"/>
      </w:r>
      <w:r w:rsidR="0065189C">
        <w:instrText xml:space="preserve"> REF _Ref513053991 \r \h </w:instrText>
      </w:r>
      <w:r w:rsidR="00445B19">
        <w:instrText xml:space="preserve"> \* MERGEFORMAT </w:instrText>
      </w:r>
      <w:r w:rsidR="0065189C">
        <w:fldChar w:fldCharType="separate"/>
      </w:r>
      <w:r w:rsidR="00154E78">
        <w:t>Figure 1</w:t>
      </w:r>
      <w:r w:rsidR="0065189C">
        <w:fldChar w:fldCharType="end"/>
      </w:r>
      <w:r w:rsidR="00D922EF">
        <w:t>). When current assets exceed current liabilities, it means that part of current assets are financed by long-term liabilities</w:t>
      </w:r>
      <w:r w:rsidR="0048516D">
        <w:t xml:space="preserve">, while the opposite means short-term </w:t>
      </w:r>
      <w:r w:rsidR="007774B6">
        <w:t>financing of long-term or fixed assets</w:t>
      </w:r>
      <w:r w:rsidR="00D922EF">
        <w:t xml:space="preserve">. </w:t>
      </w:r>
    </w:p>
    <w:p w14:paraId="138DF801" w14:textId="658E29E2" w:rsidR="007F342B" w:rsidRDefault="00445B19" w:rsidP="004D2A38">
      <w:pPr>
        <w:tabs>
          <w:tab w:val="left" w:pos="0"/>
        </w:tabs>
        <w:ind w:firstLine="0"/>
        <w:jc w:val="center"/>
      </w:pPr>
      <w:r w:rsidRPr="00445B19">
        <w:rPr>
          <w:noProof/>
          <w:lang w:val="ru-RU" w:eastAsia="ru-RU"/>
        </w:rPr>
        <w:lastRenderedPageBreak/>
        <w:drawing>
          <wp:inline distT="0" distB="0" distL="0" distR="0" wp14:anchorId="643159DC" wp14:editId="4755EBD5">
            <wp:extent cx="4723075" cy="2007404"/>
            <wp:effectExtent l="0" t="0" r="1905" b="0"/>
            <wp:docPr id="2" name="Рисунок 2"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34170" cy="2012120"/>
                    </a:xfrm>
                    <a:prstGeom prst="rect">
                      <a:avLst/>
                    </a:prstGeom>
                    <a:noFill/>
                    <a:ln>
                      <a:noFill/>
                    </a:ln>
                  </pic:spPr>
                </pic:pic>
              </a:graphicData>
            </a:graphic>
          </wp:inline>
        </w:drawing>
      </w:r>
    </w:p>
    <w:p w14:paraId="10BD90AB" w14:textId="7AFAB5E8" w:rsidR="0048516D" w:rsidRPr="0048516D" w:rsidRDefault="0048516D" w:rsidP="004D2A38">
      <w:pPr>
        <w:pStyle w:val="a"/>
        <w:tabs>
          <w:tab w:val="left" w:pos="0"/>
        </w:tabs>
      </w:pPr>
      <w:bookmarkStart w:id="11" w:name="_Ref513053991"/>
      <w:r>
        <w:t>Working capital financing</w:t>
      </w:r>
      <w:r w:rsidR="00313D9C">
        <w:t xml:space="preserve">. </w:t>
      </w:r>
      <w:r w:rsidRPr="0048516D">
        <w:t>Source</w:t>
      </w:r>
      <w:r>
        <w:t>: (Meyer, 2007)</w:t>
      </w:r>
      <w:bookmarkEnd w:id="11"/>
    </w:p>
    <w:p w14:paraId="40DFBAAD" w14:textId="24F758E1" w:rsidR="009666AB" w:rsidRDefault="0013067E" w:rsidP="004D2A38">
      <w:pPr>
        <w:tabs>
          <w:tab w:val="left" w:pos="0"/>
        </w:tabs>
      </w:pPr>
      <w:r>
        <w:t xml:space="preserve">While all that we discussed previously is an absolute monetary value amounts, there also working capital ratios, such as current ratio, quick ratio and cash ratio that value how many times current assets (current assets less inventories for quick ratio, or simply cash for cash ratio) exceed current liabilities. </w:t>
      </w:r>
    </w:p>
    <w:p w14:paraId="40197AD1" w14:textId="2604EDCF" w:rsidR="002B16E1" w:rsidRDefault="002B16E1" w:rsidP="004D2A38">
      <w:pPr>
        <w:tabs>
          <w:tab w:val="left" w:pos="0"/>
        </w:tabs>
      </w:pPr>
      <w:r>
        <w:t xml:space="preserve">The main goal of managers is to make invested into their </w:t>
      </w:r>
      <w:r w:rsidR="00D529A2">
        <w:t>companies’</w:t>
      </w:r>
      <w:r>
        <w:t xml:space="preserve"> capital as profitable as possible</w:t>
      </w:r>
      <w:r w:rsidR="00320DF7">
        <w:t xml:space="preserve"> and working capital management is one of the keys for success. Studies of </w:t>
      </w:r>
      <w:r w:rsidR="00D529A2">
        <w:t xml:space="preserve">big US and Europe companies showed that balance sheets of these companies in average hold for a quarter more cash in working capital than they need. Such an unreasonably high level of liquidity is often associated with especially high levels of receivables, unnecessary stock levels, higher operating costs or debt, which are often accompanied by poor implementation of strategic initiatives. As a result, large losses in the possible cash flows generation, profits or distribution for shareholders, and higher vulnerability to possible takeover. Now it is obvious that the need for effective and optimized working capital management is becoming more and more important than in the past. </w:t>
      </w:r>
      <w:r w:rsidR="004C77CA">
        <w:t>Large and even</w:t>
      </w:r>
      <w:r w:rsidR="00D529A2">
        <w:t xml:space="preserve"> medium-sized companies have </w:t>
      </w:r>
      <w:r w:rsidR="004C77CA">
        <w:t>understood</w:t>
      </w:r>
      <w:r w:rsidR="00D529A2">
        <w:t xml:space="preserve"> the contribution that optimization of capital can make</w:t>
      </w:r>
      <w:r w:rsidR="004C77CA">
        <w:t xml:space="preserve"> for integrated and enhanced cost control (</w:t>
      </w:r>
      <w:proofErr w:type="spellStart"/>
      <w:r w:rsidR="004C77CA">
        <w:t>Nuhiu</w:t>
      </w:r>
      <w:proofErr w:type="spellEnd"/>
      <w:r w:rsidR="004C77CA">
        <w:t>, 2017)</w:t>
      </w:r>
      <w:r w:rsidR="00D529A2">
        <w:t>.</w:t>
      </w:r>
    </w:p>
    <w:p w14:paraId="75D54292" w14:textId="4DE6A0C4" w:rsidR="00EF4D83" w:rsidRDefault="00DA6421" w:rsidP="004D2A38">
      <w:pPr>
        <w:tabs>
          <w:tab w:val="left" w:pos="0"/>
        </w:tabs>
      </w:pPr>
      <w:r>
        <w:t>The theme of working capital management has also become important because companies tried to explore different ways to finance their operations since in the past the c</w:t>
      </w:r>
      <w:r w:rsidR="00603D98">
        <w:t>o</w:t>
      </w:r>
      <w:r>
        <w:t xml:space="preserve">st of long-term financing </w:t>
      </w:r>
      <w:r w:rsidR="00EF4D83">
        <w:t>increased,</w:t>
      </w:r>
      <w:r>
        <w:t xml:space="preserve"> and </w:t>
      </w:r>
      <w:r w:rsidR="00EF4D83">
        <w:t>the costs were too high (</w:t>
      </w:r>
      <w:proofErr w:type="spellStart"/>
      <w:r w:rsidR="00EF4D83">
        <w:t>Nuhiu</w:t>
      </w:r>
      <w:proofErr w:type="spellEnd"/>
      <w:r w:rsidR="00EF4D83">
        <w:t>, 2017). The</w:t>
      </w:r>
      <w:r w:rsidR="00757F40">
        <w:t>re</w:t>
      </w:r>
      <w:r w:rsidR="00EF4D83">
        <w:t xml:space="preserve">fore, we can conclude that working capital management is important to balance firm’s profitability and risk. </w:t>
      </w:r>
    </w:p>
    <w:p w14:paraId="430D0012" w14:textId="26EB29BA" w:rsidR="004A736D" w:rsidRPr="00845236" w:rsidRDefault="00FA59F1" w:rsidP="00AA0793">
      <w:pPr>
        <w:tabs>
          <w:tab w:val="left" w:pos="0"/>
        </w:tabs>
      </w:pPr>
      <w:r>
        <w:t xml:space="preserve">Furthermore, to reach the previously stated research problem, it is obligatory now to identify the main factors that influence the working capital in the firm. This theme is also widely spoken in the business literature and covered by many authors. </w:t>
      </w:r>
      <w:r w:rsidR="00EF4D83">
        <w:t xml:space="preserve">A great number of previous studies </w:t>
      </w:r>
      <w:r w:rsidR="00822ED4">
        <w:t>already</w:t>
      </w:r>
      <w:r w:rsidR="00EF4D83">
        <w:t xml:space="preserve"> proved a direct relationship between working capital level and firm value</w:t>
      </w:r>
      <w:r w:rsidR="00822ED4">
        <w:t xml:space="preserve">. </w:t>
      </w:r>
      <w:r w:rsidR="00845236" w:rsidRPr="00845236">
        <w:t xml:space="preserve">There a number of previous </w:t>
      </w:r>
      <w:r w:rsidR="00845236" w:rsidRPr="00845236">
        <w:lastRenderedPageBreak/>
        <w:t xml:space="preserve">studies devoted to </w:t>
      </w:r>
      <w:r w:rsidR="00845236">
        <w:t>working capital management with different views and from different economies perspectives. These studies are very useful and important for the present study.</w:t>
      </w:r>
    </w:p>
    <w:p w14:paraId="26AC8B61" w14:textId="5520062F" w:rsidR="00845236" w:rsidRPr="00845236" w:rsidRDefault="00845236" w:rsidP="00AA0793">
      <w:pPr>
        <w:tabs>
          <w:tab w:val="left" w:pos="0"/>
        </w:tabs>
      </w:pPr>
      <w:r>
        <w:t>One of the first researchers, who devoted his attention to the working capital management efficiency were</w:t>
      </w:r>
      <w:r w:rsidR="00D46FB4">
        <w:t xml:space="preserve"> </w:t>
      </w:r>
      <w:r>
        <w:t xml:space="preserve">probably Jose et al. (1996). </w:t>
      </w:r>
      <w:r w:rsidR="00D46FB4">
        <w:t xml:space="preserve">They studied the impact of </w:t>
      </w:r>
      <w:r w:rsidR="00D46FB4" w:rsidRPr="00D46FB4">
        <w:t>“long run equilibrium measures of working capital management efficiency”</w:t>
      </w:r>
      <w:r w:rsidR="00D46FB4">
        <w:t xml:space="preserve"> </w:t>
      </w:r>
      <w:r w:rsidR="00971232">
        <w:t xml:space="preserve">in relation to firms’ profitability. </w:t>
      </w:r>
      <w:r w:rsidR="0080437B">
        <w:t>To assess the impact of working capital management onto companies’ profitability researchers used different scientific methods, including nonparametric data analysis, multiple regressions and correlation analysis on the data sample of US firms during 1974-1993.</w:t>
      </w:r>
      <w:r w:rsidR="00F57DB5">
        <w:t>They found out the more aggressive working capital management firms use the higher was the performance.</w:t>
      </w:r>
      <w:r w:rsidR="004D6504">
        <w:t xml:space="preserve"> These findings brought a new model to the working capital management literature. Matching the working capital structure to the firm’s profitability, they showed that capital adjustments could bring higher profitability to the firms, implying that a decrease in the amount of working capital could in fact lead to a higher performance. </w:t>
      </w:r>
    </w:p>
    <w:p w14:paraId="1A4410F2" w14:textId="3CC028DB" w:rsidR="00D162AE" w:rsidRPr="00845236" w:rsidRDefault="00D162AE" w:rsidP="00AA0793">
      <w:pPr>
        <w:tabs>
          <w:tab w:val="left" w:pos="0"/>
        </w:tabs>
        <w:rPr>
          <w:highlight w:val="yellow"/>
        </w:rPr>
      </w:pPr>
      <w:r>
        <w:t xml:space="preserve">Another study by Shin and </w:t>
      </w:r>
      <w:proofErr w:type="spellStart"/>
      <w:r>
        <w:t>Soenen</w:t>
      </w:r>
      <w:proofErr w:type="spellEnd"/>
      <w:r>
        <w:t xml:space="preserve"> (1998) used the </w:t>
      </w:r>
      <w:r w:rsidRPr="00D162AE">
        <w:t>Net Trade Cycle</w:t>
      </w:r>
      <w:r w:rsidRPr="00D162AE">
        <w:rPr>
          <w:rStyle w:val="afa"/>
        </w:rPr>
        <w:footnoteReference w:id="1"/>
      </w:r>
      <w:r>
        <w:t xml:space="preserve"> to assess the impact of the working capital management onto firms’ performance. Analyzing the sample of almost 60 thousand US firms for the period of 1974-1994, they found out a strongly negative relationship between the Net Trade Cycle and profitability. That in fact means, that the reasonable reduction in the amount of Net Trade Cycle companies can improve their performance. </w:t>
      </w:r>
    </w:p>
    <w:p w14:paraId="2C2769F1" w14:textId="4FFA193F" w:rsidR="00680648" w:rsidRPr="00680648" w:rsidRDefault="00680648" w:rsidP="004D2A38">
      <w:pPr>
        <w:tabs>
          <w:tab w:val="left" w:pos="0"/>
        </w:tabs>
      </w:pPr>
      <w:r w:rsidRPr="00680648">
        <w:t>In</w:t>
      </w:r>
      <w:r>
        <w:t xml:space="preserve"> a further study by </w:t>
      </w:r>
      <w:proofErr w:type="spellStart"/>
      <w:r>
        <w:t>Deloof</w:t>
      </w:r>
      <w:proofErr w:type="spellEnd"/>
      <w:r>
        <w:t xml:space="preserve"> (2003) author confirmed, that the majority of the firms have </w:t>
      </w:r>
      <w:r w:rsidR="00840E4E">
        <w:t>a large sum of cash</w:t>
      </w:r>
      <w:r>
        <w:t xml:space="preserve"> invested in working capital. Researcher studied a data sample of listed Belgian companies. He tried to assess the relationship between working capital management and performance during 1992-1996. This study again showed significant </w:t>
      </w:r>
      <w:r w:rsidR="00814CA9">
        <w:t>negative</w:t>
      </w:r>
      <w:r>
        <w:t xml:space="preserve"> relationship between profitability and number of days in accounts receivable, inventories and payables. By decreasing the number of days in accounts receivable and inventories, managers can bring higher profit margins into the company and create more value for shareholders. Nevertheless, negative coefficient of the days in accounts payable is not that obvious. Author assumed that this result </w:t>
      </w:r>
      <w:r w:rsidR="00814CA9">
        <w:t>could</w:t>
      </w:r>
      <w:r>
        <w:t xml:space="preserve"> be explained by the fact that less profitable firms tend to delay their payments to suppliers. </w:t>
      </w:r>
      <w:r w:rsidR="00814F6C">
        <w:t>Moreover,</w:t>
      </w:r>
      <w:r w:rsidR="00814CA9">
        <w:t xml:space="preserve"> he did not find any impact of the cash-conversion-cycle on the performance, due to </w:t>
      </w:r>
      <w:r w:rsidR="00840E4E">
        <w:t>a possible unobservable heterogeneity problem</w:t>
      </w:r>
      <w:r w:rsidR="00814CA9">
        <w:t>.</w:t>
      </w:r>
    </w:p>
    <w:p w14:paraId="6DC84F8F" w14:textId="117FAC3B" w:rsidR="00814F6C" w:rsidRPr="00263BC7" w:rsidRDefault="00263BC7" w:rsidP="004D2A38">
      <w:pPr>
        <w:tabs>
          <w:tab w:val="left" w:pos="0"/>
        </w:tabs>
      </w:pPr>
      <w:r w:rsidRPr="00263BC7">
        <w:t xml:space="preserve">One </w:t>
      </w:r>
      <w:r w:rsidR="00A80BAC">
        <w:t xml:space="preserve">more </w:t>
      </w:r>
      <w:r>
        <w:t xml:space="preserve">research was devoted to the relationship between corporate profitability, cash conversion cycle and its </w:t>
      </w:r>
      <w:r w:rsidR="00A80BAC">
        <w:t xml:space="preserve">constituents </w:t>
      </w:r>
      <w:r w:rsidR="00A80BAC" w:rsidRPr="00A80BAC">
        <w:t>(</w:t>
      </w:r>
      <w:proofErr w:type="spellStart"/>
      <w:r w:rsidR="00A80BAC" w:rsidRPr="00A80BAC">
        <w:t>Lazaridis</w:t>
      </w:r>
      <w:proofErr w:type="spellEnd"/>
      <w:r w:rsidR="00A80BAC" w:rsidRPr="00A80BAC">
        <w:t xml:space="preserve"> and </w:t>
      </w:r>
      <w:proofErr w:type="spellStart"/>
      <w:r w:rsidR="00A80BAC" w:rsidRPr="00A80BAC">
        <w:t>Tryfonidis</w:t>
      </w:r>
      <w:proofErr w:type="spellEnd"/>
      <w:r w:rsidR="00A80BAC" w:rsidRPr="00A80BAC">
        <w:t>, 2006)</w:t>
      </w:r>
      <w:r w:rsidR="00A80BAC">
        <w:t xml:space="preserve">. To analyze these relationships, </w:t>
      </w:r>
      <w:r w:rsidR="00A80BAC">
        <w:lastRenderedPageBreak/>
        <w:t xml:space="preserve">they used a sample of companies listed on Athens Stock Exchange for the period 2001-2004. As the factors in the regression </w:t>
      </w:r>
      <w:r w:rsidR="00D35654">
        <w:t>analysis,</w:t>
      </w:r>
      <w:r w:rsidR="00A80BAC">
        <w:t xml:space="preserve"> they used fixed assets, sales, leverage ratio, cash conversion cycle and its constituents: days in accounts receivable, days in inventories and days in accounts payable. As the dependent </w:t>
      </w:r>
      <w:r w:rsidR="00D35654">
        <w:t>variable,</w:t>
      </w:r>
      <w:r w:rsidR="00A80BAC">
        <w:t xml:space="preserve"> authors used gross operating profit. </w:t>
      </w:r>
      <w:r w:rsidR="00D35654">
        <w:t xml:space="preserve">The results of the research showed negative impact of leverage and cash conversion cycle on the performance, while fixed assets had a positive effect. However, after they switched cash conversion cycle onto its components they found again negative relationship with days in accounts receivable and days in inventories, while, unlike from </w:t>
      </w:r>
      <w:proofErr w:type="spellStart"/>
      <w:r w:rsidR="00D35654">
        <w:t>Deloof</w:t>
      </w:r>
      <w:proofErr w:type="spellEnd"/>
      <w:r w:rsidR="00D35654">
        <w:t xml:space="preserve"> (2003), days in accounts payable showed positive relationship. They explained it </w:t>
      </w:r>
      <w:r w:rsidR="005D0A2D">
        <w:t xml:space="preserve">by the fact that company can increase profits by optimizing working capital structure and keeping its components to an optimal level. </w:t>
      </w:r>
    </w:p>
    <w:p w14:paraId="21FDE5B2" w14:textId="153F80FC" w:rsidR="00A80189" w:rsidRPr="00A80189" w:rsidRDefault="00A80189" w:rsidP="004D2A38">
      <w:pPr>
        <w:tabs>
          <w:tab w:val="left" w:pos="0"/>
        </w:tabs>
      </w:pPr>
      <w:proofErr w:type="spellStart"/>
      <w:r w:rsidRPr="00A80189">
        <w:t>Padachi</w:t>
      </w:r>
      <w:proofErr w:type="spellEnd"/>
      <w:r w:rsidRPr="00A80189">
        <w:t xml:space="preserve"> (2006) in his </w:t>
      </w:r>
      <w:r>
        <w:t xml:space="preserve">paper studied the trends of working capital management and its influence on the company performance. The results of the research showed, that increase in the amount of inventories and receivables leads to a lower profitability results. Furthermore, he showed days in inventories and cash conversion cycle positively affects company performance. Nevertheless, days in accounts receivables and payables are negatively bounded to the profitability. </w:t>
      </w:r>
    </w:p>
    <w:p w14:paraId="2F52F7E3" w14:textId="30A8C225" w:rsidR="00FC5EC0" w:rsidRPr="000115D7" w:rsidRDefault="000115D7" w:rsidP="004D2A38">
      <w:pPr>
        <w:tabs>
          <w:tab w:val="left" w:pos="0"/>
        </w:tabs>
      </w:pPr>
      <w:r w:rsidRPr="000115D7">
        <w:t xml:space="preserve">Research by Ganesan (2007) was applied to the working capital management efficiency of telecommunication firms. </w:t>
      </w:r>
      <w:r>
        <w:t xml:space="preserve">The results of the study showed that even though cash conversion cycle is negatively related to company performance, in their research it was not significantly influencing profitability of the firms in the telecommunication industry. </w:t>
      </w:r>
      <w:r w:rsidR="00E85824">
        <w:t>These contrary results</w:t>
      </w:r>
      <w:r>
        <w:t xml:space="preserve"> were against the study of Chowdhury and Amin (2007), who had found positive relationship between working capital management and performance of the companies in Bangladesh.  </w:t>
      </w:r>
    </w:p>
    <w:p w14:paraId="1FC2A976" w14:textId="6839D4D8" w:rsidR="002F595D" w:rsidRPr="00F35BCB" w:rsidRDefault="00F35BCB" w:rsidP="004D2A38">
      <w:pPr>
        <w:tabs>
          <w:tab w:val="left" w:pos="0"/>
        </w:tabs>
      </w:pPr>
      <w:r w:rsidRPr="00F35BCB">
        <w:t xml:space="preserve">In </w:t>
      </w:r>
      <w:r>
        <w:t xml:space="preserve">the study by </w:t>
      </w:r>
      <w:proofErr w:type="spellStart"/>
      <w:r>
        <w:t>Raheman</w:t>
      </w:r>
      <w:proofErr w:type="spellEnd"/>
      <w:r>
        <w:t xml:space="preserve"> and Nasr (2007) a sample of listed Pakistani firms for the period 1994-2004 was analyzed to distinguish the effects of working capital management onto liquidity and profitability. The study was devoted to the effects of the different factors influencing working capital, including average collection period and current ratios. The results of the study showed strong negative influence of these factors onto company performance. Thus, according to the authors, managers can increase company value by reasonably decreasing the length of cash conversion cycle. </w:t>
      </w:r>
      <w:r w:rsidR="00336AC9">
        <w:t>They also foun</w:t>
      </w:r>
      <w:r>
        <w:t xml:space="preserve">d the relationship between size of the firm, liquidity and profitability. </w:t>
      </w:r>
    </w:p>
    <w:p w14:paraId="0ADCE508" w14:textId="0A095737" w:rsidR="00387292" w:rsidRPr="0050173D" w:rsidRDefault="0050173D" w:rsidP="004D2A38">
      <w:pPr>
        <w:tabs>
          <w:tab w:val="left" w:pos="0"/>
        </w:tabs>
      </w:pPr>
      <w:r w:rsidRPr="0050173D">
        <w:t>In t</w:t>
      </w:r>
      <w:r>
        <w:t xml:space="preserve">he research by </w:t>
      </w:r>
      <w:proofErr w:type="spellStart"/>
      <w:r w:rsidRPr="0050173D">
        <w:t>Samiloglu</w:t>
      </w:r>
      <w:proofErr w:type="spellEnd"/>
      <w:r w:rsidRPr="0050173D">
        <w:t xml:space="preserve"> and </w:t>
      </w:r>
      <w:proofErr w:type="spellStart"/>
      <w:r w:rsidRPr="0050173D">
        <w:t>Demirgunes</w:t>
      </w:r>
      <w:proofErr w:type="spellEnd"/>
      <w:r w:rsidRPr="0050173D">
        <w:t xml:space="preserve"> (2008),</w:t>
      </w:r>
      <w:r>
        <w:t xml:space="preserve"> a sample of Turkish firms for the period of 1998-2007 was studied to analyze the effect of working capital management on company profitability. The results of the research showed that days in accounts receivables, inventory and </w:t>
      </w:r>
      <w:r>
        <w:lastRenderedPageBreak/>
        <w:t xml:space="preserve">leverage are negatively correlated with company performance. They also found that cash conversion cycle, size and fixed assets had no statistically significant impact onto profitability. </w:t>
      </w:r>
    </w:p>
    <w:p w14:paraId="2623D3DA" w14:textId="415D8627" w:rsidR="00DA6421" w:rsidRDefault="00822ED4" w:rsidP="004D2A38">
      <w:pPr>
        <w:tabs>
          <w:tab w:val="left" w:pos="0"/>
        </w:tabs>
      </w:pPr>
      <w:r w:rsidRPr="00970748">
        <w:t>Some studies suggest that higher working capital levels allow firms to increase their revenues and get higher discounts on earlier payments (</w:t>
      </w:r>
      <w:proofErr w:type="spellStart"/>
      <w:r w:rsidRPr="00970748">
        <w:t>Deloof</w:t>
      </w:r>
      <w:proofErr w:type="spellEnd"/>
      <w:r w:rsidRPr="00970748">
        <w:t>, 2003), thus increasing value of the firm. On the other hand, higher working capital levels require more costly financing and, consequently generat</w:t>
      </w:r>
      <w:r w:rsidR="006759D1" w:rsidRPr="00970748">
        <w:t>e</w:t>
      </w:r>
      <w:r w:rsidRPr="00970748">
        <w:t xml:space="preserve"> financing </w:t>
      </w:r>
      <w:r w:rsidR="006759D1" w:rsidRPr="00970748">
        <w:t>pressure</w:t>
      </w:r>
      <w:r w:rsidRPr="00970748">
        <w:t xml:space="preserve"> on the firm profitability and increase the probability of going bankrupt (</w:t>
      </w:r>
      <w:proofErr w:type="spellStart"/>
      <w:r w:rsidRPr="00970748">
        <w:t>Kieschnick</w:t>
      </w:r>
      <w:proofErr w:type="spellEnd"/>
      <w:r w:rsidRPr="00970748">
        <w:t xml:space="preserve">, </w:t>
      </w:r>
      <w:proofErr w:type="spellStart"/>
      <w:r w:rsidRPr="00970748">
        <w:t>LaPlante</w:t>
      </w:r>
      <w:proofErr w:type="spellEnd"/>
      <w:r w:rsidRPr="00970748">
        <w:t xml:space="preserve">, and </w:t>
      </w:r>
      <w:proofErr w:type="spellStart"/>
      <w:r w:rsidRPr="00970748">
        <w:t>Moussawi</w:t>
      </w:r>
      <w:proofErr w:type="spellEnd"/>
      <w:r w:rsidRPr="00970748">
        <w:t>, 201</w:t>
      </w:r>
      <w:r w:rsidR="00AE7B79" w:rsidRPr="00970748">
        <w:t>1). There are also studies that could see a broader picture of working capital influence on firm’s profitability introducing the inverted U-shaped relationship</w:t>
      </w:r>
      <w:r w:rsidR="006759D1" w:rsidRPr="00970748">
        <w:t xml:space="preserve"> (</w:t>
      </w:r>
      <w:proofErr w:type="spellStart"/>
      <w:r w:rsidR="006759D1" w:rsidRPr="00970748">
        <w:t>Baños</w:t>
      </w:r>
      <w:proofErr w:type="spellEnd"/>
      <w:r w:rsidR="006759D1" w:rsidRPr="00970748">
        <w:t>, García and Mart</w:t>
      </w:r>
      <w:r w:rsidR="006759D1" w:rsidRPr="00970748">
        <w:rPr>
          <w:rFonts w:cs="Times New Roman"/>
        </w:rPr>
        <w:t>í</w:t>
      </w:r>
      <w:r w:rsidR="006759D1" w:rsidRPr="00970748">
        <w:t xml:space="preserve">nez, 2014). That inverted U-shaped curve implies that for a certain firm exists an ideal level of working capital, that maximizes firm’s value. At first increasing level of working capital brings higher revenues and offsets slowly by rising financing costs. After peek value of inverted U-shape comes the downward slope, that implies higher financing costs and negative marginal firm’s value. </w:t>
      </w:r>
      <w:r w:rsidR="00757F40" w:rsidRPr="00970748">
        <w:t>Besides there are findings that suggest uneven influence of working capital management (</w:t>
      </w:r>
      <w:proofErr w:type="spellStart"/>
      <w:r w:rsidR="00757F40" w:rsidRPr="00970748">
        <w:t>Enqvist</w:t>
      </w:r>
      <w:proofErr w:type="spellEnd"/>
      <w:r w:rsidR="00757F40" w:rsidRPr="00970748">
        <w:t xml:space="preserve">, </w:t>
      </w:r>
      <w:proofErr w:type="spellStart"/>
      <w:r w:rsidR="00757F40" w:rsidRPr="00970748">
        <w:t>Grahamb</w:t>
      </w:r>
      <w:proofErr w:type="spellEnd"/>
      <w:r w:rsidR="00757F40" w:rsidRPr="00970748">
        <w:t xml:space="preserve"> and </w:t>
      </w:r>
      <w:proofErr w:type="spellStart"/>
      <w:r w:rsidR="00757F40" w:rsidRPr="00970748">
        <w:t>Nikkinen</w:t>
      </w:r>
      <w:proofErr w:type="spellEnd"/>
      <w:r w:rsidR="00757F40" w:rsidRPr="00970748">
        <w:t>, 2014). There were evidences that the quality of working capital management is more pronounced in economic downturns than during economic booms.</w:t>
      </w:r>
      <w:r w:rsidR="00757F40">
        <w:t xml:space="preserve"> </w:t>
      </w:r>
    </w:p>
    <w:p w14:paraId="3BF065DA" w14:textId="28FAFEE7" w:rsidR="00971A38" w:rsidRDefault="00971A38" w:rsidP="004D2A38">
      <w:pPr>
        <w:tabs>
          <w:tab w:val="left" w:pos="0"/>
        </w:tabs>
      </w:pPr>
      <w:r>
        <w:t>Below the summary on the main working capital management studies is provided (</w:t>
      </w:r>
      <w:r>
        <w:fldChar w:fldCharType="begin"/>
      </w:r>
      <w:r>
        <w:instrText xml:space="preserve"> REF _Ref514661950 \r \h </w:instrText>
      </w:r>
      <w:r>
        <w:fldChar w:fldCharType="separate"/>
      </w:r>
      <w:r w:rsidR="00154E78">
        <w:t>Table 2</w:t>
      </w:r>
      <w:r>
        <w:fldChar w:fldCharType="end"/>
      </w:r>
      <w:r>
        <w:t>).</w:t>
      </w:r>
    </w:p>
    <w:p w14:paraId="615ADC17" w14:textId="77777777" w:rsidR="00EC1A2F" w:rsidRDefault="00EC1A2F" w:rsidP="00EC1A2F">
      <w:pPr>
        <w:pStyle w:val="a0"/>
        <w:tabs>
          <w:tab w:val="left" w:pos="0"/>
        </w:tabs>
        <w:ind w:left="0"/>
      </w:pPr>
      <w:bookmarkStart w:id="12" w:name="_Ref514661950"/>
      <w:r>
        <w:t>Summary on the main working capital management studies</w:t>
      </w:r>
      <w:bookmarkEnd w:id="12"/>
    </w:p>
    <w:tbl>
      <w:tblPr>
        <w:tblStyle w:val="22"/>
        <w:tblW w:w="5043" w:type="pct"/>
        <w:jc w:val="center"/>
        <w:tblLook w:val="04A0" w:firstRow="1" w:lastRow="0" w:firstColumn="1" w:lastColumn="0" w:noHBand="0" w:noVBand="1"/>
      </w:tblPr>
      <w:tblGrid>
        <w:gridCol w:w="2262"/>
        <w:gridCol w:w="3751"/>
        <w:gridCol w:w="3749"/>
      </w:tblGrid>
      <w:tr w:rsidR="00EC1A2F" w:rsidRPr="00873A54" w14:paraId="458DF2BC" w14:textId="77777777" w:rsidTr="00C43C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auto"/>
              <w:left w:val="single" w:sz="4" w:space="0" w:color="auto"/>
              <w:bottom w:val="single" w:sz="4" w:space="0" w:color="auto"/>
              <w:right w:val="single" w:sz="4" w:space="0" w:color="auto"/>
            </w:tcBorders>
            <w:shd w:val="clear" w:color="auto" w:fill="auto"/>
          </w:tcPr>
          <w:p w14:paraId="75BA5B08" w14:textId="77777777" w:rsidR="00EC1A2F" w:rsidRPr="00873A54" w:rsidRDefault="00EC1A2F" w:rsidP="00C43CAC">
            <w:pPr>
              <w:tabs>
                <w:tab w:val="left" w:pos="0"/>
              </w:tabs>
              <w:ind w:firstLine="0"/>
              <w:jc w:val="left"/>
              <w:rPr>
                <w:sz w:val="20"/>
              </w:rPr>
            </w:pPr>
            <w:r>
              <w:rPr>
                <w:sz w:val="20"/>
              </w:rPr>
              <w:t>Impact on performance</w:t>
            </w:r>
          </w:p>
        </w:tc>
        <w:tc>
          <w:tcPr>
            <w:tcW w:w="1921" w:type="pct"/>
            <w:tcBorders>
              <w:top w:val="single" w:sz="4" w:space="0" w:color="auto"/>
              <w:left w:val="single" w:sz="4" w:space="0" w:color="auto"/>
              <w:bottom w:val="single" w:sz="4" w:space="0" w:color="auto"/>
              <w:right w:val="single" w:sz="4" w:space="0" w:color="auto"/>
            </w:tcBorders>
            <w:shd w:val="clear" w:color="auto" w:fill="auto"/>
          </w:tcPr>
          <w:p w14:paraId="09434BB4" w14:textId="77777777" w:rsidR="00EC1A2F" w:rsidRPr="00873A54" w:rsidRDefault="00EC1A2F" w:rsidP="00C43CAC">
            <w:pPr>
              <w:tabs>
                <w:tab w:val="left" w:pos="0"/>
              </w:tabs>
              <w:ind w:firstLine="0"/>
              <w:jc w:val="left"/>
              <w:cnfStyle w:val="100000000000" w:firstRow="1" w:lastRow="0" w:firstColumn="0" w:lastColumn="0" w:oddVBand="0" w:evenVBand="0" w:oddHBand="0" w:evenHBand="0" w:firstRowFirstColumn="0" w:firstRowLastColumn="0" w:lastRowFirstColumn="0" w:lastRowLastColumn="0"/>
              <w:rPr>
                <w:sz w:val="20"/>
              </w:rPr>
            </w:pPr>
            <w:r>
              <w:rPr>
                <w:sz w:val="20"/>
              </w:rPr>
              <w:t>Article and authors</w:t>
            </w:r>
          </w:p>
        </w:tc>
        <w:tc>
          <w:tcPr>
            <w:tcW w:w="1920" w:type="pct"/>
            <w:tcBorders>
              <w:top w:val="single" w:sz="4" w:space="0" w:color="auto"/>
              <w:left w:val="single" w:sz="4" w:space="0" w:color="auto"/>
              <w:bottom w:val="single" w:sz="4" w:space="0" w:color="auto"/>
              <w:right w:val="single" w:sz="4" w:space="0" w:color="auto"/>
            </w:tcBorders>
          </w:tcPr>
          <w:p w14:paraId="75BBED5D" w14:textId="77777777" w:rsidR="00EC1A2F" w:rsidRPr="00873A54" w:rsidRDefault="00EC1A2F" w:rsidP="00C43CAC">
            <w:pPr>
              <w:tabs>
                <w:tab w:val="left" w:pos="0"/>
              </w:tabs>
              <w:ind w:firstLine="0"/>
              <w:jc w:val="left"/>
              <w:cnfStyle w:val="100000000000" w:firstRow="1" w:lastRow="0" w:firstColumn="0" w:lastColumn="0" w:oddVBand="0" w:evenVBand="0" w:oddHBand="0" w:evenHBand="0" w:firstRowFirstColumn="0" w:firstRowLastColumn="0" w:lastRowFirstColumn="0" w:lastRowLastColumn="0"/>
              <w:rPr>
                <w:sz w:val="20"/>
              </w:rPr>
            </w:pPr>
            <w:r>
              <w:rPr>
                <w:sz w:val="20"/>
              </w:rPr>
              <w:t>Results of the research</w:t>
            </w:r>
          </w:p>
        </w:tc>
      </w:tr>
      <w:tr w:rsidR="00EC1A2F" w:rsidRPr="00873A54" w14:paraId="3B0BF3CE" w14:textId="77777777" w:rsidTr="00C4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9" w:type="pct"/>
            <w:vMerge w:val="restart"/>
            <w:tcBorders>
              <w:top w:val="single" w:sz="4" w:space="0" w:color="auto"/>
              <w:left w:val="single" w:sz="4" w:space="0" w:color="auto"/>
              <w:right w:val="single" w:sz="4" w:space="0" w:color="auto"/>
            </w:tcBorders>
            <w:vAlign w:val="center"/>
          </w:tcPr>
          <w:p w14:paraId="71A5EA24" w14:textId="77777777" w:rsidR="00EC1A2F" w:rsidRPr="00873A54" w:rsidRDefault="00EC1A2F" w:rsidP="00C43CAC">
            <w:pPr>
              <w:tabs>
                <w:tab w:val="left" w:pos="0"/>
              </w:tabs>
              <w:ind w:firstLine="0"/>
              <w:jc w:val="left"/>
              <w:rPr>
                <w:b w:val="0"/>
                <w:sz w:val="20"/>
              </w:rPr>
            </w:pPr>
            <w:r>
              <w:rPr>
                <w:b w:val="0"/>
                <w:sz w:val="20"/>
              </w:rPr>
              <w:t>Negative linear relationship</w:t>
            </w:r>
          </w:p>
        </w:tc>
        <w:tc>
          <w:tcPr>
            <w:tcW w:w="1921" w:type="pct"/>
            <w:tcBorders>
              <w:top w:val="single" w:sz="4" w:space="0" w:color="auto"/>
              <w:left w:val="single" w:sz="4" w:space="0" w:color="auto"/>
              <w:bottom w:val="single" w:sz="4" w:space="0" w:color="auto"/>
              <w:right w:val="single" w:sz="4" w:space="0" w:color="auto"/>
            </w:tcBorders>
            <w:vAlign w:val="center"/>
          </w:tcPr>
          <w:p w14:paraId="05144ABD" w14:textId="77777777" w:rsidR="00EC1A2F" w:rsidRPr="00873A54" w:rsidRDefault="00EC1A2F" w:rsidP="00C43CAC">
            <w:pPr>
              <w:tabs>
                <w:tab w:val="left" w:pos="0"/>
              </w:tabs>
              <w:ind w:firstLine="0"/>
              <w:jc w:val="left"/>
              <w:cnfStyle w:val="000000100000" w:firstRow="0" w:lastRow="0" w:firstColumn="0" w:lastColumn="0" w:oddVBand="0" w:evenVBand="0" w:oddHBand="1" w:evenHBand="0" w:firstRowFirstColumn="0" w:firstRowLastColumn="0" w:lastRowFirstColumn="0" w:lastRowLastColumn="0"/>
              <w:rPr>
                <w:sz w:val="20"/>
              </w:rPr>
            </w:pPr>
            <w:proofErr w:type="spellStart"/>
            <w:r>
              <w:rPr>
                <w:sz w:val="20"/>
              </w:rPr>
              <w:t>Deloof</w:t>
            </w:r>
            <w:proofErr w:type="spellEnd"/>
            <w:r>
              <w:rPr>
                <w:sz w:val="20"/>
              </w:rPr>
              <w:t xml:space="preserve"> 2003</w:t>
            </w:r>
          </w:p>
        </w:tc>
        <w:tc>
          <w:tcPr>
            <w:tcW w:w="1920" w:type="pct"/>
            <w:tcBorders>
              <w:top w:val="single" w:sz="4" w:space="0" w:color="auto"/>
              <w:left w:val="single" w:sz="4" w:space="0" w:color="auto"/>
              <w:bottom w:val="single" w:sz="4" w:space="0" w:color="auto"/>
              <w:right w:val="single" w:sz="4" w:space="0" w:color="auto"/>
            </w:tcBorders>
            <w:vAlign w:val="center"/>
          </w:tcPr>
          <w:p w14:paraId="7683D840" w14:textId="77777777" w:rsidR="00EC1A2F" w:rsidRPr="00873A54" w:rsidRDefault="00EC1A2F" w:rsidP="00C43CAC">
            <w:pPr>
              <w:tabs>
                <w:tab w:val="left" w:pos="0"/>
              </w:tabs>
              <w:ind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Negative relationship between profitability and days accounts receivable, inventories and payables</w:t>
            </w:r>
          </w:p>
        </w:tc>
      </w:tr>
      <w:tr w:rsidR="00EC1A2F" w:rsidRPr="00873A54" w14:paraId="30A6C9B9" w14:textId="77777777" w:rsidTr="00C43CAC">
        <w:trPr>
          <w:jc w:val="center"/>
        </w:trPr>
        <w:tc>
          <w:tcPr>
            <w:cnfStyle w:val="001000000000" w:firstRow="0" w:lastRow="0" w:firstColumn="1" w:lastColumn="0" w:oddVBand="0" w:evenVBand="0" w:oddHBand="0" w:evenHBand="0" w:firstRowFirstColumn="0" w:firstRowLastColumn="0" w:lastRowFirstColumn="0" w:lastRowLastColumn="0"/>
            <w:tcW w:w="1159" w:type="pct"/>
            <w:vMerge/>
            <w:tcBorders>
              <w:left w:val="single" w:sz="4" w:space="0" w:color="auto"/>
              <w:right w:val="single" w:sz="4" w:space="0" w:color="auto"/>
            </w:tcBorders>
          </w:tcPr>
          <w:p w14:paraId="5494F6AF" w14:textId="77777777" w:rsidR="00EC1A2F" w:rsidRPr="00873A54" w:rsidRDefault="00EC1A2F" w:rsidP="00C43CAC">
            <w:pPr>
              <w:tabs>
                <w:tab w:val="left" w:pos="0"/>
              </w:tabs>
              <w:ind w:firstLine="0"/>
              <w:jc w:val="left"/>
              <w:rPr>
                <w:b w:val="0"/>
                <w:sz w:val="20"/>
              </w:rPr>
            </w:pPr>
          </w:p>
        </w:tc>
        <w:tc>
          <w:tcPr>
            <w:tcW w:w="1921" w:type="pct"/>
            <w:tcBorders>
              <w:top w:val="single" w:sz="4" w:space="0" w:color="auto"/>
              <w:left w:val="single" w:sz="4" w:space="0" w:color="auto"/>
              <w:bottom w:val="single" w:sz="4" w:space="0" w:color="auto"/>
              <w:right w:val="single" w:sz="4" w:space="0" w:color="auto"/>
            </w:tcBorders>
            <w:vAlign w:val="center"/>
          </w:tcPr>
          <w:p w14:paraId="71C87109" w14:textId="77777777" w:rsidR="00EC1A2F" w:rsidRPr="00873A54" w:rsidRDefault="00EC1A2F" w:rsidP="00C43CAC">
            <w:pPr>
              <w:tabs>
                <w:tab w:val="left" w:pos="0"/>
              </w:tabs>
              <w:ind w:firstLin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AA0793">
              <w:rPr>
                <w:sz w:val="20"/>
              </w:rPr>
              <w:t>Lazaridis</w:t>
            </w:r>
            <w:proofErr w:type="spellEnd"/>
            <w:r>
              <w:rPr>
                <w:sz w:val="20"/>
              </w:rPr>
              <w:t xml:space="preserve">, </w:t>
            </w:r>
            <w:proofErr w:type="spellStart"/>
            <w:r w:rsidRPr="00AA0793">
              <w:rPr>
                <w:sz w:val="20"/>
              </w:rPr>
              <w:t>Tryfonidis</w:t>
            </w:r>
            <w:proofErr w:type="spellEnd"/>
            <w:r w:rsidRPr="00AA0793">
              <w:rPr>
                <w:sz w:val="20"/>
              </w:rPr>
              <w:t xml:space="preserve"> 2006</w:t>
            </w:r>
          </w:p>
        </w:tc>
        <w:tc>
          <w:tcPr>
            <w:tcW w:w="1920" w:type="pct"/>
            <w:tcBorders>
              <w:top w:val="single" w:sz="4" w:space="0" w:color="auto"/>
              <w:left w:val="single" w:sz="4" w:space="0" w:color="auto"/>
              <w:bottom w:val="single" w:sz="4" w:space="0" w:color="auto"/>
              <w:right w:val="single" w:sz="4" w:space="0" w:color="auto"/>
            </w:tcBorders>
            <w:vAlign w:val="center"/>
          </w:tcPr>
          <w:p w14:paraId="31A561D4" w14:textId="77777777" w:rsidR="00EC1A2F" w:rsidRPr="00873A54" w:rsidRDefault="00EC1A2F" w:rsidP="00C43CAC">
            <w:pPr>
              <w:tabs>
                <w:tab w:val="left" w:pos="0"/>
              </w:tabs>
              <w:ind w:firstLine="0"/>
              <w:jc w:val="left"/>
              <w:cnfStyle w:val="000000000000" w:firstRow="0" w:lastRow="0" w:firstColumn="0" w:lastColumn="0" w:oddVBand="0" w:evenVBand="0" w:oddHBand="0" w:evenHBand="0" w:firstRowFirstColumn="0" w:firstRowLastColumn="0" w:lastRowFirstColumn="0" w:lastRowLastColumn="0"/>
              <w:rPr>
                <w:sz w:val="20"/>
              </w:rPr>
            </w:pPr>
            <w:r>
              <w:rPr>
                <w:sz w:val="20"/>
              </w:rPr>
              <w:t>Negative relationship between profitability and cash conversion cycle</w:t>
            </w:r>
          </w:p>
        </w:tc>
      </w:tr>
      <w:tr w:rsidR="00EC1A2F" w:rsidRPr="00873A54" w14:paraId="27D75232" w14:textId="77777777" w:rsidTr="00C4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9" w:type="pct"/>
            <w:vMerge/>
            <w:tcBorders>
              <w:left w:val="single" w:sz="4" w:space="0" w:color="auto"/>
              <w:bottom w:val="single" w:sz="4" w:space="0" w:color="auto"/>
              <w:right w:val="single" w:sz="4" w:space="0" w:color="auto"/>
            </w:tcBorders>
          </w:tcPr>
          <w:p w14:paraId="09959188" w14:textId="77777777" w:rsidR="00EC1A2F" w:rsidRPr="00873A54" w:rsidRDefault="00EC1A2F" w:rsidP="00C43CAC">
            <w:pPr>
              <w:tabs>
                <w:tab w:val="left" w:pos="0"/>
              </w:tabs>
              <w:ind w:firstLine="0"/>
              <w:jc w:val="left"/>
              <w:rPr>
                <w:b w:val="0"/>
                <w:sz w:val="20"/>
              </w:rPr>
            </w:pPr>
          </w:p>
        </w:tc>
        <w:tc>
          <w:tcPr>
            <w:tcW w:w="1921" w:type="pct"/>
            <w:tcBorders>
              <w:top w:val="single" w:sz="4" w:space="0" w:color="auto"/>
              <w:left w:val="single" w:sz="4" w:space="0" w:color="auto"/>
              <w:bottom w:val="single" w:sz="4" w:space="0" w:color="auto"/>
              <w:right w:val="single" w:sz="4" w:space="0" w:color="auto"/>
            </w:tcBorders>
            <w:vAlign w:val="center"/>
          </w:tcPr>
          <w:p w14:paraId="49FCC148" w14:textId="77777777" w:rsidR="00EC1A2F" w:rsidRPr="00AA0793" w:rsidRDefault="00EC1A2F" w:rsidP="00C43CAC">
            <w:pPr>
              <w:tabs>
                <w:tab w:val="left" w:pos="0"/>
              </w:tabs>
              <w:ind w:firstLine="0"/>
              <w:jc w:val="left"/>
              <w:cnfStyle w:val="000000100000" w:firstRow="0" w:lastRow="0" w:firstColumn="0" w:lastColumn="0" w:oddVBand="0" w:evenVBand="0" w:oddHBand="1" w:evenHBand="0" w:firstRowFirstColumn="0" w:firstRowLastColumn="0" w:lastRowFirstColumn="0" w:lastRowLastColumn="0"/>
              <w:rPr>
                <w:sz w:val="20"/>
              </w:rPr>
            </w:pPr>
            <w:r w:rsidRPr="00DE0EC4">
              <w:rPr>
                <w:sz w:val="20"/>
              </w:rPr>
              <w:t>Ganesan 2007</w:t>
            </w:r>
          </w:p>
        </w:tc>
        <w:tc>
          <w:tcPr>
            <w:tcW w:w="1920" w:type="pct"/>
            <w:tcBorders>
              <w:top w:val="single" w:sz="4" w:space="0" w:color="auto"/>
              <w:left w:val="single" w:sz="4" w:space="0" w:color="auto"/>
              <w:bottom w:val="single" w:sz="4" w:space="0" w:color="auto"/>
              <w:right w:val="single" w:sz="4" w:space="0" w:color="auto"/>
            </w:tcBorders>
            <w:vAlign w:val="center"/>
          </w:tcPr>
          <w:p w14:paraId="008FCDD0" w14:textId="77777777" w:rsidR="00EC1A2F" w:rsidRDefault="00EC1A2F" w:rsidP="00C43CAC">
            <w:pPr>
              <w:tabs>
                <w:tab w:val="left" w:pos="0"/>
              </w:tabs>
              <w:ind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Negative relationship between working capital amount and profitability of the telecommunication industry</w:t>
            </w:r>
          </w:p>
        </w:tc>
      </w:tr>
      <w:tr w:rsidR="00EC1A2F" w:rsidRPr="00873A54" w14:paraId="5C061442" w14:textId="77777777" w:rsidTr="00C43CAC">
        <w:trPr>
          <w:jc w:val="center"/>
        </w:trPr>
        <w:tc>
          <w:tcPr>
            <w:cnfStyle w:val="001000000000" w:firstRow="0" w:lastRow="0" w:firstColumn="1" w:lastColumn="0" w:oddVBand="0" w:evenVBand="0" w:oddHBand="0" w:evenHBand="0" w:firstRowFirstColumn="0" w:firstRowLastColumn="0" w:lastRowFirstColumn="0" w:lastRowLastColumn="0"/>
            <w:tcW w:w="1159" w:type="pct"/>
            <w:vMerge w:val="restart"/>
            <w:tcBorders>
              <w:top w:val="single" w:sz="4" w:space="0" w:color="auto"/>
              <w:left w:val="single" w:sz="4" w:space="0" w:color="auto"/>
              <w:right w:val="single" w:sz="4" w:space="0" w:color="auto"/>
            </w:tcBorders>
            <w:vAlign w:val="center"/>
          </w:tcPr>
          <w:p w14:paraId="0A791366" w14:textId="77777777" w:rsidR="00EC1A2F" w:rsidRPr="00873A54" w:rsidRDefault="00EC1A2F" w:rsidP="00C43CAC">
            <w:pPr>
              <w:tabs>
                <w:tab w:val="left" w:pos="0"/>
              </w:tabs>
              <w:ind w:firstLine="0"/>
              <w:jc w:val="left"/>
              <w:rPr>
                <w:b w:val="0"/>
                <w:sz w:val="20"/>
              </w:rPr>
            </w:pPr>
            <w:r>
              <w:rPr>
                <w:b w:val="0"/>
                <w:sz w:val="20"/>
              </w:rPr>
              <w:t>Non-linear relationship</w:t>
            </w:r>
          </w:p>
        </w:tc>
        <w:tc>
          <w:tcPr>
            <w:tcW w:w="1921" w:type="pct"/>
            <w:tcBorders>
              <w:top w:val="single" w:sz="4" w:space="0" w:color="auto"/>
              <w:left w:val="single" w:sz="4" w:space="0" w:color="auto"/>
              <w:bottom w:val="single" w:sz="4" w:space="0" w:color="auto"/>
              <w:right w:val="single" w:sz="4" w:space="0" w:color="auto"/>
            </w:tcBorders>
            <w:vAlign w:val="center"/>
          </w:tcPr>
          <w:p w14:paraId="61E9D6C1" w14:textId="77777777" w:rsidR="00EC1A2F" w:rsidRPr="00750E0B" w:rsidRDefault="00EC1A2F" w:rsidP="00C43CAC">
            <w:pPr>
              <w:tabs>
                <w:tab w:val="left" w:pos="0"/>
              </w:tabs>
              <w:ind w:firstLin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DE0EC4">
              <w:rPr>
                <w:sz w:val="20"/>
              </w:rPr>
              <w:t>Baños</w:t>
            </w:r>
            <w:proofErr w:type="spellEnd"/>
            <w:r w:rsidRPr="00DE0EC4">
              <w:rPr>
                <w:sz w:val="20"/>
              </w:rPr>
              <w:t>, García</w:t>
            </w:r>
            <w:r>
              <w:rPr>
                <w:sz w:val="20"/>
              </w:rPr>
              <w:t xml:space="preserve">, </w:t>
            </w:r>
            <w:r w:rsidRPr="00DE0EC4">
              <w:rPr>
                <w:sz w:val="20"/>
              </w:rPr>
              <w:t>Martínez</w:t>
            </w:r>
            <w:r>
              <w:rPr>
                <w:sz w:val="20"/>
              </w:rPr>
              <w:t xml:space="preserve"> </w:t>
            </w:r>
            <w:r w:rsidRPr="00DE0EC4">
              <w:rPr>
                <w:sz w:val="20"/>
              </w:rPr>
              <w:t>2014</w:t>
            </w:r>
          </w:p>
        </w:tc>
        <w:tc>
          <w:tcPr>
            <w:tcW w:w="1920" w:type="pct"/>
            <w:tcBorders>
              <w:top w:val="single" w:sz="4" w:space="0" w:color="auto"/>
              <w:left w:val="single" w:sz="4" w:space="0" w:color="auto"/>
              <w:bottom w:val="single" w:sz="4" w:space="0" w:color="auto"/>
              <w:right w:val="single" w:sz="4" w:space="0" w:color="auto"/>
            </w:tcBorders>
            <w:vAlign w:val="center"/>
          </w:tcPr>
          <w:p w14:paraId="62E09020" w14:textId="77777777" w:rsidR="00EC1A2F" w:rsidRPr="00873A54" w:rsidRDefault="00EC1A2F" w:rsidP="00C43CAC">
            <w:pPr>
              <w:tabs>
                <w:tab w:val="left" w:pos="0"/>
              </w:tabs>
              <w:ind w:firstLine="0"/>
              <w:jc w:val="left"/>
              <w:cnfStyle w:val="000000000000" w:firstRow="0" w:lastRow="0" w:firstColumn="0" w:lastColumn="0" w:oddVBand="0" w:evenVBand="0" w:oddHBand="0" w:evenHBand="0" w:firstRowFirstColumn="0" w:firstRowLastColumn="0" w:lastRowFirstColumn="0" w:lastRowLastColumn="0"/>
              <w:rPr>
                <w:sz w:val="20"/>
              </w:rPr>
            </w:pPr>
            <w:r>
              <w:rPr>
                <w:sz w:val="20"/>
              </w:rPr>
              <w:t>Inverted U-shaped relationship between profitability and the amount of working capital</w:t>
            </w:r>
          </w:p>
        </w:tc>
      </w:tr>
      <w:tr w:rsidR="00EC1A2F" w:rsidRPr="00873A54" w14:paraId="5D8E5A95" w14:textId="77777777" w:rsidTr="00C4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9" w:type="pct"/>
            <w:vMerge/>
            <w:tcBorders>
              <w:left w:val="single" w:sz="4" w:space="0" w:color="auto"/>
              <w:right w:val="single" w:sz="4" w:space="0" w:color="auto"/>
            </w:tcBorders>
          </w:tcPr>
          <w:p w14:paraId="704412BF" w14:textId="77777777" w:rsidR="00EC1A2F" w:rsidRPr="00873A54" w:rsidRDefault="00EC1A2F" w:rsidP="00C43CAC">
            <w:pPr>
              <w:tabs>
                <w:tab w:val="left" w:pos="0"/>
              </w:tabs>
              <w:ind w:firstLine="0"/>
              <w:jc w:val="left"/>
              <w:rPr>
                <w:b w:val="0"/>
                <w:sz w:val="20"/>
              </w:rPr>
            </w:pPr>
          </w:p>
        </w:tc>
        <w:tc>
          <w:tcPr>
            <w:tcW w:w="1921" w:type="pct"/>
            <w:tcBorders>
              <w:top w:val="single" w:sz="4" w:space="0" w:color="auto"/>
              <w:left w:val="single" w:sz="4" w:space="0" w:color="auto"/>
              <w:bottom w:val="single" w:sz="4" w:space="0" w:color="auto"/>
              <w:right w:val="single" w:sz="4" w:space="0" w:color="auto"/>
            </w:tcBorders>
            <w:vAlign w:val="center"/>
          </w:tcPr>
          <w:p w14:paraId="7E90235E" w14:textId="77777777" w:rsidR="00EC1A2F" w:rsidRPr="00873A54" w:rsidRDefault="00EC1A2F" w:rsidP="00C43CAC">
            <w:pPr>
              <w:tabs>
                <w:tab w:val="left" w:pos="0"/>
              </w:tabs>
              <w:ind w:firstLine="0"/>
              <w:jc w:val="left"/>
              <w:cnfStyle w:val="000000100000" w:firstRow="0" w:lastRow="0" w:firstColumn="0" w:lastColumn="0" w:oddVBand="0" w:evenVBand="0" w:oddHBand="1" w:evenHBand="0" w:firstRowFirstColumn="0" w:firstRowLastColumn="0" w:lastRowFirstColumn="0" w:lastRowLastColumn="0"/>
              <w:rPr>
                <w:sz w:val="20"/>
              </w:rPr>
            </w:pPr>
            <w:proofErr w:type="spellStart"/>
            <w:r w:rsidRPr="00DE0EC4">
              <w:rPr>
                <w:sz w:val="20"/>
              </w:rPr>
              <w:t>Enqvist</w:t>
            </w:r>
            <w:proofErr w:type="spellEnd"/>
            <w:r w:rsidRPr="00DE0EC4">
              <w:rPr>
                <w:sz w:val="20"/>
              </w:rPr>
              <w:t xml:space="preserve">, </w:t>
            </w:r>
            <w:proofErr w:type="spellStart"/>
            <w:r w:rsidRPr="00DE0EC4">
              <w:rPr>
                <w:sz w:val="20"/>
              </w:rPr>
              <w:t>Grahamb</w:t>
            </w:r>
            <w:proofErr w:type="spellEnd"/>
            <w:r>
              <w:rPr>
                <w:sz w:val="20"/>
              </w:rPr>
              <w:t xml:space="preserve">, </w:t>
            </w:r>
            <w:proofErr w:type="spellStart"/>
            <w:r w:rsidRPr="00DE0EC4">
              <w:rPr>
                <w:sz w:val="20"/>
              </w:rPr>
              <w:t>Nikkinen</w:t>
            </w:r>
            <w:proofErr w:type="spellEnd"/>
            <w:r w:rsidRPr="00DE0EC4">
              <w:rPr>
                <w:sz w:val="20"/>
              </w:rPr>
              <w:t>, 2014</w:t>
            </w:r>
          </w:p>
        </w:tc>
        <w:tc>
          <w:tcPr>
            <w:tcW w:w="1920" w:type="pct"/>
            <w:tcBorders>
              <w:top w:val="single" w:sz="4" w:space="0" w:color="auto"/>
              <w:left w:val="single" w:sz="4" w:space="0" w:color="auto"/>
              <w:bottom w:val="single" w:sz="4" w:space="0" w:color="auto"/>
              <w:right w:val="single" w:sz="4" w:space="0" w:color="auto"/>
            </w:tcBorders>
          </w:tcPr>
          <w:p w14:paraId="7AA9C242" w14:textId="77777777" w:rsidR="00EC1A2F" w:rsidRPr="00873A54" w:rsidRDefault="00EC1A2F" w:rsidP="00C43CAC">
            <w:pPr>
              <w:tabs>
                <w:tab w:val="left" w:pos="0"/>
              </w:tabs>
              <w:ind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Uneven influence at different economic cycles</w:t>
            </w:r>
          </w:p>
        </w:tc>
      </w:tr>
    </w:tbl>
    <w:p w14:paraId="0360CEA8" w14:textId="0885F428" w:rsidR="00EC1A2F" w:rsidRDefault="00EC1A2F" w:rsidP="004D2A38">
      <w:pPr>
        <w:tabs>
          <w:tab w:val="left" w:pos="0"/>
        </w:tabs>
      </w:pPr>
    </w:p>
    <w:p w14:paraId="15F457CF" w14:textId="09FFBD9E" w:rsidR="00C43CAC" w:rsidRDefault="00C43CAC" w:rsidP="004D2A38">
      <w:pPr>
        <w:tabs>
          <w:tab w:val="left" w:pos="0"/>
        </w:tabs>
      </w:pPr>
      <w:r>
        <w:t xml:space="preserve">There is a wide-range of different studies devoted to the problem of working capital management and the corporate performance relationship. However, the results of these studies show </w:t>
      </w:r>
      <w:r>
        <w:lastRenderedPageBreak/>
        <w:t xml:space="preserve">a standard patter: there are only two big flows of the results. First is devoted to the linear relationship between these variables. Besides all the researches spotted negative linear relationship. Actually, it is obvious and logical and widely explained in the literature. Another was of interpreting the relationship is the non-linear inverted U-shaped curve, that postulates the existence of the optimal level </w:t>
      </w:r>
      <w:r w:rsidR="00E45024">
        <w:t xml:space="preserve">at which the performance of the company is maximized. </w:t>
      </w:r>
    </w:p>
    <w:p w14:paraId="3F5AA981" w14:textId="6BF56E16" w:rsidR="00423A18" w:rsidRDefault="00592319" w:rsidP="00592319">
      <w:pPr>
        <w:pStyle w:val="2"/>
        <w:rPr>
          <w:lang w:val="ru-RU"/>
        </w:rPr>
      </w:pPr>
      <w:bookmarkStart w:id="13" w:name="_Toc514964131"/>
      <w:r>
        <w:t>Working capital determinants</w:t>
      </w:r>
      <w:bookmarkEnd w:id="13"/>
    </w:p>
    <w:p w14:paraId="27F3F2AB" w14:textId="3F36B3CC" w:rsidR="00E466CF" w:rsidRPr="00E769EC" w:rsidRDefault="00D05045" w:rsidP="00D05045">
      <w:pPr>
        <w:tabs>
          <w:tab w:val="left" w:pos="0"/>
        </w:tabs>
      </w:pPr>
      <w:r w:rsidRPr="00E769EC">
        <w:t xml:space="preserve">In accordance with the above-mentioned </w:t>
      </w:r>
      <w:r w:rsidR="00E466CF" w:rsidRPr="00E769EC">
        <w:t xml:space="preserve">studies, it is worth noting that this </w:t>
      </w:r>
      <w:r w:rsidRPr="00E769EC">
        <w:t>section</w:t>
      </w:r>
      <w:r w:rsidR="00E466CF" w:rsidRPr="00E769EC">
        <w:t xml:space="preserve"> will focus on the impact of causes on </w:t>
      </w:r>
      <w:r w:rsidRPr="00E769EC">
        <w:t>working capital management</w:t>
      </w:r>
      <w:r w:rsidR="00E466CF" w:rsidRPr="00E769EC">
        <w:t xml:space="preserve">, to better understand exactly how literature tries to explain the influence of factors on working capital. </w:t>
      </w:r>
      <w:r w:rsidRPr="00E769EC">
        <w:t>Interconnections are</w:t>
      </w:r>
      <w:r w:rsidR="00E466CF" w:rsidRPr="00E769EC">
        <w:t xml:space="preserve"> important to understand how the previous relationship with profits is built. At the moment, there are many researchers who offer factors that affect working capital measures. These include, in particular:</w:t>
      </w:r>
      <w:r w:rsidRPr="00E769EC">
        <w:t xml:space="preserve"> </w:t>
      </w:r>
      <w:r w:rsidR="00E466CF" w:rsidRPr="00E769EC">
        <w:t xml:space="preserve">ability to </w:t>
      </w:r>
      <w:r w:rsidRPr="00E769EC">
        <w:t xml:space="preserve">generate </w:t>
      </w:r>
      <w:r w:rsidR="00E466CF" w:rsidRPr="00E769EC">
        <w:t>cash flows</w:t>
      </w:r>
      <w:r w:rsidRPr="00E769EC">
        <w:t xml:space="preserve">, </w:t>
      </w:r>
      <w:r w:rsidR="00E466CF" w:rsidRPr="00E769EC">
        <w:t>leverage</w:t>
      </w:r>
      <w:r w:rsidRPr="00E769EC">
        <w:t xml:space="preserve">, </w:t>
      </w:r>
      <w:r w:rsidR="00E466CF" w:rsidRPr="00E769EC">
        <w:t>growth opportunities</w:t>
      </w:r>
      <w:r w:rsidRPr="00E769EC">
        <w:t xml:space="preserve">, </w:t>
      </w:r>
      <w:r w:rsidR="00E466CF" w:rsidRPr="00E769EC">
        <w:t>size</w:t>
      </w:r>
      <w:r w:rsidRPr="00E769EC">
        <w:t xml:space="preserve">, </w:t>
      </w:r>
      <w:r w:rsidR="00E466CF" w:rsidRPr="00E769EC">
        <w:t>profitability and industry.</w:t>
      </w:r>
    </w:p>
    <w:p w14:paraId="75188AB4" w14:textId="2338CF49" w:rsidR="00716DE4" w:rsidRPr="00E466CF" w:rsidRDefault="00EC1A2F" w:rsidP="00E466CF">
      <w:pPr>
        <w:tabs>
          <w:tab w:val="left" w:pos="0"/>
        </w:tabs>
        <w:rPr>
          <w:color w:val="FF0000"/>
        </w:rPr>
      </w:pPr>
      <w:r w:rsidRPr="00CC1D40">
        <w:rPr>
          <w:i/>
        </w:rPr>
        <w:t xml:space="preserve">Ability to generate </w:t>
      </w:r>
      <w:r w:rsidR="00DF574C" w:rsidRPr="00CC1D40">
        <w:rPr>
          <w:i/>
        </w:rPr>
        <w:t>internal resources</w:t>
      </w:r>
      <w:r w:rsidRPr="00CC1D40">
        <w:t xml:space="preserve">. </w:t>
      </w:r>
      <w:r w:rsidR="00E466CF" w:rsidRPr="00E769EC">
        <w:t xml:space="preserve">As mentioned </w:t>
      </w:r>
      <w:r w:rsidR="00E769EC" w:rsidRPr="00E769EC">
        <w:t>before</w:t>
      </w:r>
      <w:r w:rsidR="00E466CF" w:rsidRPr="00E769EC">
        <w:t>, information that is asymmetric leads to an increase in the cost of external financing of the company, since, as a rule, this leads to a conflict of interests between shareholders and creditors. Of course, in this case, creditors require an increased risk premium (Myers, 1977), which in turn leads to an increase in the cost of external financing, which accordingly leads to priorit</w:t>
      </w:r>
      <w:r w:rsidR="00E769EC" w:rsidRPr="00E769EC">
        <w:t>ized</w:t>
      </w:r>
      <w:r w:rsidR="00E466CF" w:rsidRPr="00E769EC">
        <w:t xml:space="preserve"> attention to resources that are generated domestically from debt and new capital (Myers, 1984). </w:t>
      </w:r>
      <w:proofErr w:type="spellStart"/>
      <w:r w:rsidR="00E466CF" w:rsidRPr="00E769EC">
        <w:t>Fazari</w:t>
      </w:r>
      <w:proofErr w:type="spellEnd"/>
      <w:r w:rsidR="00E466CF" w:rsidRPr="00E769EC">
        <w:t xml:space="preserve"> and Pettersen (1993) s</w:t>
      </w:r>
      <w:r w:rsidR="00E769EC" w:rsidRPr="00E769EC">
        <w:t>tudied</w:t>
      </w:r>
      <w:r w:rsidR="00E466CF" w:rsidRPr="00E769EC">
        <w:t xml:space="preserve"> investment</w:t>
      </w:r>
      <w:r w:rsidR="00E769EC" w:rsidRPr="00E769EC">
        <w:t>s</w:t>
      </w:r>
      <w:r w:rsidR="00E466CF" w:rsidRPr="00E769EC">
        <w:t xml:space="preserve"> in working capital that </w:t>
      </w:r>
      <w:r w:rsidR="00E769EC" w:rsidRPr="00E769EC">
        <w:t>are</w:t>
      </w:r>
      <w:r w:rsidR="00E466CF" w:rsidRPr="00E769EC">
        <w:t xml:space="preserve"> related to the cash flow for the sample of US manufacturing firms in 1970-1979. Scientists have found that firms with a greater ability to generate internal resources have a higher level of current assets, which is probably due to lower cost of working capital financing for these firms. For sampling of Taiwanese firms between March 1996 and December 1998, </w:t>
      </w:r>
      <w:proofErr w:type="spellStart"/>
      <w:r w:rsidR="00E466CF" w:rsidRPr="00E769EC">
        <w:t>Chiou</w:t>
      </w:r>
      <w:proofErr w:type="spellEnd"/>
      <w:r w:rsidR="00E466CF" w:rsidRPr="00E769EC">
        <w:t xml:space="preserve"> et al. (2006) found that cash flow has a significant positive relationship with the net liquid balance, but</w:t>
      </w:r>
      <w:r w:rsidR="00E769EC" w:rsidRPr="00E769EC">
        <w:t xml:space="preserve"> </w:t>
      </w:r>
      <w:r w:rsidR="00E466CF" w:rsidRPr="00E769EC">
        <w:t xml:space="preserve">negative </w:t>
      </w:r>
      <w:r w:rsidR="00E769EC" w:rsidRPr="00E769EC">
        <w:t>impact on</w:t>
      </w:r>
      <w:r w:rsidR="00E466CF" w:rsidRPr="00E769EC">
        <w:t xml:space="preserve"> working capital requirements. The result goes against the results outlined above, and suggests that firms with higher cash flows have a more efficient </w:t>
      </w:r>
      <w:r w:rsidR="00E769EC" w:rsidRPr="00E769EC">
        <w:t>working capital management</w:t>
      </w:r>
      <w:r w:rsidR="00E466CF" w:rsidRPr="00E769EC">
        <w:t xml:space="preserve">. More recently, various empirical studies have been found with opposite results, differing from </w:t>
      </w:r>
      <w:proofErr w:type="spellStart"/>
      <w:r w:rsidR="00E466CF" w:rsidRPr="00E769EC">
        <w:t>Chiou</w:t>
      </w:r>
      <w:proofErr w:type="spellEnd"/>
      <w:r w:rsidR="00E466CF" w:rsidRPr="00E769EC">
        <w:t xml:space="preserve"> et al. (2006). For </w:t>
      </w:r>
      <w:proofErr w:type="spellStart"/>
      <w:r w:rsidR="00E466CF" w:rsidRPr="00E769EC">
        <w:t>Baños</w:t>
      </w:r>
      <w:proofErr w:type="spellEnd"/>
      <w:r w:rsidR="00E466CF" w:rsidRPr="00E769EC">
        <w:t xml:space="preserve">-Caballero et al. (2010), </w:t>
      </w:r>
      <w:proofErr w:type="spellStart"/>
      <w:r w:rsidR="00E466CF" w:rsidRPr="00E769EC">
        <w:t>Taleb</w:t>
      </w:r>
      <w:proofErr w:type="spellEnd"/>
      <w:r w:rsidR="00E466CF" w:rsidRPr="00E769EC">
        <w:t xml:space="preserve"> et al. (2010) and </w:t>
      </w:r>
      <w:proofErr w:type="spellStart"/>
      <w:r w:rsidR="00E466CF" w:rsidRPr="00E769EC">
        <w:t>Abbadi</w:t>
      </w:r>
      <w:proofErr w:type="spellEnd"/>
      <w:r w:rsidR="00E466CF" w:rsidRPr="00E769EC">
        <w:t xml:space="preserve"> (2013), the cash flow has a relatively strong positive impact on working capital measures, being in the same direction as those described above.</w:t>
      </w:r>
      <w:r w:rsidR="00E466CF">
        <w:rPr>
          <w:color w:val="FF0000"/>
        </w:rPr>
        <w:t xml:space="preserve"> </w:t>
      </w:r>
      <w:r w:rsidR="00716DE4" w:rsidRPr="00CC1D40">
        <w:t>Another empirical study of Thai firms for a period between 2000 and 2005 have showed that capital expenditures and operating cash flows</w:t>
      </w:r>
      <w:r w:rsidR="00716DE4" w:rsidRPr="00CC1D40">
        <w:rPr>
          <w:i/>
        </w:rPr>
        <w:t xml:space="preserve"> </w:t>
      </w:r>
      <w:r w:rsidR="00716DE4" w:rsidRPr="00CC1D40">
        <w:t>have a strong impact on working capital management (</w:t>
      </w:r>
      <w:proofErr w:type="spellStart"/>
      <w:r w:rsidR="00716DE4" w:rsidRPr="00CC1D40">
        <w:t>Appuhami</w:t>
      </w:r>
      <w:proofErr w:type="spellEnd"/>
      <w:r w:rsidR="00716DE4" w:rsidRPr="00CC1D40">
        <w:t xml:space="preserve">, 2008). </w:t>
      </w:r>
    </w:p>
    <w:p w14:paraId="0BDD7716" w14:textId="18A7DD85" w:rsidR="00E466CF" w:rsidRPr="00FB1493" w:rsidRDefault="00716DE4" w:rsidP="00E466CF">
      <w:pPr>
        <w:tabs>
          <w:tab w:val="left" w:pos="0"/>
        </w:tabs>
      </w:pPr>
      <w:r w:rsidRPr="00CC1D40">
        <w:rPr>
          <w:i/>
        </w:rPr>
        <w:lastRenderedPageBreak/>
        <w:t xml:space="preserve">Leverage. </w:t>
      </w:r>
      <w:r w:rsidR="00E466CF" w:rsidRPr="00FB1493">
        <w:t xml:space="preserve">Typically, when managing the cost of working capital financing, companies with a higher leverage ratio must pay a higher risk premium in accordance with the studies mentioned above. These results are consistent with previous empirical data and the capital structure </w:t>
      </w:r>
      <w:r w:rsidR="00A81F87" w:rsidRPr="00FB1493">
        <w:t>theory</w:t>
      </w:r>
      <w:r w:rsidR="00E466CF" w:rsidRPr="00FB1493">
        <w:t>. And the studies analyzed proved that there is a significant negative relationship with working capital measures when firms increase their leverage (</w:t>
      </w:r>
      <w:proofErr w:type="spellStart"/>
      <w:r w:rsidR="00E466CF" w:rsidRPr="00FB1493">
        <w:t>Chiou</w:t>
      </w:r>
      <w:proofErr w:type="spellEnd"/>
      <w:r w:rsidR="00E466CF" w:rsidRPr="00FB1493">
        <w:t xml:space="preserve"> et al., 2006; Rahman and Nasr, 2007; </w:t>
      </w:r>
      <w:proofErr w:type="spellStart"/>
      <w:r w:rsidR="00E466CF" w:rsidRPr="00FB1493">
        <w:t>Baños</w:t>
      </w:r>
      <w:proofErr w:type="spellEnd"/>
      <w:r w:rsidR="00E466CF" w:rsidRPr="00FB1493">
        <w:t xml:space="preserve">-Caballero et al., 2010; </w:t>
      </w:r>
      <w:proofErr w:type="spellStart"/>
      <w:r w:rsidR="00E466CF" w:rsidRPr="00FB1493">
        <w:t>Taleb</w:t>
      </w:r>
      <w:proofErr w:type="spellEnd"/>
      <w:r w:rsidR="00E466CF" w:rsidRPr="00FB1493">
        <w:t xml:space="preserve"> et al., 2010 and </w:t>
      </w:r>
      <w:proofErr w:type="spellStart"/>
      <w:r w:rsidR="00E466CF" w:rsidRPr="00FB1493">
        <w:t>Abbadi</w:t>
      </w:r>
      <w:proofErr w:type="spellEnd"/>
      <w:r w:rsidR="00E466CF" w:rsidRPr="00FB1493">
        <w:t xml:space="preserve"> and </w:t>
      </w:r>
      <w:proofErr w:type="spellStart"/>
      <w:r w:rsidR="00E466CF" w:rsidRPr="00FB1493">
        <w:t>Abbadi</w:t>
      </w:r>
      <w:proofErr w:type="spellEnd"/>
      <w:r w:rsidR="00E466CF" w:rsidRPr="00FB1493">
        <w:t>, 2013). This indicates that to increase the level of leverage, more attention should be given to firms to reduce capital associated with current assets. As companies with a higher level of debt seek to achieve lower working capital requirements.</w:t>
      </w:r>
    </w:p>
    <w:p w14:paraId="2677503B" w14:textId="5572C51F" w:rsidR="00E466CF" w:rsidRPr="006F575A" w:rsidRDefault="00716DE4" w:rsidP="00E466CF">
      <w:pPr>
        <w:tabs>
          <w:tab w:val="left" w:pos="0"/>
        </w:tabs>
        <w:rPr>
          <w:color w:val="FF0000"/>
          <w:highlight w:val="yellow"/>
        </w:rPr>
      </w:pPr>
      <w:r w:rsidRPr="00CC1D40">
        <w:rPr>
          <w:i/>
        </w:rPr>
        <w:t xml:space="preserve">Firm Size. </w:t>
      </w:r>
      <w:r w:rsidR="00E466CF" w:rsidRPr="00A23FD5">
        <w:t xml:space="preserve">This aspect is a set of empirical studies that prove that size affects </w:t>
      </w:r>
      <w:r w:rsidR="00FB1493" w:rsidRPr="00A23FD5">
        <w:t>working capital management in the firm</w:t>
      </w:r>
      <w:r w:rsidR="00E466CF" w:rsidRPr="00A23FD5">
        <w:t xml:space="preserve">. </w:t>
      </w:r>
      <w:proofErr w:type="spellStart"/>
      <w:r w:rsidR="00E466CF" w:rsidRPr="00A23FD5">
        <w:t>Kieschnick</w:t>
      </w:r>
      <w:proofErr w:type="spellEnd"/>
      <w:r w:rsidR="00E466CF" w:rsidRPr="00A23FD5">
        <w:t xml:space="preserve"> et al. (2006) and </w:t>
      </w:r>
      <w:proofErr w:type="spellStart"/>
      <w:r w:rsidR="00E466CF" w:rsidRPr="00A23FD5">
        <w:t>Chiou</w:t>
      </w:r>
      <w:proofErr w:type="spellEnd"/>
      <w:r w:rsidR="00E466CF" w:rsidRPr="00A23FD5">
        <w:t xml:space="preserve"> et al. (2006) found a positive relationship with the size and measures of </w:t>
      </w:r>
      <w:r w:rsidR="00FB1493" w:rsidRPr="00A23FD5">
        <w:t>working capital management</w:t>
      </w:r>
      <w:r w:rsidR="00E466CF" w:rsidRPr="00A23FD5">
        <w:t>. This is because the cost of financing used to invest in current assets decreases with the size of the firm, as smaller firms have greater asymmetrie</w:t>
      </w:r>
      <w:r w:rsidR="00FB1493" w:rsidRPr="00A23FD5">
        <w:t>s</w:t>
      </w:r>
      <w:r w:rsidR="00E466CF" w:rsidRPr="00A23FD5">
        <w:t xml:space="preserve"> of information (Jordan et al., 1998; Berger et al., 2001), higher information opacity (Berger and </w:t>
      </w:r>
      <w:proofErr w:type="spellStart"/>
      <w:r w:rsidR="00E466CF" w:rsidRPr="00A23FD5">
        <w:t>Udell</w:t>
      </w:r>
      <w:proofErr w:type="spellEnd"/>
      <w:r w:rsidR="00E466CF" w:rsidRPr="00A23FD5">
        <w:t xml:space="preserve">, 1998), </w:t>
      </w:r>
      <w:r w:rsidR="00FB1493" w:rsidRPr="00A23FD5">
        <w:t xml:space="preserve">and are less </w:t>
      </w:r>
      <w:r w:rsidR="00E466CF" w:rsidRPr="00A23FD5">
        <w:t>followed by analysts (</w:t>
      </w:r>
      <w:proofErr w:type="spellStart"/>
      <w:r w:rsidR="00E466CF" w:rsidRPr="00A23FD5">
        <w:t>Baños</w:t>
      </w:r>
      <w:proofErr w:type="spellEnd"/>
      <w:r w:rsidR="00E466CF" w:rsidRPr="00A23FD5">
        <w:t xml:space="preserve">-Caballero et al., 2010). The arguments presented above correspond to the </w:t>
      </w:r>
      <w:r w:rsidR="00FB1493" w:rsidRPr="00A23FD5">
        <w:t xml:space="preserve">trade-off </w:t>
      </w:r>
      <w:r w:rsidR="00E466CF" w:rsidRPr="00A23FD5">
        <w:t xml:space="preserve">theory. For larger companies, there are far </w:t>
      </w:r>
      <w:r w:rsidR="00D86AD6" w:rsidRPr="00A23FD5">
        <w:t>more</w:t>
      </w:r>
      <w:r w:rsidR="00E466CF" w:rsidRPr="00A23FD5">
        <w:t xml:space="preserve"> </w:t>
      </w:r>
      <w:r w:rsidR="00D86AD6" w:rsidRPr="00A23FD5">
        <w:t xml:space="preserve">chances </w:t>
      </w:r>
      <w:r w:rsidR="00E466CF" w:rsidRPr="00A23FD5">
        <w:t xml:space="preserve">to survive the bankruptcy procedure, </w:t>
      </w:r>
      <w:r w:rsidR="00D86AD6" w:rsidRPr="00A23FD5">
        <w:t>than for</w:t>
      </w:r>
      <w:r w:rsidR="00E466CF" w:rsidRPr="00A23FD5">
        <w:t xml:space="preserve"> small, as large firms are diversified. According to Petersen and </w:t>
      </w:r>
      <w:proofErr w:type="spellStart"/>
      <w:r w:rsidR="00E466CF" w:rsidRPr="00A23FD5">
        <w:t>Rajan</w:t>
      </w:r>
      <w:proofErr w:type="spellEnd"/>
      <w:r w:rsidR="00E466CF" w:rsidRPr="00A23FD5">
        <w:t xml:space="preserve"> (1997), companies with greater access to capital markets expand trade credit, while smaller companies are likely to face major financial constraints (Whited, 1992 and </w:t>
      </w:r>
      <w:proofErr w:type="spellStart"/>
      <w:r w:rsidR="00E466CF" w:rsidRPr="00A23FD5">
        <w:t>Fazzari</w:t>
      </w:r>
      <w:proofErr w:type="spellEnd"/>
      <w:r w:rsidR="00E466CF" w:rsidRPr="00A23FD5">
        <w:t xml:space="preserve"> and Petersen, 1993), which in turn leads to an increase in the level of trade credits, as they do not have access to other sources of funding (Petersen and </w:t>
      </w:r>
      <w:proofErr w:type="spellStart"/>
      <w:r w:rsidR="00E466CF" w:rsidRPr="00A23FD5">
        <w:t>Rajan</w:t>
      </w:r>
      <w:proofErr w:type="spellEnd"/>
      <w:r w:rsidR="00E466CF" w:rsidRPr="00A23FD5">
        <w:t xml:space="preserve">, 1997), or similar chances of obtaining funding have already been exhausted (Walker, 1991; </w:t>
      </w:r>
      <w:proofErr w:type="spellStart"/>
      <w:r w:rsidR="00E466CF" w:rsidRPr="00A23FD5">
        <w:t>Cuñat</w:t>
      </w:r>
      <w:proofErr w:type="spellEnd"/>
      <w:r w:rsidR="00E466CF" w:rsidRPr="00A23FD5">
        <w:t xml:space="preserve">, 2007). According to </w:t>
      </w:r>
      <w:proofErr w:type="spellStart"/>
      <w:r w:rsidR="00E466CF" w:rsidRPr="00A23FD5">
        <w:t>Baños</w:t>
      </w:r>
      <w:proofErr w:type="spellEnd"/>
      <w:r w:rsidR="00E466CF" w:rsidRPr="00A23FD5">
        <w:t xml:space="preserve">-Caballero et al. (2010), small companies have higher costs to finance their current assets, which can reduce receivables and inventories. According to the above theories, small firms use more trade credit from suppliers and for </w:t>
      </w:r>
      <w:proofErr w:type="spellStart"/>
      <w:r w:rsidR="00E466CF" w:rsidRPr="00A23FD5">
        <w:t>Baños</w:t>
      </w:r>
      <w:proofErr w:type="spellEnd"/>
      <w:r w:rsidR="00E466CF" w:rsidRPr="00A23FD5">
        <w:t>-Caballero et al. (2010), the size is expected to have a positive effect on working capital figures (</w:t>
      </w:r>
      <w:r w:rsidR="00D86AD6" w:rsidRPr="00A23FD5">
        <w:t>and cash conversion cycle</w:t>
      </w:r>
      <w:r w:rsidR="00E466CF" w:rsidRPr="00A23FD5">
        <w:t>).</w:t>
      </w:r>
    </w:p>
    <w:p w14:paraId="72A3C379" w14:textId="1AEA381C" w:rsidR="00716DE4" w:rsidRPr="00CC1D40" w:rsidRDefault="00716DE4" w:rsidP="00716DE4">
      <w:pPr>
        <w:tabs>
          <w:tab w:val="left" w:pos="0"/>
        </w:tabs>
      </w:pPr>
      <w:r w:rsidRPr="00CC1D40">
        <w:t xml:space="preserve">It was also found that operating cycle (represented by the number of days in accounts receivables plus number of days in inventories) and market capitalization have positive impact on the amount of working capital, while leverage ratio has negative relationship with the working capital requirements (Nazir and </w:t>
      </w:r>
      <w:proofErr w:type="spellStart"/>
      <w:r w:rsidRPr="00CC1D40">
        <w:t>Afza</w:t>
      </w:r>
      <w:proofErr w:type="spellEnd"/>
      <w:r w:rsidRPr="00CC1D40">
        <w:t xml:space="preserve">, 2008). </w:t>
      </w:r>
    </w:p>
    <w:p w14:paraId="3269334C" w14:textId="0F10C893" w:rsidR="00E466CF" w:rsidRPr="00A23FD5" w:rsidRDefault="00716DE4" w:rsidP="00E466CF">
      <w:pPr>
        <w:tabs>
          <w:tab w:val="left" w:pos="0"/>
        </w:tabs>
      </w:pPr>
      <w:r w:rsidRPr="00CC1D40">
        <w:rPr>
          <w:i/>
        </w:rPr>
        <w:t xml:space="preserve">Return. </w:t>
      </w:r>
      <w:r w:rsidR="00A23FD5" w:rsidRPr="00A23FD5">
        <w:t>It is</w:t>
      </w:r>
      <w:r w:rsidR="00A23FD5">
        <w:rPr>
          <w:color w:val="FF0000"/>
        </w:rPr>
        <w:t xml:space="preserve"> </w:t>
      </w:r>
      <w:r w:rsidR="00A23FD5" w:rsidRPr="00A23FD5">
        <w:t>one of the major determinants of working capital requirements in the firm</w:t>
      </w:r>
      <w:r w:rsidR="00E466CF" w:rsidRPr="00A23FD5">
        <w:t xml:space="preserve">. Previous empirical studies have found the appropriate impact, but the relationship is not clear, since there are data made by </w:t>
      </w:r>
      <w:proofErr w:type="spellStart"/>
      <w:r w:rsidR="00E466CF" w:rsidRPr="00A23FD5">
        <w:t>Chiou</w:t>
      </w:r>
      <w:proofErr w:type="spellEnd"/>
      <w:r w:rsidR="00E466CF" w:rsidRPr="00A23FD5">
        <w:t xml:space="preserve"> et al. (2006) and </w:t>
      </w:r>
      <w:proofErr w:type="spellStart"/>
      <w:r w:rsidR="00E466CF" w:rsidRPr="00A23FD5">
        <w:t>Baños</w:t>
      </w:r>
      <w:proofErr w:type="spellEnd"/>
      <w:r w:rsidR="00E466CF" w:rsidRPr="00A23FD5">
        <w:t xml:space="preserve">-Caballero et al. (2010). These researchers found </w:t>
      </w:r>
      <w:r w:rsidR="00E466CF" w:rsidRPr="00A23FD5">
        <w:lastRenderedPageBreak/>
        <w:t xml:space="preserve">that the return </w:t>
      </w:r>
      <w:r w:rsidR="00A23FD5" w:rsidRPr="00A23FD5">
        <w:t>on assets</w:t>
      </w:r>
      <w:r w:rsidR="00E466CF" w:rsidRPr="00A23FD5">
        <w:t xml:space="preserve"> (ROA) is negatively associated with working capital measures. These results are consistent with Petersen and </w:t>
      </w:r>
      <w:proofErr w:type="spellStart"/>
      <w:r w:rsidR="00E466CF" w:rsidRPr="00A23FD5">
        <w:t>Rajan</w:t>
      </w:r>
      <w:proofErr w:type="spellEnd"/>
      <w:r w:rsidR="00E466CF" w:rsidRPr="00A23FD5">
        <w:t xml:space="preserve"> (1997), as researchers have shown that firms with higher productivity receive from the existing </w:t>
      </w:r>
      <w:r w:rsidR="00A23FD5" w:rsidRPr="00A23FD5">
        <w:t xml:space="preserve">suppliers </w:t>
      </w:r>
      <w:r w:rsidR="00E466CF" w:rsidRPr="00A23FD5">
        <w:t>high</w:t>
      </w:r>
      <w:r w:rsidR="00A23FD5" w:rsidRPr="00A23FD5">
        <w:t>er</w:t>
      </w:r>
      <w:r w:rsidR="00E466CF" w:rsidRPr="00A23FD5">
        <w:t xml:space="preserve"> level of creditworthiness and, according to Shin and </w:t>
      </w:r>
      <w:proofErr w:type="spellStart"/>
      <w:r w:rsidR="00E466CF" w:rsidRPr="00A23FD5">
        <w:t>Soenen</w:t>
      </w:r>
      <w:proofErr w:type="spellEnd"/>
      <w:r w:rsidR="00E466CF" w:rsidRPr="00A23FD5">
        <w:t xml:space="preserve"> (1998), companies with higher returns are characterized by higher productivity in </w:t>
      </w:r>
      <w:r w:rsidR="00A23FD5" w:rsidRPr="00A23FD5">
        <w:t xml:space="preserve">working capital management, because of </w:t>
      </w:r>
      <w:r w:rsidR="00E466CF" w:rsidRPr="00A23FD5">
        <w:t xml:space="preserve">their dominance </w:t>
      </w:r>
      <w:r w:rsidR="00A23FD5" w:rsidRPr="00A23FD5">
        <w:t>on</w:t>
      </w:r>
      <w:r w:rsidR="00E466CF" w:rsidRPr="00A23FD5">
        <w:t xml:space="preserve"> the market, and because of their ability to bargain in the market with suppliers and customers. In addition, </w:t>
      </w:r>
      <w:proofErr w:type="spellStart"/>
      <w:r w:rsidR="00E466CF" w:rsidRPr="00A23FD5">
        <w:t>Chiou</w:t>
      </w:r>
      <w:proofErr w:type="spellEnd"/>
      <w:r w:rsidR="00E466CF" w:rsidRPr="00A23FD5">
        <w:t xml:space="preserve"> et al. (2006) confirms the information that firms with higher productivity can occupy a more profitable niche and gain access to external financing, and then invest in more profitable </w:t>
      </w:r>
      <w:r w:rsidR="00A23FD5" w:rsidRPr="00A23FD5">
        <w:t>projects</w:t>
      </w:r>
      <w:r w:rsidR="00E466CF" w:rsidRPr="00A23FD5">
        <w:t xml:space="preserve">. </w:t>
      </w:r>
      <w:r w:rsidR="00A23FD5" w:rsidRPr="00A23FD5">
        <w:t>However</w:t>
      </w:r>
      <w:r w:rsidR="00E466CF" w:rsidRPr="00A23FD5">
        <w:t xml:space="preserve"> empirical evidence from </w:t>
      </w:r>
      <w:proofErr w:type="spellStart"/>
      <w:r w:rsidR="00E466CF" w:rsidRPr="00A23FD5">
        <w:t>Nazira</w:t>
      </w:r>
      <w:proofErr w:type="spellEnd"/>
      <w:r w:rsidR="00E466CF" w:rsidRPr="00A23FD5">
        <w:t xml:space="preserve"> and </w:t>
      </w:r>
      <w:proofErr w:type="spellStart"/>
      <w:r w:rsidR="00E466CF" w:rsidRPr="00A23FD5">
        <w:t>Afza</w:t>
      </w:r>
      <w:proofErr w:type="spellEnd"/>
      <w:r w:rsidR="00E466CF" w:rsidRPr="00A23FD5">
        <w:t xml:space="preserve"> (2009) and </w:t>
      </w:r>
      <w:proofErr w:type="spellStart"/>
      <w:r w:rsidR="00E466CF" w:rsidRPr="00A23FD5">
        <w:t>Abbadi</w:t>
      </w:r>
      <w:proofErr w:type="spellEnd"/>
      <w:r w:rsidR="00E466CF" w:rsidRPr="00A23FD5">
        <w:t xml:space="preserve"> and </w:t>
      </w:r>
      <w:proofErr w:type="spellStart"/>
      <w:r w:rsidR="00E466CF" w:rsidRPr="00A23FD5">
        <w:t>Abbadi</w:t>
      </w:r>
      <w:proofErr w:type="spellEnd"/>
      <w:r w:rsidR="00E466CF" w:rsidRPr="00A23FD5">
        <w:t xml:space="preserve"> (2013) found a positive relationship between firm returns and working capital measures. Nazir and </w:t>
      </w:r>
      <w:proofErr w:type="spellStart"/>
      <w:r w:rsidR="00E466CF" w:rsidRPr="00A23FD5">
        <w:t>Afza</w:t>
      </w:r>
      <w:proofErr w:type="spellEnd"/>
      <w:r w:rsidR="00E466CF" w:rsidRPr="00A23FD5">
        <w:t xml:space="preserve"> (2009) and Mehmet and Eda (2009) argue that companies with higher efficiency are less interested in effective working capital management.</w:t>
      </w:r>
    </w:p>
    <w:p w14:paraId="4623D555" w14:textId="02CF16FB" w:rsidR="00716DE4" w:rsidRDefault="00DF574C" w:rsidP="00BA13ED">
      <w:pPr>
        <w:tabs>
          <w:tab w:val="left" w:pos="0"/>
        </w:tabs>
        <w:rPr>
          <w:highlight w:val="yellow"/>
        </w:rPr>
      </w:pPr>
      <w:r>
        <w:t>The summary of the key factors that influence the working capital structure in the firm is presented below (</w:t>
      </w:r>
      <w:r>
        <w:fldChar w:fldCharType="begin"/>
      </w:r>
      <w:r>
        <w:instrText xml:space="preserve"> REF _Ref514665754 \r \h </w:instrText>
      </w:r>
      <w:r>
        <w:fldChar w:fldCharType="separate"/>
      </w:r>
      <w:r w:rsidR="00154E78">
        <w:t>Table 3</w:t>
      </w:r>
      <w:r>
        <w:fldChar w:fldCharType="end"/>
      </w:r>
      <w:r>
        <w:t>).</w:t>
      </w:r>
    </w:p>
    <w:p w14:paraId="671FC484" w14:textId="07AB49BE" w:rsidR="00DF574C" w:rsidRDefault="00DF574C" w:rsidP="00DF574C">
      <w:pPr>
        <w:pStyle w:val="a0"/>
        <w:tabs>
          <w:tab w:val="left" w:pos="0"/>
        </w:tabs>
        <w:ind w:left="0"/>
      </w:pPr>
      <w:bookmarkStart w:id="14" w:name="_Ref514665754"/>
      <w:r>
        <w:t>Summary on the key working capital structure factors</w:t>
      </w:r>
      <w:bookmarkEnd w:id="14"/>
    </w:p>
    <w:tbl>
      <w:tblPr>
        <w:tblStyle w:val="22"/>
        <w:tblW w:w="5043" w:type="pct"/>
        <w:jc w:val="center"/>
        <w:tblLook w:val="04A0" w:firstRow="1" w:lastRow="0" w:firstColumn="1" w:lastColumn="0" w:noHBand="0" w:noVBand="1"/>
      </w:tblPr>
      <w:tblGrid>
        <w:gridCol w:w="2262"/>
        <w:gridCol w:w="3751"/>
        <w:gridCol w:w="3749"/>
      </w:tblGrid>
      <w:tr w:rsidR="00DF574C" w:rsidRPr="00873A54" w14:paraId="6AE233C4" w14:textId="77777777" w:rsidTr="00C43C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auto"/>
              <w:left w:val="single" w:sz="4" w:space="0" w:color="auto"/>
              <w:bottom w:val="single" w:sz="4" w:space="0" w:color="auto"/>
              <w:right w:val="single" w:sz="4" w:space="0" w:color="auto"/>
            </w:tcBorders>
            <w:shd w:val="clear" w:color="auto" w:fill="auto"/>
          </w:tcPr>
          <w:p w14:paraId="383AA6D5" w14:textId="28C1BFF0" w:rsidR="00DF574C" w:rsidRPr="00873A54" w:rsidRDefault="00DF574C" w:rsidP="00C43CAC">
            <w:pPr>
              <w:tabs>
                <w:tab w:val="left" w:pos="0"/>
              </w:tabs>
              <w:ind w:firstLine="0"/>
              <w:jc w:val="left"/>
              <w:rPr>
                <w:sz w:val="20"/>
              </w:rPr>
            </w:pPr>
            <w:r>
              <w:rPr>
                <w:sz w:val="20"/>
              </w:rPr>
              <w:t>Factor</w:t>
            </w:r>
          </w:p>
        </w:tc>
        <w:tc>
          <w:tcPr>
            <w:tcW w:w="1921" w:type="pct"/>
            <w:tcBorders>
              <w:top w:val="single" w:sz="4" w:space="0" w:color="auto"/>
              <w:left w:val="single" w:sz="4" w:space="0" w:color="auto"/>
              <w:bottom w:val="single" w:sz="4" w:space="0" w:color="auto"/>
              <w:right w:val="single" w:sz="4" w:space="0" w:color="auto"/>
            </w:tcBorders>
            <w:shd w:val="clear" w:color="auto" w:fill="auto"/>
          </w:tcPr>
          <w:p w14:paraId="3D1EFD57" w14:textId="77777777" w:rsidR="00DF574C" w:rsidRPr="00873A54" w:rsidRDefault="00DF574C" w:rsidP="00C43CAC">
            <w:pPr>
              <w:tabs>
                <w:tab w:val="left" w:pos="0"/>
              </w:tabs>
              <w:ind w:firstLine="0"/>
              <w:jc w:val="left"/>
              <w:cnfStyle w:val="100000000000" w:firstRow="1" w:lastRow="0" w:firstColumn="0" w:lastColumn="0" w:oddVBand="0" w:evenVBand="0" w:oddHBand="0" w:evenHBand="0" w:firstRowFirstColumn="0" w:firstRowLastColumn="0" w:lastRowFirstColumn="0" w:lastRowLastColumn="0"/>
              <w:rPr>
                <w:sz w:val="20"/>
              </w:rPr>
            </w:pPr>
            <w:r>
              <w:rPr>
                <w:sz w:val="20"/>
              </w:rPr>
              <w:t>Article and authors</w:t>
            </w:r>
          </w:p>
        </w:tc>
        <w:tc>
          <w:tcPr>
            <w:tcW w:w="1920" w:type="pct"/>
            <w:tcBorders>
              <w:top w:val="single" w:sz="4" w:space="0" w:color="auto"/>
              <w:left w:val="single" w:sz="4" w:space="0" w:color="auto"/>
              <w:bottom w:val="single" w:sz="4" w:space="0" w:color="auto"/>
              <w:right w:val="single" w:sz="4" w:space="0" w:color="auto"/>
            </w:tcBorders>
          </w:tcPr>
          <w:p w14:paraId="68E9C2C7" w14:textId="77777777" w:rsidR="00DF574C" w:rsidRPr="00873A54" w:rsidRDefault="00DF574C" w:rsidP="00C43CAC">
            <w:pPr>
              <w:tabs>
                <w:tab w:val="left" w:pos="0"/>
              </w:tabs>
              <w:ind w:firstLine="0"/>
              <w:jc w:val="left"/>
              <w:cnfStyle w:val="100000000000" w:firstRow="1" w:lastRow="0" w:firstColumn="0" w:lastColumn="0" w:oddVBand="0" w:evenVBand="0" w:oddHBand="0" w:evenHBand="0" w:firstRowFirstColumn="0" w:firstRowLastColumn="0" w:lastRowFirstColumn="0" w:lastRowLastColumn="0"/>
              <w:rPr>
                <w:sz w:val="20"/>
              </w:rPr>
            </w:pPr>
            <w:r>
              <w:rPr>
                <w:sz w:val="20"/>
              </w:rPr>
              <w:t>Results of the research</w:t>
            </w:r>
          </w:p>
        </w:tc>
      </w:tr>
      <w:tr w:rsidR="00DF574C" w:rsidRPr="00873A54" w14:paraId="1BE6529E" w14:textId="77777777" w:rsidTr="00C4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9" w:type="pct"/>
            <w:vMerge w:val="restart"/>
            <w:tcBorders>
              <w:top w:val="single" w:sz="4" w:space="0" w:color="auto"/>
              <w:left w:val="single" w:sz="4" w:space="0" w:color="auto"/>
              <w:right w:val="single" w:sz="4" w:space="0" w:color="auto"/>
            </w:tcBorders>
            <w:vAlign w:val="center"/>
          </w:tcPr>
          <w:p w14:paraId="02E8E07D" w14:textId="0B6D4A2E" w:rsidR="00DF574C" w:rsidRPr="00AF5161" w:rsidRDefault="00AF5161" w:rsidP="00C43CAC">
            <w:pPr>
              <w:tabs>
                <w:tab w:val="left" w:pos="0"/>
              </w:tabs>
              <w:ind w:firstLine="0"/>
              <w:jc w:val="left"/>
              <w:rPr>
                <w:b w:val="0"/>
                <w:sz w:val="20"/>
              </w:rPr>
            </w:pPr>
            <w:r>
              <w:rPr>
                <w:b w:val="0"/>
                <w:sz w:val="20"/>
              </w:rPr>
              <w:t>Ability to generate internal resources – Cash flows</w:t>
            </w:r>
          </w:p>
        </w:tc>
        <w:tc>
          <w:tcPr>
            <w:tcW w:w="1921" w:type="pct"/>
            <w:tcBorders>
              <w:top w:val="single" w:sz="4" w:space="0" w:color="auto"/>
              <w:left w:val="single" w:sz="4" w:space="0" w:color="auto"/>
              <w:bottom w:val="single" w:sz="4" w:space="0" w:color="auto"/>
              <w:right w:val="single" w:sz="4" w:space="0" w:color="auto"/>
            </w:tcBorders>
            <w:vAlign w:val="center"/>
          </w:tcPr>
          <w:p w14:paraId="3AF8DFAC" w14:textId="0E2D2FB2" w:rsidR="00DF574C" w:rsidRPr="00873A54" w:rsidRDefault="00AF5161" w:rsidP="00C43CAC">
            <w:pPr>
              <w:tabs>
                <w:tab w:val="left" w:pos="0"/>
              </w:tabs>
              <w:ind w:firstLine="0"/>
              <w:jc w:val="left"/>
              <w:cnfStyle w:val="000000100000" w:firstRow="0" w:lastRow="0" w:firstColumn="0" w:lastColumn="0" w:oddVBand="0" w:evenVBand="0" w:oddHBand="1" w:evenHBand="0" w:firstRowFirstColumn="0" w:firstRowLastColumn="0" w:lastRowFirstColumn="0" w:lastRowLastColumn="0"/>
              <w:rPr>
                <w:sz w:val="20"/>
              </w:rPr>
            </w:pPr>
            <w:proofErr w:type="spellStart"/>
            <w:r w:rsidRPr="00AF5161">
              <w:rPr>
                <w:sz w:val="20"/>
              </w:rPr>
              <w:t>Fazzari</w:t>
            </w:r>
            <w:proofErr w:type="spellEnd"/>
            <w:r w:rsidRPr="00AF5161">
              <w:rPr>
                <w:sz w:val="20"/>
              </w:rPr>
              <w:t xml:space="preserve"> and Pettersen 1993</w:t>
            </w:r>
          </w:p>
        </w:tc>
        <w:tc>
          <w:tcPr>
            <w:tcW w:w="1920" w:type="pct"/>
            <w:tcBorders>
              <w:top w:val="single" w:sz="4" w:space="0" w:color="auto"/>
              <w:left w:val="single" w:sz="4" w:space="0" w:color="auto"/>
              <w:bottom w:val="single" w:sz="4" w:space="0" w:color="auto"/>
              <w:right w:val="single" w:sz="4" w:space="0" w:color="auto"/>
            </w:tcBorders>
            <w:vAlign w:val="center"/>
          </w:tcPr>
          <w:p w14:paraId="78A98F2B" w14:textId="1ACCE12C" w:rsidR="00DF574C" w:rsidRPr="00873A54" w:rsidRDefault="00AF5161" w:rsidP="00C43CAC">
            <w:pPr>
              <w:tabs>
                <w:tab w:val="left" w:pos="0"/>
              </w:tabs>
              <w:ind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Working capital related to cash flow generation</w:t>
            </w:r>
          </w:p>
        </w:tc>
      </w:tr>
      <w:tr w:rsidR="00DF574C" w:rsidRPr="00873A54" w14:paraId="1B36D50A" w14:textId="77777777" w:rsidTr="00C43CAC">
        <w:trPr>
          <w:jc w:val="center"/>
        </w:trPr>
        <w:tc>
          <w:tcPr>
            <w:cnfStyle w:val="001000000000" w:firstRow="0" w:lastRow="0" w:firstColumn="1" w:lastColumn="0" w:oddVBand="0" w:evenVBand="0" w:oddHBand="0" w:evenHBand="0" w:firstRowFirstColumn="0" w:firstRowLastColumn="0" w:lastRowFirstColumn="0" w:lastRowLastColumn="0"/>
            <w:tcW w:w="1159" w:type="pct"/>
            <w:vMerge/>
            <w:tcBorders>
              <w:left w:val="single" w:sz="4" w:space="0" w:color="auto"/>
              <w:right w:val="single" w:sz="4" w:space="0" w:color="auto"/>
            </w:tcBorders>
          </w:tcPr>
          <w:p w14:paraId="6DFC43BF" w14:textId="77777777" w:rsidR="00DF574C" w:rsidRPr="00873A54" w:rsidRDefault="00DF574C" w:rsidP="00C43CAC">
            <w:pPr>
              <w:tabs>
                <w:tab w:val="left" w:pos="0"/>
              </w:tabs>
              <w:ind w:firstLine="0"/>
              <w:jc w:val="left"/>
              <w:rPr>
                <w:b w:val="0"/>
                <w:sz w:val="20"/>
              </w:rPr>
            </w:pPr>
          </w:p>
        </w:tc>
        <w:tc>
          <w:tcPr>
            <w:tcW w:w="1921" w:type="pct"/>
            <w:tcBorders>
              <w:top w:val="single" w:sz="4" w:space="0" w:color="auto"/>
              <w:left w:val="single" w:sz="4" w:space="0" w:color="auto"/>
              <w:bottom w:val="single" w:sz="4" w:space="0" w:color="auto"/>
              <w:right w:val="single" w:sz="4" w:space="0" w:color="auto"/>
            </w:tcBorders>
            <w:vAlign w:val="center"/>
          </w:tcPr>
          <w:p w14:paraId="01BFFA1D" w14:textId="540493DC" w:rsidR="00DF574C" w:rsidRPr="00873A54" w:rsidRDefault="00AF5161" w:rsidP="00C43CAC">
            <w:pPr>
              <w:tabs>
                <w:tab w:val="left" w:pos="0"/>
              </w:tabs>
              <w:ind w:firstLin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AF5161">
              <w:rPr>
                <w:sz w:val="20"/>
              </w:rPr>
              <w:t>Chiou</w:t>
            </w:r>
            <w:proofErr w:type="spellEnd"/>
            <w:r w:rsidRPr="00AF5161">
              <w:rPr>
                <w:sz w:val="20"/>
              </w:rPr>
              <w:t xml:space="preserve"> et al. 2006</w:t>
            </w:r>
          </w:p>
        </w:tc>
        <w:tc>
          <w:tcPr>
            <w:tcW w:w="1920" w:type="pct"/>
            <w:tcBorders>
              <w:top w:val="single" w:sz="4" w:space="0" w:color="auto"/>
              <w:left w:val="single" w:sz="4" w:space="0" w:color="auto"/>
              <w:bottom w:val="single" w:sz="4" w:space="0" w:color="auto"/>
              <w:right w:val="single" w:sz="4" w:space="0" w:color="auto"/>
            </w:tcBorders>
            <w:vAlign w:val="center"/>
          </w:tcPr>
          <w:p w14:paraId="3CEAEA99" w14:textId="70140393" w:rsidR="00DF574C" w:rsidRPr="00873A54" w:rsidRDefault="00AF5161" w:rsidP="00C43CAC">
            <w:pPr>
              <w:tabs>
                <w:tab w:val="left" w:pos="0"/>
              </w:tabs>
              <w:ind w:firstLine="0"/>
              <w:jc w:val="left"/>
              <w:cnfStyle w:val="000000000000" w:firstRow="0" w:lastRow="0" w:firstColumn="0" w:lastColumn="0" w:oddVBand="0" w:evenVBand="0" w:oddHBand="0" w:evenHBand="0" w:firstRowFirstColumn="0" w:firstRowLastColumn="0" w:lastRowFirstColumn="0" w:lastRowLastColumn="0"/>
              <w:rPr>
                <w:sz w:val="20"/>
              </w:rPr>
            </w:pPr>
            <w:r>
              <w:rPr>
                <w:sz w:val="20"/>
              </w:rPr>
              <w:t>Cash flow has negative relation to the working capital requirements</w:t>
            </w:r>
          </w:p>
        </w:tc>
      </w:tr>
      <w:tr w:rsidR="00DF574C" w:rsidRPr="00873A54" w14:paraId="5E7FC850" w14:textId="77777777" w:rsidTr="00C4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9" w:type="pct"/>
            <w:vMerge/>
            <w:tcBorders>
              <w:left w:val="single" w:sz="4" w:space="0" w:color="auto"/>
              <w:bottom w:val="single" w:sz="4" w:space="0" w:color="auto"/>
              <w:right w:val="single" w:sz="4" w:space="0" w:color="auto"/>
            </w:tcBorders>
          </w:tcPr>
          <w:p w14:paraId="2197A8DE" w14:textId="77777777" w:rsidR="00DF574C" w:rsidRPr="00873A54" w:rsidRDefault="00DF574C" w:rsidP="00C43CAC">
            <w:pPr>
              <w:tabs>
                <w:tab w:val="left" w:pos="0"/>
              </w:tabs>
              <w:ind w:firstLine="0"/>
              <w:jc w:val="left"/>
              <w:rPr>
                <w:b w:val="0"/>
                <w:sz w:val="20"/>
              </w:rPr>
            </w:pPr>
          </w:p>
        </w:tc>
        <w:tc>
          <w:tcPr>
            <w:tcW w:w="1921" w:type="pct"/>
            <w:tcBorders>
              <w:top w:val="single" w:sz="4" w:space="0" w:color="auto"/>
              <w:left w:val="single" w:sz="4" w:space="0" w:color="auto"/>
              <w:bottom w:val="single" w:sz="4" w:space="0" w:color="auto"/>
              <w:right w:val="single" w:sz="4" w:space="0" w:color="auto"/>
            </w:tcBorders>
            <w:vAlign w:val="center"/>
          </w:tcPr>
          <w:p w14:paraId="52360405" w14:textId="5D5AC63B" w:rsidR="00DF574C" w:rsidRPr="00AA0793" w:rsidRDefault="00AF5161" w:rsidP="00C43CAC">
            <w:pPr>
              <w:tabs>
                <w:tab w:val="left" w:pos="0"/>
              </w:tabs>
              <w:ind w:firstLine="0"/>
              <w:jc w:val="left"/>
              <w:cnfStyle w:val="000000100000" w:firstRow="0" w:lastRow="0" w:firstColumn="0" w:lastColumn="0" w:oddVBand="0" w:evenVBand="0" w:oddHBand="1" w:evenHBand="0" w:firstRowFirstColumn="0" w:firstRowLastColumn="0" w:lastRowFirstColumn="0" w:lastRowLastColumn="0"/>
              <w:rPr>
                <w:sz w:val="20"/>
              </w:rPr>
            </w:pPr>
            <w:proofErr w:type="spellStart"/>
            <w:r w:rsidRPr="00AF5161">
              <w:rPr>
                <w:sz w:val="20"/>
              </w:rPr>
              <w:t>Baños</w:t>
            </w:r>
            <w:proofErr w:type="spellEnd"/>
            <w:r w:rsidRPr="00AF5161">
              <w:rPr>
                <w:sz w:val="20"/>
              </w:rPr>
              <w:t xml:space="preserve">-Caballero et al. 2010, </w:t>
            </w:r>
            <w:proofErr w:type="spellStart"/>
            <w:r w:rsidRPr="00AF5161">
              <w:rPr>
                <w:sz w:val="20"/>
              </w:rPr>
              <w:t>Taleb</w:t>
            </w:r>
            <w:proofErr w:type="spellEnd"/>
            <w:r w:rsidRPr="00AF5161">
              <w:rPr>
                <w:sz w:val="20"/>
              </w:rPr>
              <w:t xml:space="preserve"> et al. 2010, and </w:t>
            </w:r>
            <w:proofErr w:type="spellStart"/>
            <w:r w:rsidRPr="00AF5161">
              <w:rPr>
                <w:sz w:val="20"/>
              </w:rPr>
              <w:t>Abbadi</w:t>
            </w:r>
            <w:proofErr w:type="spellEnd"/>
            <w:r w:rsidRPr="00AF5161">
              <w:rPr>
                <w:sz w:val="20"/>
              </w:rPr>
              <w:t xml:space="preserve"> and </w:t>
            </w:r>
            <w:proofErr w:type="spellStart"/>
            <w:r w:rsidRPr="00AF5161">
              <w:rPr>
                <w:sz w:val="20"/>
              </w:rPr>
              <w:t>Abbadi</w:t>
            </w:r>
            <w:proofErr w:type="spellEnd"/>
            <w:r w:rsidRPr="00AF5161">
              <w:rPr>
                <w:sz w:val="20"/>
              </w:rPr>
              <w:t xml:space="preserve"> 2013</w:t>
            </w:r>
          </w:p>
        </w:tc>
        <w:tc>
          <w:tcPr>
            <w:tcW w:w="1920" w:type="pct"/>
            <w:tcBorders>
              <w:top w:val="single" w:sz="4" w:space="0" w:color="auto"/>
              <w:left w:val="single" w:sz="4" w:space="0" w:color="auto"/>
              <w:bottom w:val="single" w:sz="4" w:space="0" w:color="auto"/>
              <w:right w:val="single" w:sz="4" w:space="0" w:color="auto"/>
            </w:tcBorders>
            <w:vAlign w:val="center"/>
          </w:tcPr>
          <w:p w14:paraId="7D451692" w14:textId="1107B1A0" w:rsidR="00DF574C" w:rsidRDefault="00AF5161" w:rsidP="00C43CAC">
            <w:pPr>
              <w:tabs>
                <w:tab w:val="left" w:pos="0"/>
              </w:tabs>
              <w:ind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Cash flow has opposite positive relationship to working capital requirements</w:t>
            </w:r>
          </w:p>
        </w:tc>
      </w:tr>
      <w:tr w:rsidR="00DF574C" w:rsidRPr="00873A54" w14:paraId="2756639B" w14:textId="77777777" w:rsidTr="00C43CAC">
        <w:trPr>
          <w:jc w:val="center"/>
        </w:trPr>
        <w:tc>
          <w:tcPr>
            <w:cnfStyle w:val="001000000000" w:firstRow="0" w:lastRow="0" w:firstColumn="1" w:lastColumn="0" w:oddVBand="0" w:evenVBand="0" w:oddHBand="0" w:evenHBand="0" w:firstRowFirstColumn="0" w:firstRowLastColumn="0" w:lastRowFirstColumn="0" w:lastRowLastColumn="0"/>
            <w:tcW w:w="1159" w:type="pct"/>
            <w:tcBorders>
              <w:top w:val="single" w:sz="4" w:space="0" w:color="auto"/>
              <w:left w:val="single" w:sz="4" w:space="0" w:color="auto"/>
              <w:right w:val="single" w:sz="4" w:space="0" w:color="auto"/>
            </w:tcBorders>
            <w:vAlign w:val="center"/>
          </w:tcPr>
          <w:p w14:paraId="673486D8" w14:textId="29525D76" w:rsidR="00DF574C" w:rsidRPr="00873A54" w:rsidRDefault="00AF5161" w:rsidP="00C43CAC">
            <w:pPr>
              <w:tabs>
                <w:tab w:val="left" w:pos="0"/>
              </w:tabs>
              <w:ind w:firstLine="0"/>
              <w:jc w:val="left"/>
              <w:rPr>
                <w:b w:val="0"/>
                <w:sz w:val="20"/>
              </w:rPr>
            </w:pPr>
            <w:r>
              <w:rPr>
                <w:b w:val="0"/>
                <w:sz w:val="20"/>
              </w:rPr>
              <w:t>Leverage</w:t>
            </w:r>
          </w:p>
        </w:tc>
        <w:tc>
          <w:tcPr>
            <w:tcW w:w="1921" w:type="pct"/>
            <w:tcBorders>
              <w:top w:val="single" w:sz="4" w:space="0" w:color="auto"/>
              <w:left w:val="single" w:sz="4" w:space="0" w:color="auto"/>
              <w:bottom w:val="single" w:sz="4" w:space="0" w:color="auto"/>
              <w:right w:val="single" w:sz="4" w:space="0" w:color="auto"/>
            </w:tcBorders>
            <w:vAlign w:val="center"/>
          </w:tcPr>
          <w:p w14:paraId="6525E7E1" w14:textId="19826783" w:rsidR="00DF574C" w:rsidRPr="00750E0B" w:rsidRDefault="00AF5161" w:rsidP="00C43CAC">
            <w:pPr>
              <w:tabs>
                <w:tab w:val="left" w:pos="0"/>
              </w:tabs>
              <w:ind w:firstLin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AF5161">
              <w:rPr>
                <w:sz w:val="20"/>
              </w:rPr>
              <w:t>Chiou</w:t>
            </w:r>
            <w:proofErr w:type="spellEnd"/>
            <w:r w:rsidRPr="00AF5161">
              <w:rPr>
                <w:sz w:val="20"/>
              </w:rPr>
              <w:t xml:space="preserve"> et al. 2006; Rahman and Nas</w:t>
            </w:r>
            <w:r>
              <w:rPr>
                <w:sz w:val="20"/>
              </w:rPr>
              <w:t>r</w:t>
            </w:r>
            <w:r w:rsidRPr="00AF5161">
              <w:rPr>
                <w:sz w:val="20"/>
              </w:rPr>
              <w:t xml:space="preserve"> 2007; </w:t>
            </w:r>
            <w:proofErr w:type="spellStart"/>
            <w:r w:rsidRPr="00AF5161">
              <w:rPr>
                <w:sz w:val="20"/>
              </w:rPr>
              <w:t>Baños</w:t>
            </w:r>
            <w:proofErr w:type="spellEnd"/>
            <w:r w:rsidRPr="00AF5161">
              <w:rPr>
                <w:sz w:val="20"/>
              </w:rPr>
              <w:t xml:space="preserve">-Caballero et al. 2010; </w:t>
            </w:r>
            <w:proofErr w:type="spellStart"/>
            <w:r w:rsidRPr="00AF5161">
              <w:rPr>
                <w:sz w:val="20"/>
              </w:rPr>
              <w:t>Taleb</w:t>
            </w:r>
            <w:proofErr w:type="spellEnd"/>
            <w:r w:rsidRPr="00AF5161">
              <w:rPr>
                <w:sz w:val="20"/>
              </w:rPr>
              <w:t xml:space="preserve"> et al.</w:t>
            </w:r>
            <w:r>
              <w:rPr>
                <w:sz w:val="20"/>
              </w:rPr>
              <w:t xml:space="preserve"> </w:t>
            </w:r>
            <w:r w:rsidRPr="00AF5161">
              <w:rPr>
                <w:sz w:val="20"/>
              </w:rPr>
              <w:t xml:space="preserve">2010 and </w:t>
            </w:r>
            <w:proofErr w:type="spellStart"/>
            <w:r w:rsidRPr="00AF5161">
              <w:rPr>
                <w:sz w:val="20"/>
              </w:rPr>
              <w:t>Abbadi</w:t>
            </w:r>
            <w:proofErr w:type="spellEnd"/>
            <w:r w:rsidRPr="00AF5161">
              <w:rPr>
                <w:sz w:val="20"/>
              </w:rPr>
              <w:t xml:space="preserve"> and </w:t>
            </w:r>
            <w:proofErr w:type="spellStart"/>
            <w:r w:rsidRPr="00AF5161">
              <w:rPr>
                <w:sz w:val="20"/>
              </w:rPr>
              <w:t>Abbadi</w:t>
            </w:r>
            <w:proofErr w:type="spellEnd"/>
            <w:r w:rsidRPr="00AF5161">
              <w:rPr>
                <w:sz w:val="20"/>
              </w:rPr>
              <w:t>, 2013</w:t>
            </w:r>
          </w:p>
        </w:tc>
        <w:tc>
          <w:tcPr>
            <w:tcW w:w="1920" w:type="pct"/>
            <w:tcBorders>
              <w:top w:val="single" w:sz="4" w:space="0" w:color="auto"/>
              <w:left w:val="single" w:sz="4" w:space="0" w:color="auto"/>
              <w:bottom w:val="single" w:sz="4" w:space="0" w:color="auto"/>
              <w:right w:val="single" w:sz="4" w:space="0" w:color="auto"/>
            </w:tcBorders>
            <w:vAlign w:val="center"/>
          </w:tcPr>
          <w:p w14:paraId="7A3D93A7" w14:textId="7DCC38B0" w:rsidR="00DF574C" w:rsidRPr="00873A54" w:rsidRDefault="00AF5161" w:rsidP="00C43CAC">
            <w:pPr>
              <w:tabs>
                <w:tab w:val="left" w:pos="0"/>
              </w:tabs>
              <w:ind w:firstLine="0"/>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Significant negative relationship between leverage and WC </w:t>
            </w:r>
          </w:p>
        </w:tc>
      </w:tr>
      <w:tr w:rsidR="00AF5161" w:rsidRPr="00873A54" w14:paraId="11FE199D" w14:textId="77777777" w:rsidTr="00C4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9" w:type="pct"/>
            <w:vMerge w:val="restart"/>
            <w:tcBorders>
              <w:left w:val="single" w:sz="4" w:space="0" w:color="auto"/>
              <w:right w:val="single" w:sz="4" w:space="0" w:color="auto"/>
            </w:tcBorders>
          </w:tcPr>
          <w:p w14:paraId="3838078D" w14:textId="630B43B6" w:rsidR="00AF5161" w:rsidRPr="00873A54" w:rsidRDefault="00AF5161" w:rsidP="00C43CAC">
            <w:pPr>
              <w:tabs>
                <w:tab w:val="left" w:pos="0"/>
              </w:tabs>
              <w:ind w:firstLine="0"/>
              <w:jc w:val="left"/>
              <w:rPr>
                <w:b w:val="0"/>
                <w:sz w:val="20"/>
              </w:rPr>
            </w:pPr>
            <w:r>
              <w:rPr>
                <w:b w:val="0"/>
                <w:sz w:val="20"/>
              </w:rPr>
              <w:t>Size</w:t>
            </w:r>
          </w:p>
        </w:tc>
        <w:tc>
          <w:tcPr>
            <w:tcW w:w="1921" w:type="pct"/>
            <w:tcBorders>
              <w:top w:val="single" w:sz="4" w:space="0" w:color="auto"/>
              <w:left w:val="single" w:sz="4" w:space="0" w:color="auto"/>
              <w:bottom w:val="single" w:sz="4" w:space="0" w:color="auto"/>
              <w:right w:val="single" w:sz="4" w:space="0" w:color="auto"/>
            </w:tcBorders>
            <w:vAlign w:val="center"/>
          </w:tcPr>
          <w:p w14:paraId="588688AF" w14:textId="32EB0C0D" w:rsidR="00AF5161" w:rsidRPr="00873A54" w:rsidRDefault="00AF5161" w:rsidP="00C43CAC">
            <w:pPr>
              <w:tabs>
                <w:tab w:val="left" w:pos="0"/>
              </w:tabs>
              <w:ind w:firstLine="0"/>
              <w:jc w:val="left"/>
              <w:cnfStyle w:val="000000100000" w:firstRow="0" w:lastRow="0" w:firstColumn="0" w:lastColumn="0" w:oddVBand="0" w:evenVBand="0" w:oddHBand="1" w:evenHBand="0" w:firstRowFirstColumn="0" w:firstRowLastColumn="0" w:lastRowFirstColumn="0" w:lastRowLastColumn="0"/>
              <w:rPr>
                <w:sz w:val="20"/>
              </w:rPr>
            </w:pPr>
            <w:proofErr w:type="spellStart"/>
            <w:r w:rsidRPr="00AF5161">
              <w:rPr>
                <w:sz w:val="20"/>
              </w:rPr>
              <w:t>Kieschnick</w:t>
            </w:r>
            <w:proofErr w:type="spellEnd"/>
            <w:r w:rsidRPr="00AF5161">
              <w:rPr>
                <w:sz w:val="20"/>
              </w:rPr>
              <w:t xml:space="preserve"> et al. 200</w:t>
            </w:r>
            <w:r>
              <w:rPr>
                <w:sz w:val="20"/>
              </w:rPr>
              <w:t>6</w:t>
            </w:r>
            <w:r w:rsidRPr="00AF5161">
              <w:rPr>
                <w:sz w:val="20"/>
              </w:rPr>
              <w:t xml:space="preserve"> and </w:t>
            </w:r>
            <w:proofErr w:type="spellStart"/>
            <w:r w:rsidRPr="00AF5161">
              <w:rPr>
                <w:sz w:val="20"/>
              </w:rPr>
              <w:t>Chiou</w:t>
            </w:r>
            <w:proofErr w:type="spellEnd"/>
            <w:r w:rsidRPr="00AF5161">
              <w:rPr>
                <w:sz w:val="20"/>
              </w:rPr>
              <w:t xml:space="preserve"> et al. 2006</w:t>
            </w:r>
          </w:p>
        </w:tc>
        <w:tc>
          <w:tcPr>
            <w:tcW w:w="1920" w:type="pct"/>
            <w:tcBorders>
              <w:top w:val="single" w:sz="4" w:space="0" w:color="auto"/>
              <w:left w:val="single" w:sz="4" w:space="0" w:color="auto"/>
              <w:bottom w:val="single" w:sz="4" w:space="0" w:color="auto"/>
              <w:right w:val="single" w:sz="4" w:space="0" w:color="auto"/>
            </w:tcBorders>
          </w:tcPr>
          <w:p w14:paraId="3C3680F5" w14:textId="05D178CC" w:rsidR="00AF5161" w:rsidRPr="00873A54" w:rsidRDefault="00AF5161" w:rsidP="00C43CAC">
            <w:pPr>
              <w:tabs>
                <w:tab w:val="left" w:pos="0"/>
              </w:tabs>
              <w:ind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Firm size implies positive relationship with WC requirements, because…</w:t>
            </w:r>
          </w:p>
        </w:tc>
      </w:tr>
      <w:tr w:rsidR="00AF5161" w:rsidRPr="00873A54" w14:paraId="5751D7B5" w14:textId="77777777" w:rsidTr="00C43CAC">
        <w:trPr>
          <w:jc w:val="center"/>
        </w:trPr>
        <w:tc>
          <w:tcPr>
            <w:cnfStyle w:val="001000000000" w:firstRow="0" w:lastRow="0" w:firstColumn="1" w:lastColumn="0" w:oddVBand="0" w:evenVBand="0" w:oddHBand="0" w:evenHBand="0" w:firstRowFirstColumn="0" w:firstRowLastColumn="0" w:lastRowFirstColumn="0" w:lastRowLastColumn="0"/>
            <w:tcW w:w="1159" w:type="pct"/>
            <w:vMerge/>
            <w:tcBorders>
              <w:left w:val="single" w:sz="4" w:space="0" w:color="auto"/>
              <w:right w:val="single" w:sz="4" w:space="0" w:color="auto"/>
            </w:tcBorders>
          </w:tcPr>
          <w:p w14:paraId="74E9B57D" w14:textId="77777777" w:rsidR="00AF5161" w:rsidRPr="00873A54" w:rsidRDefault="00AF5161" w:rsidP="00C43CAC">
            <w:pPr>
              <w:tabs>
                <w:tab w:val="left" w:pos="0"/>
              </w:tabs>
              <w:ind w:firstLine="0"/>
              <w:jc w:val="left"/>
              <w:rPr>
                <w:b w:val="0"/>
                <w:sz w:val="20"/>
              </w:rPr>
            </w:pPr>
          </w:p>
        </w:tc>
        <w:tc>
          <w:tcPr>
            <w:tcW w:w="1921" w:type="pct"/>
            <w:tcBorders>
              <w:top w:val="single" w:sz="4" w:space="0" w:color="auto"/>
              <w:left w:val="single" w:sz="4" w:space="0" w:color="auto"/>
              <w:bottom w:val="single" w:sz="4" w:space="0" w:color="auto"/>
              <w:right w:val="single" w:sz="4" w:space="0" w:color="auto"/>
            </w:tcBorders>
            <w:vAlign w:val="center"/>
          </w:tcPr>
          <w:p w14:paraId="44E460D0" w14:textId="158E85A1" w:rsidR="00AF5161" w:rsidRPr="00873A54" w:rsidRDefault="00AF5161" w:rsidP="00C43CAC">
            <w:pPr>
              <w:tabs>
                <w:tab w:val="left" w:pos="0"/>
              </w:tabs>
              <w:ind w:firstLine="0"/>
              <w:jc w:val="left"/>
              <w:cnfStyle w:val="000000000000" w:firstRow="0" w:lastRow="0" w:firstColumn="0" w:lastColumn="0" w:oddVBand="0" w:evenVBand="0" w:oddHBand="0" w:evenHBand="0" w:firstRowFirstColumn="0" w:firstRowLastColumn="0" w:lastRowFirstColumn="0" w:lastRowLastColumn="0"/>
              <w:rPr>
                <w:sz w:val="20"/>
              </w:rPr>
            </w:pPr>
            <w:r w:rsidRPr="00AF5161">
              <w:rPr>
                <w:sz w:val="20"/>
              </w:rPr>
              <w:t>Jordan et al. 1998; Berger et al. 2001</w:t>
            </w:r>
          </w:p>
        </w:tc>
        <w:tc>
          <w:tcPr>
            <w:tcW w:w="1920" w:type="pct"/>
            <w:tcBorders>
              <w:top w:val="single" w:sz="4" w:space="0" w:color="auto"/>
              <w:left w:val="single" w:sz="4" w:space="0" w:color="auto"/>
              <w:bottom w:val="single" w:sz="4" w:space="0" w:color="auto"/>
              <w:right w:val="single" w:sz="4" w:space="0" w:color="auto"/>
            </w:tcBorders>
          </w:tcPr>
          <w:p w14:paraId="0862F4B1" w14:textId="6AF18BF2" w:rsidR="00AF5161" w:rsidRPr="00873A54" w:rsidRDefault="00AF5161" w:rsidP="00C43CAC">
            <w:pPr>
              <w:tabs>
                <w:tab w:val="left" w:pos="0"/>
              </w:tabs>
              <w:ind w:firstLine="0"/>
              <w:jc w:val="left"/>
              <w:cnfStyle w:val="000000000000" w:firstRow="0" w:lastRow="0" w:firstColumn="0" w:lastColumn="0" w:oddVBand="0" w:evenVBand="0" w:oddHBand="0" w:evenHBand="0" w:firstRowFirstColumn="0" w:firstRowLastColumn="0" w:lastRowFirstColumn="0" w:lastRowLastColumn="0"/>
              <w:rPr>
                <w:sz w:val="20"/>
              </w:rPr>
            </w:pPr>
            <w:r>
              <w:rPr>
                <w:sz w:val="20"/>
              </w:rPr>
              <w:t>Bigger firms have lower financing costs</w:t>
            </w:r>
          </w:p>
        </w:tc>
      </w:tr>
      <w:tr w:rsidR="00AF5161" w:rsidRPr="00873A54" w14:paraId="23BCAA4B" w14:textId="77777777" w:rsidTr="00C4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9" w:type="pct"/>
            <w:tcBorders>
              <w:left w:val="single" w:sz="4" w:space="0" w:color="auto"/>
              <w:right w:val="single" w:sz="4" w:space="0" w:color="auto"/>
            </w:tcBorders>
          </w:tcPr>
          <w:p w14:paraId="04F2FCEF" w14:textId="777F6FE4" w:rsidR="00AF5161" w:rsidRPr="00873A54" w:rsidRDefault="00AF5161" w:rsidP="00C43CAC">
            <w:pPr>
              <w:tabs>
                <w:tab w:val="left" w:pos="0"/>
              </w:tabs>
              <w:ind w:firstLine="0"/>
              <w:jc w:val="left"/>
              <w:rPr>
                <w:b w:val="0"/>
                <w:sz w:val="20"/>
              </w:rPr>
            </w:pPr>
            <w:r>
              <w:rPr>
                <w:b w:val="0"/>
                <w:sz w:val="20"/>
              </w:rPr>
              <w:t>Operating cycle</w:t>
            </w:r>
          </w:p>
        </w:tc>
        <w:tc>
          <w:tcPr>
            <w:tcW w:w="1921" w:type="pct"/>
            <w:tcBorders>
              <w:top w:val="single" w:sz="4" w:space="0" w:color="auto"/>
              <w:left w:val="single" w:sz="4" w:space="0" w:color="auto"/>
              <w:bottom w:val="single" w:sz="4" w:space="0" w:color="auto"/>
              <w:right w:val="single" w:sz="4" w:space="0" w:color="auto"/>
            </w:tcBorders>
            <w:vAlign w:val="center"/>
          </w:tcPr>
          <w:p w14:paraId="78DE06C8" w14:textId="033C10AA" w:rsidR="00AF5161" w:rsidRPr="00873A54" w:rsidRDefault="00AF5161" w:rsidP="00C43CAC">
            <w:pPr>
              <w:tabs>
                <w:tab w:val="left" w:pos="0"/>
              </w:tabs>
              <w:ind w:firstLine="0"/>
              <w:jc w:val="left"/>
              <w:cnfStyle w:val="000000100000" w:firstRow="0" w:lastRow="0" w:firstColumn="0" w:lastColumn="0" w:oddVBand="0" w:evenVBand="0" w:oddHBand="1" w:evenHBand="0" w:firstRowFirstColumn="0" w:firstRowLastColumn="0" w:lastRowFirstColumn="0" w:lastRowLastColumn="0"/>
              <w:rPr>
                <w:sz w:val="20"/>
              </w:rPr>
            </w:pPr>
            <w:r w:rsidRPr="00AF5161">
              <w:rPr>
                <w:sz w:val="20"/>
              </w:rPr>
              <w:t xml:space="preserve">Nazir and </w:t>
            </w:r>
            <w:proofErr w:type="spellStart"/>
            <w:r w:rsidRPr="00AF5161">
              <w:rPr>
                <w:sz w:val="20"/>
              </w:rPr>
              <w:t>Afza</w:t>
            </w:r>
            <w:proofErr w:type="spellEnd"/>
            <w:r w:rsidRPr="00AF5161">
              <w:rPr>
                <w:sz w:val="20"/>
              </w:rPr>
              <w:t>, 2008</w:t>
            </w:r>
          </w:p>
        </w:tc>
        <w:tc>
          <w:tcPr>
            <w:tcW w:w="1920" w:type="pct"/>
            <w:tcBorders>
              <w:top w:val="single" w:sz="4" w:space="0" w:color="auto"/>
              <w:left w:val="single" w:sz="4" w:space="0" w:color="auto"/>
              <w:bottom w:val="single" w:sz="4" w:space="0" w:color="auto"/>
              <w:right w:val="single" w:sz="4" w:space="0" w:color="auto"/>
            </w:tcBorders>
          </w:tcPr>
          <w:p w14:paraId="78B71C11" w14:textId="09EA9EBC" w:rsidR="00AF5161" w:rsidRPr="00873A54" w:rsidRDefault="00AF5161" w:rsidP="00C43CAC">
            <w:pPr>
              <w:tabs>
                <w:tab w:val="left" w:pos="0"/>
              </w:tabs>
              <w:ind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 xml:space="preserve">Positive relationship between </w:t>
            </w:r>
            <w:r w:rsidR="0067330F">
              <w:rPr>
                <w:sz w:val="20"/>
              </w:rPr>
              <w:t>OC and WC</w:t>
            </w:r>
          </w:p>
        </w:tc>
      </w:tr>
      <w:tr w:rsidR="00AF5161" w:rsidRPr="00873A54" w14:paraId="4DDF0375" w14:textId="77777777" w:rsidTr="00542D93">
        <w:trPr>
          <w:jc w:val="center"/>
        </w:trPr>
        <w:tc>
          <w:tcPr>
            <w:cnfStyle w:val="001000000000" w:firstRow="0" w:lastRow="0" w:firstColumn="1" w:lastColumn="0" w:oddVBand="0" w:evenVBand="0" w:oddHBand="0" w:evenHBand="0" w:firstRowFirstColumn="0" w:firstRowLastColumn="0" w:lastRowFirstColumn="0" w:lastRowLastColumn="0"/>
            <w:tcW w:w="1159" w:type="pct"/>
            <w:tcBorders>
              <w:left w:val="single" w:sz="4" w:space="0" w:color="auto"/>
              <w:right w:val="single" w:sz="4" w:space="0" w:color="auto"/>
            </w:tcBorders>
            <w:vAlign w:val="center"/>
          </w:tcPr>
          <w:p w14:paraId="7E0E36C2" w14:textId="30DCE60C" w:rsidR="00AF5161" w:rsidRPr="00873A54" w:rsidRDefault="0067330F" w:rsidP="00542D93">
            <w:pPr>
              <w:tabs>
                <w:tab w:val="left" w:pos="0"/>
              </w:tabs>
              <w:ind w:firstLine="0"/>
              <w:jc w:val="left"/>
              <w:rPr>
                <w:b w:val="0"/>
                <w:sz w:val="20"/>
              </w:rPr>
            </w:pPr>
            <w:r>
              <w:rPr>
                <w:b w:val="0"/>
                <w:sz w:val="20"/>
              </w:rPr>
              <w:t>Return</w:t>
            </w:r>
          </w:p>
        </w:tc>
        <w:tc>
          <w:tcPr>
            <w:tcW w:w="1921" w:type="pct"/>
            <w:tcBorders>
              <w:top w:val="single" w:sz="4" w:space="0" w:color="auto"/>
              <w:left w:val="single" w:sz="4" w:space="0" w:color="auto"/>
              <w:bottom w:val="single" w:sz="4" w:space="0" w:color="auto"/>
              <w:right w:val="single" w:sz="4" w:space="0" w:color="auto"/>
            </w:tcBorders>
            <w:vAlign w:val="center"/>
          </w:tcPr>
          <w:p w14:paraId="0257993B" w14:textId="6595B50B" w:rsidR="00AF5161" w:rsidRPr="00873A54" w:rsidRDefault="0067330F" w:rsidP="00542D93">
            <w:pPr>
              <w:tabs>
                <w:tab w:val="left" w:pos="0"/>
              </w:tabs>
              <w:ind w:firstLin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67330F">
              <w:rPr>
                <w:sz w:val="20"/>
              </w:rPr>
              <w:t>Chiou</w:t>
            </w:r>
            <w:proofErr w:type="spellEnd"/>
            <w:r w:rsidRPr="0067330F">
              <w:rPr>
                <w:sz w:val="20"/>
              </w:rPr>
              <w:t xml:space="preserve"> et al. 2006 and </w:t>
            </w:r>
            <w:proofErr w:type="spellStart"/>
            <w:r w:rsidRPr="0067330F">
              <w:rPr>
                <w:sz w:val="20"/>
              </w:rPr>
              <w:t>Baños</w:t>
            </w:r>
            <w:proofErr w:type="spellEnd"/>
            <w:r w:rsidRPr="0067330F">
              <w:rPr>
                <w:sz w:val="20"/>
              </w:rPr>
              <w:t>-Caballero et al. 2010</w:t>
            </w:r>
          </w:p>
        </w:tc>
        <w:tc>
          <w:tcPr>
            <w:tcW w:w="1920" w:type="pct"/>
            <w:tcBorders>
              <w:top w:val="single" w:sz="4" w:space="0" w:color="auto"/>
              <w:left w:val="single" w:sz="4" w:space="0" w:color="auto"/>
              <w:bottom w:val="single" w:sz="4" w:space="0" w:color="auto"/>
              <w:right w:val="single" w:sz="4" w:space="0" w:color="auto"/>
            </w:tcBorders>
            <w:vAlign w:val="center"/>
          </w:tcPr>
          <w:p w14:paraId="759E1D82" w14:textId="69566D25" w:rsidR="00AF5161" w:rsidRPr="00873A54" w:rsidRDefault="00542D93" w:rsidP="00542D93">
            <w:pPr>
              <w:tabs>
                <w:tab w:val="left" w:pos="0"/>
              </w:tabs>
              <w:ind w:firstLine="0"/>
              <w:jc w:val="left"/>
              <w:cnfStyle w:val="000000000000" w:firstRow="0" w:lastRow="0" w:firstColumn="0" w:lastColumn="0" w:oddVBand="0" w:evenVBand="0" w:oddHBand="0" w:evenHBand="0" w:firstRowFirstColumn="0" w:firstRowLastColumn="0" w:lastRowFirstColumn="0" w:lastRowLastColumn="0"/>
              <w:rPr>
                <w:sz w:val="20"/>
              </w:rPr>
            </w:pPr>
            <w:r>
              <w:rPr>
                <w:sz w:val="20"/>
              </w:rPr>
              <w:t>ROA and WC have negative relationship</w:t>
            </w:r>
          </w:p>
        </w:tc>
      </w:tr>
      <w:tr w:rsidR="00AF5161" w:rsidRPr="00873A54" w14:paraId="78761319" w14:textId="77777777" w:rsidTr="00C4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9" w:type="pct"/>
            <w:tcBorders>
              <w:left w:val="single" w:sz="4" w:space="0" w:color="auto"/>
              <w:right w:val="single" w:sz="4" w:space="0" w:color="auto"/>
            </w:tcBorders>
          </w:tcPr>
          <w:p w14:paraId="3BC3A2EF" w14:textId="2B0C2EE7" w:rsidR="00AF5161" w:rsidRPr="00873A54" w:rsidRDefault="00542D93" w:rsidP="00C43CAC">
            <w:pPr>
              <w:tabs>
                <w:tab w:val="left" w:pos="0"/>
              </w:tabs>
              <w:ind w:firstLine="0"/>
              <w:jc w:val="left"/>
              <w:rPr>
                <w:b w:val="0"/>
                <w:sz w:val="20"/>
              </w:rPr>
            </w:pPr>
            <w:r>
              <w:rPr>
                <w:b w:val="0"/>
                <w:sz w:val="20"/>
              </w:rPr>
              <w:t>Capital expenditures</w:t>
            </w:r>
          </w:p>
        </w:tc>
        <w:tc>
          <w:tcPr>
            <w:tcW w:w="1921" w:type="pct"/>
            <w:tcBorders>
              <w:top w:val="single" w:sz="4" w:space="0" w:color="auto"/>
              <w:left w:val="single" w:sz="4" w:space="0" w:color="auto"/>
              <w:bottom w:val="single" w:sz="4" w:space="0" w:color="auto"/>
              <w:right w:val="single" w:sz="4" w:space="0" w:color="auto"/>
            </w:tcBorders>
            <w:vAlign w:val="center"/>
          </w:tcPr>
          <w:p w14:paraId="5B4E8842" w14:textId="51EF5F9B" w:rsidR="00AF5161" w:rsidRPr="00873A54" w:rsidRDefault="00542D93" w:rsidP="00C43CAC">
            <w:pPr>
              <w:tabs>
                <w:tab w:val="left" w:pos="0"/>
              </w:tabs>
              <w:ind w:firstLine="0"/>
              <w:jc w:val="left"/>
              <w:cnfStyle w:val="000000100000" w:firstRow="0" w:lastRow="0" w:firstColumn="0" w:lastColumn="0" w:oddVBand="0" w:evenVBand="0" w:oddHBand="1" w:evenHBand="0" w:firstRowFirstColumn="0" w:firstRowLastColumn="0" w:lastRowFirstColumn="0" w:lastRowLastColumn="0"/>
              <w:rPr>
                <w:sz w:val="20"/>
              </w:rPr>
            </w:pPr>
            <w:proofErr w:type="spellStart"/>
            <w:r w:rsidRPr="00542D93">
              <w:rPr>
                <w:sz w:val="20"/>
              </w:rPr>
              <w:t>Appuhami</w:t>
            </w:r>
            <w:proofErr w:type="spellEnd"/>
            <w:r w:rsidRPr="00542D93">
              <w:rPr>
                <w:sz w:val="20"/>
              </w:rPr>
              <w:t>, 2008</w:t>
            </w:r>
          </w:p>
        </w:tc>
        <w:tc>
          <w:tcPr>
            <w:tcW w:w="1920" w:type="pct"/>
            <w:tcBorders>
              <w:top w:val="single" w:sz="4" w:space="0" w:color="auto"/>
              <w:left w:val="single" w:sz="4" w:space="0" w:color="auto"/>
              <w:bottom w:val="single" w:sz="4" w:space="0" w:color="auto"/>
              <w:right w:val="single" w:sz="4" w:space="0" w:color="auto"/>
            </w:tcBorders>
          </w:tcPr>
          <w:p w14:paraId="6ECE3938" w14:textId="01595635" w:rsidR="00AF5161" w:rsidRPr="00873A54" w:rsidRDefault="00542D93" w:rsidP="00C43CAC">
            <w:pPr>
              <w:tabs>
                <w:tab w:val="left" w:pos="0"/>
              </w:tabs>
              <w:ind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Strong impact WC management</w:t>
            </w:r>
          </w:p>
        </w:tc>
      </w:tr>
    </w:tbl>
    <w:p w14:paraId="3848C6B9" w14:textId="77777777" w:rsidR="00DF574C" w:rsidRPr="00716DE4" w:rsidRDefault="00DF574C" w:rsidP="00DF574C">
      <w:pPr>
        <w:pStyle w:val="a0"/>
        <w:numPr>
          <w:ilvl w:val="0"/>
          <w:numId w:val="0"/>
        </w:numPr>
        <w:ind w:left="7230"/>
        <w:jc w:val="center"/>
      </w:pPr>
    </w:p>
    <w:p w14:paraId="39557240" w14:textId="012F386F" w:rsidR="00EF4D83" w:rsidRDefault="003B1D4F" w:rsidP="004D2A38">
      <w:pPr>
        <w:tabs>
          <w:tab w:val="left" w:pos="0"/>
        </w:tabs>
      </w:pPr>
      <w:r>
        <w:t xml:space="preserve">The problem of working capital management has been known for very long time. It is now obvious that the level of working capital has a direct impact on the firm’s value and profitability. It </w:t>
      </w:r>
      <w:r>
        <w:lastRenderedPageBreak/>
        <w:t xml:space="preserve">can even get company into serious financial troubles when it is managed poorly. </w:t>
      </w:r>
      <w:r w:rsidR="00B05FDA">
        <w:t xml:space="preserve">Thus, working capital management still highly matters and should be included into firm’s management agenda. </w:t>
      </w:r>
      <w:r w:rsidR="00A22E7A">
        <w:t>However,</w:t>
      </w:r>
      <w:r>
        <w:t xml:space="preserve"> the </w:t>
      </w:r>
      <w:r w:rsidR="00B05FDA">
        <w:t>structure</w:t>
      </w:r>
      <w:r>
        <w:t xml:space="preserve"> – value relationship is ambiguous and should be treated accordingly to a certain firm and economic situation. It is also very important not to </w:t>
      </w:r>
      <w:r w:rsidR="00A22E7A">
        <w:t xml:space="preserve">focus on the working capital meaning only as the difference between current assets and liabilities. It is much more complicated and requires a closer look. </w:t>
      </w:r>
    </w:p>
    <w:p w14:paraId="7BE422C8" w14:textId="750F5286" w:rsidR="00D20B80" w:rsidRDefault="00D20B80" w:rsidP="004D2A38">
      <w:pPr>
        <w:pStyle w:val="2"/>
        <w:tabs>
          <w:tab w:val="left" w:pos="0"/>
        </w:tabs>
        <w:ind w:left="578" w:hanging="578"/>
      </w:pPr>
      <w:bookmarkStart w:id="15" w:name="_Toc514964132"/>
      <w:r>
        <w:t>Research gap</w:t>
      </w:r>
      <w:bookmarkEnd w:id="15"/>
    </w:p>
    <w:p w14:paraId="3C43398B" w14:textId="77777777" w:rsidR="0040118E" w:rsidRDefault="0040118E" w:rsidP="0040118E">
      <w:pPr>
        <w:tabs>
          <w:tab w:val="left" w:pos="0"/>
        </w:tabs>
      </w:pPr>
      <w:r>
        <w:t>The theory of the M&amp;A transactions is widely spoken all over the globe. A lot factors already proven to be significant in such transactions. Many suggestions and recommendations already developed by the researches. Nevertheless, there is no direct evidence that the structure of the working capital influences company performance in such transactions. Most of the factors attributable to deal characteristics, such as: deal size, type of financing, industry similarity and so on. There are also operational and economic-wide factors that were already studied thoroughly. Yet there is now clear evidence about the relationship between working capital and company performance in mergers and acquisitions.</w:t>
      </w:r>
    </w:p>
    <w:p w14:paraId="5EB10CB5" w14:textId="01AB4189" w:rsidR="00553B11" w:rsidRPr="00D20B80" w:rsidRDefault="00553B11" w:rsidP="004D2A38">
      <w:pPr>
        <w:tabs>
          <w:tab w:val="left" w:pos="0"/>
        </w:tabs>
      </w:pPr>
      <w:r>
        <w:t xml:space="preserve">However, the relationship between working capital structure and performance of the companies engaged into M&amp;A activity is still niggardly studied. There are no solid studies that distinguish factors that influence the relationships during M&amp;A transactions. Beside this topic becomes much more urgent, if we take into account recent M&amp;A activity in the world and steadily developing M&amp;A market in the Russian Federation. On the other hand, there is always a growing threat of unsuccessful mergers or acquisitions due to innumerable complications that are involved into such transactions. </w:t>
      </w:r>
      <w:r w:rsidR="00DE1DF2">
        <w:t xml:space="preserve">According to </w:t>
      </w:r>
      <w:r w:rsidR="00A80189">
        <w:t>statistics,</w:t>
      </w:r>
      <w:r w:rsidR="00DE1DF2">
        <w:t xml:space="preserve"> there are less deals that become valuable for the company and bring additional value to the stakeholders than the number of unsuccessful outcomes. This makes the </w:t>
      </w:r>
      <w:r w:rsidR="0028712B">
        <w:t>necessity of</w:t>
      </w:r>
      <w:r w:rsidR="00DE1DF2">
        <w:t xml:space="preserve"> a close</w:t>
      </w:r>
      <w:r w:rsidR="0040118E">
        <w:t>r</w:t>
      </w:r>
      <w:r w:rsidR="00DE1DF2">
        <w:t xml:space="preserve"> study on the theme of working capital management in M&amp;A practice.</w:t>
      </w:r>
    </w:p>
    <w:p w14:paraId="68C4A9D1" w14:textId="77777777" w:rsidR="009D1C2B" w:rsidRDefault="009D1C2B" w:rsidP="004D2A38">
      <w:pPr>
        <w:tabs>
          <w:tab w:val="left" w:pos="0"/>
        </w:tabs>
        <w:spacing w:after="160" w:line="259" w:lineRule="auto"/>
        <w:ind w:firstLine="0"/>
        <w:contextualSpacing w:val="0"/>
        <w:jc w:val="left"/>
        <w:rPr>
          <w:rFonts w:eastAsiaTheme="majorEastAsia" w:cstheme="majorBidi"/>
          <w:b/>
          <w:sz w:val="28"/>
          <w:szCs w:val="32"/>
        </w:rPr>
      </w:pPr>
      <w:r>
        <w:br w:type="page"/>
      </w:r>
    </w:p>
    <w:p w14:paraId="35B17690" w14:textId="48A122E6" w:rsidR="00F7052C" w:rsidRPr="00E346F5" w:rsidRDefault="00F7052C" w:rsidP="004D2A38">
      <w:pPr>
        <w:pStyle w:val="1"/>
        <w:tabs>
          <w:tab w:val="left" w:pos="0"/>
        </w:tabs>
      </w:pPr>
      <w:bookmarkStart w:id="16" w:name="_Toc514964133"/>
      <w:r w:rsidRPr="00E346F5">
        <w:lastRenderedPageBreak/>
        <w:t>Chapter 2. Research methodology</w:t>
      </w:r>
      <w:bookmarkEnd w:id="16"/>
    </w:p>
    <w:p w14:paraId="53D0739D" w14:textId="77777777" w:rsidR="00EC6B12" w:rsidRDefault="00EC6B12" w:rsidP="004D2A38">
      <w:pPr>
        <w:pStyle w:val="2"/>
        <w:tabs>
          <w:tab w:val="left" w:pos="0"/>
        </w:tabs>
      </w:pPr>
      <w:bookmarkStart w:id="17" w:name="_Toc514964134"/>
      <w:r>
        <w:t>Data summary</w:t>
      </w:r>
      <w:bookmarkEnd w:id="17"/>
      <w:r>
        <w:t xml:space="preserve"> </w:t>
      </w:r>
    </w:p>
    <w:p w14:paraId="28A2B1D4" w14:textId="3C7ED8F9" w:rsidR="001D140F" w:rsidRDefault="001D140F" w:rsidP="004D2A38">
      <w:pPr>
        <w:tabs>
          <w:tab w:val="left" w:pos="0"/>
        </w:tabs>
      </w:pPr>
      <w:r>
        <w:t xml:space="preserve">The main research objective of this paper is to define the relationship between working capital structure and the long-run performance in mergers and acquisitions transactions. In order to do that several steps were done. First of all, as the research field oil &amp; gas industry was chosen, because for the recent years it was one of the most active industry in terms of the number and value of mergers and acquisitions. </w:t>
      </w:r>
      <w:r w:rsidR="0067472C">
        <w:t>But what is more important is that this industry remains dominant in Russian Federation with the market share of 27.5% - twice higher than the second largest industry – Banking and Insurance (KPMG, 2018). Secondly</w:t>
      </w:r>
      <w:r w:rsidR="00B30DC9" w:rsidRPr="00B30DC9">
        <w:t xml:space="preserve">, transactions were selected by a set of necessary criteria, representing </w:t>
      </w:r>
      <w:r w:rsidR="00B30DC9">
        <w:t xml:space="preserve">subsequently </w:t>
      </w:r>
      <w:r w:rsidR="00B30DC9" w:rsidRPr="00B30DC9">
        <w:t>a set of 129 companies</w:t>
      </w:r>
      <w:r w:rsidR="00B30DC9">
        <w:t xml:space="preserve"> </w:t>
      </w:r>
      <w:r w:rsidR="00873A54">
        <w:t xml:space="preserve">from </w:t>
      </w:r>
      <w:r w:rsidR="00B30DC9">
        <w:t xml:space="preserve">all over the world. Further the necessary regression model was built, and research hypothesis were tested. </w:t>
      </w:r>
    </w:p>
    <w:p w14:paraId="3A33A8FE" w14:textId="7703B0FA" w:rsidR="00971B8F" w:rsidRDefault="0074297A" w:rsidP="004D2A38">
      <w:pPr>
        <w:tabs>
          <w:tab w:val="left" w:pos="0"/>
        </w:tabs>
        <w:spacing w:after="0"/>
      </w:pPr>
      <w:r>
        <w:t>Data collection was held in the Bureau van Dijk system. Initially, 250 deals with the highest deal values based on the pre-defined criteria, were chosen (</w:t>
      </w:r>
      <w:r w:rsidR="0031101A">
        <w:fldChar w:fldCharType="begin"/>
      </w:r>
      <w:r w:rsidR="0031101A">
        <w:instrText xml:space="preserve"> REF _Ref513051339 \r \h </w:instrText>
      </w:r>
      <w:r w:rsidR="0031101A">
        <w:fldChar w:fldCharType="separate"/>
      </w:r>
      <w:r w:rsidR="00154E78">
        <w:t>Table 4</w:t>
      </w:r>
      <w:r w:rsidR="0031101A">
        <w:fldChar w:fldCharType="end"/>
      </w:r>
      <w:r>
        <w:fldChar w:fldCharType="begin"/>
      </w:r>
      <w:r>
        <w:instrText xml:space="preserve"> TA \l "</w:instrText>
      </w:r>
      <w:r w:rsidRPr="00102D85">
        <w:instrText>1</w:instrText>
      </w:r>
      <w:r>
        <w:instrText xml:space="preserve">" \s "1" \c 1 </w:instrText>
      </w:r>
      <w:r>
        <w:fldChar w:fldCharType="end"/>
      </w:r>
      <w:r>
        <w:t>).</w:t>
      </w:r>
      <w:r w:rsidR="002B0F06">
        <w:t xml:space="preserve"> This research will be focused on the acquirer returns because of the two reasons. Firstly, it is impossible to demerge operations of the combined firms and analyze returns and performance separately. Secondly, most of the M&amp;A targets simply become unlisted right after the transactions and are already included in the share prices of its acquirer. </w:t>
      </w:r>
      <w:r w:rsidR="00416EB3">
        <w:t>T</w:t>
      </w:r>
      <w:r w:rsidR="00147F8F">
        <w:t xml:space="preserve">he </w:t>
      </w:r>
      <w:r w:rsidR="002B0F06">
        <w:t xml:space="preserve">time period </w:t>
      </w:r>
      <w:r w:rsidR="00147F8F">
        <w:t xml:space="preserve">of the research </w:t>
      </w:r>
      <w:r w:rsidR="00416EB3">
        <w:t>is</w:t>
      </w:r>
      <w:r w:rsidR="002B0F06">
        <w:t xml:space="preserve"> between 2009 and 2012</w:t>
      </w:r>
      <w:r w:rsidR="00147F8F">
        <w:t>,</w:t>
      </w:r>
      <w:r w:rsidR="002B0F06">
        <w:t xml:space="preserve"> because this research is aimed at measuring long-run performance. </w:t>
      </w:r>
      <w:r w:rsidR="00147F8F">
        <w:t>Hence</w:t>
      </w:r>
      <w:r w:rsidR="002B0F06">
        <w:t xml:space="preserve"> at least 5 years of operations since the transaction should be included in the report and that is why it is impossible to analyze deals after 2012 year. </w:t>
      </w:r>
      <w:r w:rsidR="002B0F06" w:rsidRPr="002B0F06">
        <w:t xml:space="preserve">The </w:t>
      </w:r>
      <w:r w:rsidR="00416EB3">
        <w:t>deal value threshold of $10 million</w:t>
      </w:r>
      <w:r w:rsidR="002B0F06" w:rsidRPr="002B0F06">
        <w:t xml:space="preserve"> w</w:t>
      </w:r>
      <w:r w:rsidR="00416EB3">
        <w:t>as</w:t>
      </w:r>
      <w:r w:rsidR="002B0F06" w:rsidRPr="002B0F06">
        <w:t xml:space="preserve"> selected on the basis that small transactions and, accordingly, the small companies behind these transactions would be unrepresentative for subsequent research and could distort results, since the processes of </w:t>
      </w:r>
      <w:r w:rsidR="00207C4C">
        <w:t>capital</w:t>
      </w:r>
      <w:r w:rsidR="002B0F06" w:rsidRPr="002B0F06">
        <w:t xml:space="preserve"> management, the motives of mergers and the performance of such companies differ from </w:t>
      </w:r>
      <w:r w:rsidR="00207C4C">
        <w:t>bigger companies</w:t>
      </w:r>
      <w:r w:rsidR="00147F8F">
        <w:t xml:space="preserve"> and because the preposition of comparable results across all the data should be always followed.</w:t>
      </w:r>
    </w:p>
    <w:p w14:paraId="05B7C4A1" w14:textId="23543B7A" w:rsidR="0074297A" w:rsidRPr="00C80AC9" w:rsidRDefault="0074297A" w:rsidP="00E249F5">
      <w:pPr>
        <w:pStyle w:val="a0"/>
        <w:tabs>
          <w:tab w:val="left" w:pos="0"/>
        </w:tabs>
        <w:ind w:left="0"/>
      </w:pPr>
      <w:bookmarkStart w:id="18" w:name="_Ref513051339"/>
      <w:r w:rsidRPr="00C80AC9">
        <w:t>Data collection criteria</w:t>
      </w:r>
      <w:bookmarkEnd w:id="18"/>
    </w:p>
    <w:tbl>
      <w:tblPr>
        <w:tblStyle w:val="22"/>
        <w:tblW w:w="5000" w:type="pct"/>
        <w:tblLook w:val="04A0" w:firstRow="1" w:lastRow="0" w:firstColumn="1" w:lastColumn="0" w:noHBand="0" w:noVBand="1"/>
      </w:tblPr>
      <w:tblGrid>
        <w:gridCol w:w="642"/>
        <w:gridCol w:w="3261"/>
        <w:gridCol w:w="5786"/>
      </w:tblGrid>
      <w:tr w:rsidR="0074297A" w14:paraId="1B6AABFA" w14:textId="77777777" w:rsidTr="001515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shd w:val="clear" w:color="auto" w:fill="auto"/>
          </w:tcPr>
          <w:p w14:paraId="3375CE18" w14:textId="1074BB63" w:rsidR="0074297A" w:rsidRPr="00873A54" w:rsidRDefault="0074297A" w:rsidP="004D2A38">
            <w:pPr>
              <w:tabs>
                <w:tab w:val="left" w:pos="0"/>
              </w:tabs>
              <w:ind w:firstLine="0"/>
              <w:jc w:val="left"/>
              <w:rPr>
                <w:sz w:val="20"/>
              </w:rPr>
            </w:pPr>
            <w:r w:rsidRPr="00873A54">
              <w:rPr>
                <w:sz w:val="20"/>
              </w:rPr>
              <w:t>#</w:t>
            </w:r>
          </w:p>
        </w:tc>
        <w:tc>
          <w:tcPr>
            <w:tcW w:w="1683" w:type="pct"/>
            <w:shd w:val="clear" w:color="auto" w:fill="auto"/>
          </w:tcPr>
          <w:p w14:paraId="49703C58" w14:textId="42B7291F" w:rsidR="0074297A" w:rsidRPr="00873A54" w:rsidRDefault="0074297A" w:rsidP="004D2A38">
            <w:pPr>
              <w:tabs>
                <w:tab w:val="left" w:pos="0"/>
              </w:tabs>
              <w:ind w:firstLine="0"/>
              <w:jc w:val="left"/>
              <w:cnfStyle w:val="100000000000" w:firstRow="1" w:lastRow="0" w:firstColumn="0" w:lastColumn="0" w:oddVBand="0" w:evenVBand="0" w:oddHBand="0" w:evenHBand="0" w:firstRowFirstColumn="0" w:firstRowLastColumn="0" w:lastRowFirstColumn="0" w:lastRowLastColumn="0"/>
              <w:rPr>
                <w:sz w:val="20"/>
              </w:rPr>
            </w:pPr>
            <w:r w:rsidRPr="00873A54">
              <w:rPr>
                <w:sz w:val="20"/>
              </w:rPr>
              <w:t>Criteria</w:t>
            </w:r>
          </w:p>
        </w:tc>
        <w:tc>
          <w:tcPr>
            <w:tcW w:w="2986" w:type="pct"/>
            <w:shd w:val="clear" w:color="auto" w:fill="auto"/>
          </w:tcPr>
          <w:p w14:paraId="71C7DCB3" w14:textId="213AD3EB" w:rsidR="0074297A" w:rsidRPr="00873A54" w:rsidRDefault="0074297A" w:rsidP="004D2A38">
            <w:pPr>
              <w:tabs>
                <w:tab w:val="left" w:pos="0"/>
              </w:tabs>
              <w:ind w:firstLine="0"/>
              <w:jc w:val="left"/>
              <w:cnfStyle w:val="100000000000" w:firstRow="1" w:lastRow="0" w:firstColumn="0" w:lastColumn="0" w:oddVBand="0" w:evenVBand="0" w:oddHBand="0" w:evenHBand="0" w:firstRowFirstColumn="0" w:firstRowLastColumn="0" w:lastRowFirstColumn="0" w:lastRowLastColumn="0"/>
              <w:rPr>
                <w:sz w:val="20"/>
              </w:rPr>
            </w:pPr>
            <w:r w:rsidRPr="00873A54">
              <w:rPr>
                <w:sz w:val="20"/>
              </w:rPr>
              <w:t>Value</w:t>
            </w:r>
          </w:p>
        </w:tc>
      </w:tr>
      <w:tr w:rsidR="0074297A" w14:paraId="616B9570" w14:textId="77777777" w:rsidTr="00382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Pr>
          <w:p w14:paraId="66544D7D" w14:textId="243F0C46" w:rsidR="0074297A" w:rsidRPr="00873A54" w:rsidRDefault="0074297A" w:rsidP="004D2A38">
            <w:pPr>
              <w:tabs>
                <w:tab w:val="left" w:pos="0"/>
              </w:tabs>
              <w:ind w:firstLine="0"/>
              <w:rPr>
                <w:b w:val="0"/>
                <w:sz w:val="20"/>
              </w:rPr>
            </w:pPr>
            <w:r w:rsidRPr="00873A54">
              <w:rPr>
                <w:b w:val="0"/>
                <w:sz w:val="20"/>
              </w:rPr>
              <w:t>1.</w:t>
            </w:r>
          </w:p>
        </w:tc>
        <w:tc>
          <w:tcPr>
            <w:tcW w:w="1683" w:type="pct"/>
          </w:tcPr>
          <w:p w14:paraId="4B2DB30A" w14:textId="47950852" w:rsidR="0074297A" w:rsidRPr="00873A54" w:rsidRDefault="0074297A" w:rsidP="004D2A38">
            <w:pPr>
              <w:tabs>
                <w:tab w:val="left" w:pos="0"/>
              </w:tabs>
              <w:ind w:firstLine="0"/>
              <w:cnfStyle w:val="000000100000" w:firstRow="0" w:lastRow="0" w:firstColumn="0" w:lastColumn="0" w:oddVBand="0" w:evenVBand="0" w:oddHBand="1" w:evenHBand="0" w:firstRowFirstColumn="0" w:firstRowLastColumn="0" w:lastRowFirstColumn="0" w:lastRowLastColumn="0"/>
              <w:rPr>
                <w:sz w:val="20"/>
              </w:rPr>
            </w:pPr>
            <w:r w:rsidRPr="00873A54">
              <w:rPr>
                <w:sz w:val="20"/>
              </w:rPr>
              <w:t>Company type</w:t>
            </w:r>
          </w:p>
        </w:tc>
        <w:tc>
          <w:tcPr>
            <w:tcW w:w="2986" w:type="pct"/>
          </w:tcPr>
          <w:p w14:paraId="333A5F6D" w14:textId="253AD7F9" w:rsidR="0074297A" w:rsidRPr="00873A54" w:rsidRDefault="0074297A" w:rsidP="004D2A38">
            <w:pPr>
              <w:tabs>
                <w:tab w:val="left" w:pos="0"/>
              </w:tabs>
              <w:ind w:firstLine="0"/>
              <w:cnfStyle w:val="000000100000" w:firstRow="0" w:lastRow="0" w:firstColumn="0" w:lastColumn="0" w:oddVBand="0" w:evenVBand="0" w:oddHBand="1" w:evenHBand="0" w:firstRowFirstColumn="0" w:firstRowLastColumn="0" w:lastRowFirstColumn="0" w:lastRowLastColumn="0"/>
              <w:rPr>
                <w:sz w:val="20"/>
              </w:rPr>
            </w:pPr>
            <w:r w:rsidRPr="00873A54">
              <w:rPr>
                <w:sz w:val="20"/>
              </w:rPr>
              <w:t>Listed acquirer</w:t>
            </w:r>
          </w:p>
        </w:tc>
      </w:tr>
      <w:tr w:rsidR="0074297A" w14:paraId="7EEC3826" w14:textId="77777777" w:rsidTr="0038276C">
        <w:tc>
          <w:tcPr>
            <w:cnfStyle w:val="001000000000" w:firstRow="0" w:lastRow="0" w:firstColumn="1" w:lastColumn="0" w:oddVBand="0" w:evenVBand="0" w:oddHBand="0" w:evenHBand="0" w:firstRowFirstColumn="0" w:firstRowLastColumn="0" w:lastRowFirstColumn="0" w:lastRowLastColumn="0"/>
            <w:tcW w:w="331" w:type="pct"/>
          </w:tcPr>
          <w:p w14:paraId="7750D668" w14:textId="21C6A7BB" w:rsidR="0074297A" w:rsidRPr="00873A54" w:rsidRDefault="0074297A" w:rsidP="004D2A38">
            <w:pPr>
              <w:tabs>
                <w:tab w:val="left" w:pos="0"/>
              </w:tabs>
              <w:ind w:firstLine="0"/>
              <w:rPr>
                <w:b w:val="0"/>
                <w:sz w:val="20"/>
              </w:rPr>
            </w:pPr>
            <w:r w:rsidRPr="00873A54">
              <w:rPr>
                <w:b w:val="0"/>
                <w:sz w:val="20"/>
              </w:rPr>
              <w:t>2.</w:t>
            </w:r>
          </w:p>
        </w:tc>
        <w:tc>
          <w:tcPr>
            <w:tcW w:w="1683" w:type="pct"/>
          </w:tcPr>
          <w:p w14:paraId="733E431F" w14:textId="30832A02" w:rsidR="0074297A" w:rsidRPr="00873A54" w:rsidRDefault="0074297A" w:rsidP="004D2A38">
            <w:pPr>
              <w:tabs>
                <w:tab w:val="left" w:pos="0"/>
              </w:tabs>
              <w:ind w:firstLine="0"/>
              <w:cnfStyle w:val="000000000000" w:firstRow="0" w:lastRow="0" w:firstColumn="0" w:lastColumn="0" w:oddVBand="0" w:evenVBand="0" w:oddHBand="0" w:evenHBand="0" w:firstRowFirstColumn="0" w:firstRowLastColumn="0" w:lastRowFirstColumn="0" w:lastRowLastColumn="0"/>
              <w:rPr>
                <w:sz w:val="20"/>
              </w:rPr>
            </w:pPr>
            <w:r w:rsidRPr="00873A54">
              <w:rPr>
                <w:sz w:val="20"/>
              </w:rPr>
              <w:t>Deal type</w:t>
            </w:r>
          </w:p>
        </w:tc>
        <w:tc>
          <w:tcPr>
            <w:tcW w:w="2986" w:type="pct"/>
          </w:tcPr>
          <w:p w14:paraId="36A1F978" w14:textId="2C89CB8E" w:rsidR="0074297A" w:rsidRPr="00873A54" w:rsidRDefault="0074297A" w:rsidP="004D2A38">
            <w:pPr>
              <w:tabs>
                <w:tab w:val="left" w:pos="0"/>
              </w:tabs>
              <w:ind w:firstLine="0"/>
              <w:cnfStyle w:val="000000000000" w:firstRow="0" w:lastRow="0" w:firstColumn="0" w:lastColumn="0" w:oddVBand="0" w:evenVBand="0" w:oddHBand="0" w:evenHBand="0" w:firstRowFirstColumn="0" w:firstRowLastColumn="0" w:lastRowFirstColumn="0" w:lastRowLastColumn="0"/>
              <w:rPr>
                <w:sz w:val="20"/>
              </w:rPr>
            </w:pPr>
            <w:r w:rsidRPr="00873A54">
              <w:rPr>
                <w:sz w:val="20"/>
              </w:rPr>
              <w:t>Acquisition, merger</w:t>
            </w:r>
          </w:p>
        </w:tc>
      </w:tr>
      <w:tr w:rsidR="0074297A" w14:paraId="49CF4A11" w14:textId="77777777" w:rsidTr="00382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Pr>
          <w:p w14:paraId="4732F58D" w14:textId="5D1D83A7" w:rsidR="0074297A" w:rsidRPr="00873A54" w:rsidRDefault="0074297A" w:rsidP="004D2A38">
            <w:pPr>
              <w:tabs>
                <w:tab w:val="left" w:pos="0"/>
              </w:tabs>
              <w:ind w:firstLine="0"/>
              <w:rPr>
                <w:b w:val="0"/>
                <w:sz w:val="20"/>
              </w:rPr>
            </w:pPr>
            <w:r w:rsidRPr="00873A54">
              <w:rPr>
                <w:b w:val="0"/>
                <w:sz w:val="20"/>
              </w:rPr>
              <w:t>3.</w:t>
            </w:r>
          </w:p>
        </w:tc>
        <w:tc>
          <w:tcPr>
            <w:tcW w:w="1683" w:type="pct"/>
          </w:tcPr>
          <w:p w14:paraId="090303DC" w14:textId="7F1B9B8E" w:rsidR="0074297A" w:rsidRPr="00873A54" w:rsidRDefault="0074297A" w:rsidP="004D2A38">
            <w:pPr>
              <w:tabs>
                <w:tab w:val="left" w:pos="0"/>
              </w:tabs>
              <w:ind w:firstLine="0"/>
              <w:cnfStyle w:val="000000100000" w:firstRow="0" w:lastRow="0" w:firstColumn="0" w:lastColumn="0" w:oddVBand="0" w:evenVBand="0" w:oddHBand="1" w:evenHBand="0" w:firstRowFirstColumn="0" w:firstRowLastColumn="0" w:lastRowFirstColumn="0" w:lastRowLastColumn="0"/>
              <w:rPr>
                <w:sz w:val="20"/>
              </w:rPr>
            </w:pPr>
            <w:r w:rsidRPr="00873A54">
              <w:rPr>
                <w:sz w:val="20"/>
              </w:rPr>
              <w:t>Current deal status</w:t>
            </w:r>
          </w:p>
        </w:tc>
        <w:tc>
          <w:tcPr>
            <w:tcW w:w="2986" w:type="pct"/>
          </w:tcPr>
          <w:p w14:paraId="53B7B609" w14:textId="388A10B7" w:rsidR="0074297A" w:rsidRPr="00873A54" w:rsidRDefault="0074297A" w:rsidP="004D2A38">
            <w:pPr>
              <w:tabs>
                <w:tab w:val="left" w:pos="0"/>
              </w:tabs>
              <w:ind w:firstLine="0"/>
              <w:cnfStyle w:val="000000100000" w:firstRow="0" w:lastRow="0" w:firstColumn="0" w:lastColumn="0" w:oddVBand="0" w:evenVBand="0" w:oddHBand="1" w:evenHBand="0" w:firstRowFirstColumn="0" w:firstRowLastColumn="0" w:lastRowFirstColumn="0" w:lastRowLastColumn="0"/>
              <w:rPr>
                <w:sz w:val="20"/>
              </w:rPr>
            </w:pPr>
            <w:r w:rsidRPr="00873A54">
              <w:rPr>
                <w:sz w:val="20"/>
              </w:rPr>
              <w:t>Completed</w:t>
            </w:r>
          </w:p>
        </w:tc>
      </w:tr>
      <w:tr w:rsidR="00F270F6" w14:paraId="3C669431" w14:textId="77777777" w:rsidTr="0038276C">
        <w:tc>
          <w:tcPr>
            <w:cnfStyle w:val="001000000000" w:firstRow="0" w:lastRow="0" w:firstColumn="1" w:lastColumn="0" w:oddVBand="0" w:evenVBand="0" w:oddHBand="0" w:evenHBand="0" w:firstRowFirstColumn="0" w:firstRowLastColumn="0" w:lastRowFirstColumn="0" w:lastRowLastColumn="0"/>
            <w:tcW w:w="331" w:type="pct"/>
          </w:tcPr>
          <w:p w14:paraId="774B49F8" w14:textId="2EF6CD73" w:rsidR="00F270F6" w:rsidRPr="00F270F6" w:rsidRDefault="00F270F6" w:rsidP="004D2A38">
            <w:pPr>
              <w:tabs>
                <w:tab w:val="left" w:pos="0"/>
              </w:tabs>
              <w:ind w:firstLine="0"/>
              <w:rPr>
                <w:b w:val="0"/>
                <w:sz w:val="20"/>
              </w:rPr>
            </w:pPr>
            <w:r w:rsidRPr="00F270F6">
              <w:rPr>
                <w:b w:val="0"/>
                <w:sz w:val="20"/>
              </w:rPr>
              <w:t>4.</w:t>
            </w:r>
          </w:p>
        </w:tc>
        <w:tc>
          <w:tcPr>
            <w:tcW w:w="1683" w:type="pct"/>
          </w:tcPr>
          <w:p w14:paraId="1E61A110" w14:textId="4BCCCA5E" w:rsidR="00F270F6" w:rsidRPr="00873A54" w:rsidRDefault="00F270F6" w:rsidP="004D2A38">
            <w:pPr>
              <w:tabs>
                <w:tab w:val="left" w:pos="0"/>
              </w:tabs>
              <w:ind w:firstLine="0"/>
              <w:cnfStyle w:val="000000000000" w:firstRow="0" w:lastRow="0" w:firstColumn="0" w:lastColumn="0" w:oddVBand="0" w:evenVBand="0" w:oddHBand="0" w:evenHBand="0" w:firstRowFirstColumn="0" w:firstRowLastColumn="0" w:lastRowFirstColumn="0" w:lastRowLastColumn="0"/>
              <w:rPr>
                <w:sz w:val="20"/>
              </w:rPr>
            </w:pPr>
            <w:r>
              <w:rPr>
                <w:sz w:val="20"/>
              </w:rPr>
              <w:t>Deal value</w:t>
            </w:r>
          </w:p>
        </w:tc>
        <w:tc>
          <w:tcPr>
            <w:tcW w:w="2986" w:type="pct"/>
          </w:tcPr>
          <w:p w14:paraId="226CA0EE" w14:textId="26F2C92B" w:rsidR="00F270F6" w:rsidRPr="00F270F6" w:rsidRDefault="00F270F6" w:rsidP="004D2A38">
            <w:pPr>
              <w:tabs>
                <w:tab w:val="left" w:pos="0"/>
              </w:tabs>
              <w:ind w:firstLine="0"/>
              <w:cnfStyle w:val="000000000000" w:firstRow="0" w:lastRow="0" w:firstColumn="0" w:lastColumn="0" w:oddVBand="0" w:evenVBand="0" w:oddHBand="0" w:evenHBand="0" w:firstRowFirstColumn="0" w:firstRowLastColumn="0" w:lastRowFirstColumn="0" w:lastRowLastColumn="0"/>
              <w:rPr>
                <w:sz w:val="20"/>
              </w:rPr>
            </w:pPr>
            <w:r w:rsidRPr="00F270F6">
              <w:rPr>
                <w:sz w:val="20"/>
              </w:rPr>
              <w:t>&gt;</w:t>
            </w:r>
            <w:r>
              <w:rPr>
                <w:sz w:val="20"/>
              </w:rPr>
              <w:t xml:space="preserve"> $</w:t>
            </w:r>
            <w:r w:rsidRPr="00F270F6">
              <w:rPr>
                <w:sz w:val="20"/>
              </w:rPr>
              <w:t>10</w:t>
            </w:r>
            <w:r>
              <w:rPr>
                <w:sz w:val="20"/>
              </w:rPr>
              <w:t xml:space="preserve"> million</w:t>
            </w:r>
          </w:p>
        </w:tc>
      </w:tr>
      <w:tr w:rsidR="0074297A" w14:paraId="2EA8B5DF" w14:textId="77777777" w:rsidTr="00382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Pr>
          <w:p w14:paraId="30593D00" w14:textId="50508BE3" w:rsidR="0074297A" w:rsidRPr="00873A54" w:rsidRDefault="0074297A" w:rsidP="004D2A38">
            <w:pPr>
              <w:tabs>
                <w:tab w:val="left" w:pos="0"/>
              </w:tabs>
              <w:ind w:firstLine="0"/>
              <w:rPr>
                <w:b w:val="0"/>
                <w:sz w:val="20"/>
              </w:rPr>
            </w:pPr>
            <w:r w:rsidRPr="00873A54">
              <w:rPr>
                <w:b w:val="0"/>
                <w:sz w:val="20"/>
              </w:rPr>
              <w:t>4.</w:t>
            </w:r>
          </w:p>
        </w:tc>
        <w:tc>
          <w:tcPr>
            <w:tcW w:w="1683" w:type="pct"/>
          </w:tcPr>
          <w:p w14:paraId="6A860622" w14:textId="45AD498D" w:rsidR="0074297A" w:rsidRPr="00873A54" w:rsidRDefault="0074297A" w:rsidP="004D2A38">
            <w:pPr>
              <w:tabs>
                <w:tab w:val="left" w:pos="0"/>
              </w:tabs>
              <w:ind w:firstLine="0"/>
              <w:cnfStyle w:val="000000100000" w:firstRow="0" w:lastRow="0" w:firstColumn="0" w:lastColumn="0" w:oddVBand="0" w:evenVBand="0" w:oddHBand="1" w:evenHBand="0" w:firstRowFirstColumn="0" w:firstRowLastColumn="0" w:lastRowFirstColumn="0" w:lastRowLastColumn="0"/>
              <w:rPr>
                <w:sz w:val="20"/>
              </w:rPr>
            </w:pPr>
            <w:r w:rsidRPr="00873A54">
              <w:rPr>
                <w:sz w:val="20"/>
              </w:rPr>
              <w:t>Time period</w:t>
            </w:r>
          </w:p>
        </w:tc>
        <w:tc>
          <w:tcPr>
            <w:tcW w:w="2986" w:type="pct"/>
          </w:tcPr>
          <w:p w14:paraId="32A63E17" w14:textId="0D69D15F" w:rsidR="0074297A" w:rsidRPr="00873A54" w:rsidRDefault="0074297A" w:rsidP="004D2A38">
            <w:pPr>
              <w:tabs>
                <w:tab w:val="left" w:pos="0"/>
              </w:tabs>
              <w:ind w:firstLine="0"/>
              <w:cnfStyle w:val="000000100000" w:firstRow="0" w:lastRow="0" w:firstColumn="0" w:lastColumn="0" w:oddVBand="0" w:evenVBand="0" w:oddHBand="1" w:evenHBand="0" w:firstRowFirstColumn="0" w:firstRowLastColumn="0" w:lastRowFirstColumn="0" w:lastRowLastColumn="0"/>
              <w:rPr>
                <w:sz w:val="20"/>
              </w:rPr>
            </w:pPr>
            <w:r w:rsidRPr="00873A54">
              <w:rPr>
                <w:sz w:val="20"/>
              </w:rPr>
              <w:t>01/01/2009 – 31/12/2012</w:t>
            </w:r>
          </w:p>
        </w:tc>
      </w:tr>
      <w:tr w:rsidR="00873A54" w14:paraId="1D527744" w14:textId="77777777" w:rsidTr="0038276C">
        <w:tc>
          <w:tcPr>
            <w:cnfStyle w:val="001000000000" w:firstRow="0" w:lastRow="0" w:firstColumn="1" w:lastColumn="0" w:oddVBand="0" w:evenVBand="0" w:oddHBand="0" w:evenHBand="0" w:firstRowFirstColumn="0" w:firstRowLastColumn="0" w:lastRowFirstColumn="0" w:lastRowLastColumn="0"/>
            <w:tcW w:w="331" w:type="pct"/>
          </w:tcPr>
          <w:p w14:paraId="27043299" w14:textId="0A7D8660" w:rsidR="00873A54" w:rsidRPr="00873A54" w:rsidRDefault="00873A54" w:rsidP="004D2A38">
            <w:pPr>
              <w:tabs>
                <w:tab w:val="left" w:pos="0"/>
              </w:tabs>
              <w:ind w:firstLine="0"/>
              <w:rPr>
                <w:b w:val="0"/>
                <w:sz w:val="20"/>
              </w:rPr>
            </w:pPr>
            <w:r w:rsidRPr="00873A54">
              <w:rPr>
                <w:b w:val="0"/>
                <w:sz w:val="20"/>
              </w:rPr>
              <w:t>5.</w:t>
            </w:r>
          </w:p>
        </w:tc>
        <w:tc>
          <w:tcPr>
            <w:tcW w:w="1683" w:type="pct"/>
          </w:tcPr>
          <w:p w14:paraId="6715EE46" w14:textId="79FEFF9E" w:rsidR="00873A54" w:rsidRPr="00873A54" w:rsidRDefault="00873A54" w:rsidP="004D2A38">
            <w:pPr>
              <w:tabs>
                <w:tab w:val="left" w:pos="0"/>
              </w:tabs>
              <w:ind w:firstLine="0"/>
              <w:cnfStyle w:val="000000000000" w:firstRow="0" w:lastRow="0" w:firstColumn="0" w:lastColumn="0" w:oddVBand="0" w:evenVBand="0" w:oddHBand="0" w:evenHBand="0" w:firstRowFirstColumn="0" w:firstRowLastColumn="0" w:lastRowFirstColumn="0" w:lastRowLastColumn="0"/>
              <w:rPr>
                <w:sz w:val="20"/>
              </w:rPr>
            </w:pPr>
            <w:r>
              <w:rPr>
                <w:sz w:val="20"/>
              </w:rPr>
              <w:t>Geography</w:t>
            </w:r>
          </w:p>
        </w:tc>
        <w:tc>
          <w:tcPr>
            <w:tcW w:w="2986" w:type="pct"/>
          </w:tcPr>
          <w:p w14:paraId="4F62D356" w14:textId="34C68188" w:rsidR="00873A54" w:rsidRPr="00873A54" w:rsidRDefault="00873A54" w:rsidP="004D2A38">
            <w:pPr>
              <w:tabs>
                <w:tab w:val="left" w:pos="0"/>
              </w:tabs>
              <w:ind w:firstLine="0"/>
              <w:cnfStyle w:val="000000000000" w:firstRow="0" w:lastRow="0" w:firstColumn="0" w:lastColumn="0" w:oddVBand="0" w:evenVBand="0" w:oddHBand="0" w:evenHBand="0" w:firstRowFirstColumn="0" w:firstRowLastColumn="0" w:lastRowFirstColumn="0" w:lastRowLastColumn="0"/>
              <w:rPr>
                <w:sz w:val="20"/>
              </w:rPr>
            </w:pPr>
            <w:r>
              <w:rPr>
                <w:sz w:val="20"/>
              </w:rPr>
              <w:t>Worldwide data sample</w:t>
            </w:r>
          </w:p>
        </w:tc>
      </w:tr>
      <w:tr w:rsidR="0074297A" w14:paraId="6A7C0609" w14:textId="77777777" w:rsidTr="00382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 w:type="pct"/>
          </w:tcPr>
          <w:p w14:paraId="19560AB9" w14:textId="5CD6B52D" w:rsidR="0074297A" w:rsidRPr="00873A54" w:rsidRDefault="00873A54" w:rsidP="004D2A38">
            <w:pPr>
              <w:tabs>
                <w:tab w:val="left" w:pos="0"/>
              </w:tabs>
              <w:ind w:firstLine="0"/>
              <w:rPr>
                <w:b w:val="0"/>
                <w:sz w:val="20"/>
              </w:rPr>
            </w:pPr>
            <w:r>
              <w:rPr>
                <w:b w:val="0"/>
                <w:sz w:val="20"/>
              </w:rPr>
              <w:t>6</w:t>
            </w:r>
            <w:r w:rsidR="0074297A" w:rsidRPr="00873A54">
              <w:rPr>
                <w:b w:val="0"/>
                <w:sz w:val="20"/>
              </w:rPr>
              <w:t>.</w:t>
            </w:r>
          </w:p>
        </w:tc>
        <w:tc>
          <w:tcPr>
            <w:tcW w:w="1683" w:type="pct"/>
          </w:tcPr>
          <w:p w14:paraId="14E62577" w14:textId="74CBD66E" w:rsidR="0074297A" w:rsidRPr="00873A54" w:rsidRDefault="0074297A" w:rsidP="004D2A38">
            <w:pPr>
              <w:tabs>
                <w:tab w:val="left" w:pos="0"/>
              </w:tabs>
              <w:ind w:firstLine="0"/>
              <w:cnfStyle w:val="000000100000" w:firstRow="0" w:lastRow="0" w:firstColumn="0" w:lastColumn="0" w:oddVBand="0" w:evenVBand="0" w:oddHBand="1" w:evenHBand="0" w:firstRowFirstColumn="0" w:firstRowLastColumn="0" w:lastRowFirstColumn="0" w:lastRowLastColumn="0"/>
              <w:rPr>
                <w:sz w:val="20"/>
              </w:rPr>
            </w:pPr>
            <w:r w:rsidRPr="00873A54">
              <w:rPr>
                <w:sz w:val="20"/>
              </w:rPr>
              <w:t>Acquirer industry</w:t>
            </w:r>
          </w:p>
        </w:tc>
        <w:tc>
          <w:tcPr>
            <w:tcW w:w="2986" w:type="pct"/>
          </w:tcPr>
          <w:p w14:paraId="5C37F9EE" w14:textId="2C3337A4" w:rsidR="0074297A" w:rsidRPr="00873A54" w:rsidRDefault="0074297A" w:rsidP="004D2A38">
            <w:pPr>
              <w:tabs>
                <w:tab w:val="left" w:pos="0"/>
              </w:tabs>
              <w:ind w:firstLine="0"/>
              <w:cnfStyle w:val="000000100000" w:firstRow="0" w:lastRow="0" w:firstColumn="0" w:lastColumn="0" w:oddVBand="0" w:evenVBand="0" w:oddHBand="1" w:evenHBand="0" w:firstRowFirstColumn="0" w:firstRowLastColumn="0" w:lastRowFirstColumn="0" w:lastRowLastColumn="0"/>
              <w:rPr>
                <w:sz w:val="20"/>
              </w:rPr>
            </w:pPr>
            <w:r w:rsidRPr="00873A54">
              <w:rPr>
                <w:sz w:val="20"/>
              </w:rPr>
              <w:t>Oil and gas</w:t>
            </w:r>
          </w:p>
        </w:tc>
      </w:tr>
    </w:tbl>
    <w:p w14:paraId="6138A7A5" w14:textId="7A4E16A1" w:rsidR="00F270F6" w:rsidRDefault="00F270F6" w:rsidP="004D2A38">
      <w:pPr>
        <w:tabs>
          <w:tab w:val="left" w:pos="0"/>
        </w:tabs>
      </w:pPr>
    </w:p>
    <w:p w14:paraId="7008641F" w14:textId="0CF5F68C" w:rsidR="008935FB" w:rsidRPr="00312CE6" w:rsidRDefault="00F270F6" w:rsidP="004D2A38">
      <w:pPr>
        <w:tabs>
          <w:tab w:val="left" w:pos="0"/>
        </w:tabs>
      </w:pPr>
      <w:r>
        <w:t xml:space="preserve">As was already mentioned, initially </w:t>
      </w:r>
      <w:r w:rsidR="00416EB3">
        <w:t>255</w:t>
      </w:r>
      <w:r>
        <w:t xml:space="preserve"> deals for the specified time period met the search conditions. However, in the end only 123 deals remain. </w:t>
      </w:r>
      <w:r w:rsidR="00416EB3" w:rsidRPr="00416EB3">
        <w:t xml:space="preserve">Most of the observations were excluded from the </w:t>
      </w:r>
      <w:r w:rsidR="00416EB3">
        <w:t>data sample</w:t>
      </w:r>
      <w:r w:rsidR="00416EB3" w:rsidRPr="00416EB3">
        <w:t xml:space="preserve"> due to the lack of information in one of the years of observation. Unfortunately, it was not possible to use data that lacked at least one figure. Thus, 128 transactions were eliminated. In addition, 5 deals were eliminated because of extremely unstable results and very strong </w:t>
      </w:r>
      <w:r w:rsidR="00416EB3">
        <w:t>outliers in comparison to other observations</w:t>
      </w:r>
      <w:r w:rsidR="00416EB3" w:rsidRPr="00416EB3">
        <w:t xml:space="preserve">. This situation could happen in connection with the use of accounting indicators. In addition, companies could be in an unstable financial </w:t>
      </w:r>
      <w:r w:rsidR="00416EB3">
        <w:t>position</w:t>
      </w:r>
      <w:r w:rsidR="00416EB3" w:rsidRPr="00416EB3">
        <w:t xml:space="preserve"> and such </w:t>
      </w:r>
      <w:r w:rsidR="00416EB3">
        <w:t>outliers</w:t>
      </w:r>
      <w:r w:rsidR="00416EB3" w:rsidRPr="00416EB3">
        <w:t xml:space="preserve"> reflecte</w:t>
      </w:r>
      <w:r w:rsidR="00416EB3">
        <w:t>d these conditions</w:t>
      </w:r>
      <w:r w:rsidR="00416EB3" w:rsidRPr="00416EB3">
        <w:t>.</w:t>
      </w:r>
      <w:r w:rsidR="008935FB" w:rsidRPr="008935FB">
        <w:t xml:space="preserve"> </w:t>
      </w:r>
      <w:r w:rsidR="008935FB">
        <w:t>Another source of information was used is Thompson Reuters DataStream. It allowed to obtain crucial indicators to build econometrical models and achieve the research goal stated.</w:t>
      </w:r>
    </w:p>
    <w:p w14:paraId="77FB6EC7" w14:textId="7615B529" w:rsidR="0074297A" w:rsidRDefault="00AA1FA9" w:rsidP="004D2A38">
      <w:pPr>
        <w:tabs>
          <w:tab w:val="left" w:pos="0"/>
        </w:tabs>
      </w:pPr>
      <w:r>
        <w:rPr>
          <w:noProof/>
          <w:lang w:val="ru-RU" w:eastAsia="ru-RU"/>
        </w:rPr>
        <w:drawing>
          <wp:anchor distT="0" distB="0" distL="114300" distR="114300" simplePos="0" relativeHeight="251673600" behindDoc="0" locked="0" layoutInCell="1" allowOverlap="1" wp14:anchorId="4F759A11" wp14:editId="4ACC4673">
            <wp:simplePos x="0" y="0"/>
            <wp:positionH relativeFrom="column">
              <wp:posOffset>-365760</wp:posOffset>
            </wp:positionH>
            <wp:positionV relativeFrom="paragraph">
              <wp:posOffset>2073910</wp:posOffset>
            </wp:positionV>
            <wp:extent cx="3836670" cy="2830195"/>
            <wp:effectExtent l="0" t="0" r="0" b="8255"/>
            <wp:wrapSquare wrapText="bothSides"/>
            <wp:docPr id="23" name="Диаграмма 23">
              <a:extLst xmlns:a="http://schemas.openxmlformats.org/drawingml/2006/main">
                <a:ext uri="{FF2B5EF4-FFF2-40B4-BE49-F238E27FC236}">
                  <a16:creationId xmlns:a16="http://schemas.microsoft.com/office/drawing/2014/main" id="{F0E5E0D4-3BBD-408D-B170-14EE5B71F5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noProof/>
          <w:lang w:val="ru-RU" w:eastAsia="ru-RU"/>
        </w:rPr>
        <w:drawing>
          <wp:anchor distT="0" distB="0" distL="114300" distR="114300" simplePos="0" relativeHeight="251674624" behindDoc="0" locked="0" layoutInCell="1" allowOverlap="1" wp14:anchorId="55B758C7" wp14:editId="761ADA95">
            <wp:simplePos x="0" y="0"/>
            <wp:positionH relativeFrom="column">
              <wp:posOffset>3196590</wp:posOffset>
            </wp:positionH>
            <wp:positionV relativeFrom="paragraph">
              <wp:posOffset>2044065</wp:posOffset>
            </wp:positionV>
            <wp:extent cx="2896870" cy="2830195"/>
            <wp:effectExtent l="0" t="0" r="0" b="8255"/>
            <wp:wrapSquare wrapText="bothSides"/>
            <wp:docPr id="24" name="Диаграмма 24">
              <a:extLst xmlns:a="http://schemas.openxmlformats.org/drawingml/2006/main">
                <a:ext uri="{FF2B5EF4-FFF2-40B4-BE49-F238E27FC236}">
                  <a16:creationId xmlns:a16="http://schemas.microsoft.com/office/drawing/2014/main" id="{5E781913-7922-4400-9572-168071A13E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3648CB">
        <w:t>Considering the geographic distribution of obtained sample</w:t>
      </w:r>
      <w:r w:rsidR="001129BB">
        <w:t xml:space="preserve"> (</w:t>
      </w:r>
      <w:r w:rsidR="0028712B">
        <w:fldChar w:fldCharType="begin"/>
      </w:r>
      <w:r w:rsidR="0028712B">
        <w:instrText xml:space="preserve"> REF _Ref513689117 \r \h </w:instrText>
      </w:r>
      <w:r w:rsidR="0028712B">
        <w:fldChar w:fldCharType="separate"/>
      </w:r>
      <w:r w:rsidR="00154E78">
        <w:t>0</w:t>
      </w:r>
      <w:r w:rsidR="0028712B">
        <w:fldChar w:fldCharType="end"/>
      </w:r>
      <w:r w:rsidR="001129BB">
        <w:t>)</w:t>
      </w:r>
      <w:r w:rsidR="003648CB">
        <w:t>, we can see that the highest number of deals in terms of acquirer and target country of origin belongs to the North-American market – USA and Canada. It is not surprising since both countries are oil &amp; gas producers and importers. Besides both companies liberalized this industry and allow private relatively small firms to operate on the market. Unlike from US and Canada on the third largest oil &amp; gas M&amp;A market in Russia large state corporation dominate</w:t>
      </w:r>
      <w:r w:rsidR="00C67E88">
        <w:t>. That is why even much higher extraction amounts and much bigger market in terms of revenues and other financial and operating metrics “produced” smaller amounts of deals.</w:t>
      </w:r>
      <w:r w:rsidR="00C80AC9">
        <w:t xml:space="preserve"> The full list of the deal</w:t>
      </w:r>
      <w:r w:rsidR="00416EB3">
        <w:t xml:space="preserve"> </w:t>
      </w:r>
      <w:r w:rsidR="00C80AC9">
        <w:t>compan</w:t>
      </w:r>
      <w:r w:rsidR="00416EB3">
        <w:t xml:space="preserve">ies </w:t>
      </w:r>
      <w:r w:rsidR="00C80AC9">
        <w:t>can be found in the Appendix 1.</w:t>
      </w:r>
    </w:p>
    <w:p w14:paraId="61FDC679" w14:textId="77777777" w:rsidR="00AA1FA9" w:rsidRDefault="00AA1FA9" w:rsidP="004D2A38">
      <w:pPr>
        <w:pStyle w:val="a"/>
        <w:numPr>
          <w:ilvl w:val="0"/>
          <w:numId w:val="0"/>
        </w:numPr>
        <w:tabs>
          <w:tab w:val="left" w:pos="0"/>
        </w:tabs>
        <w:contextualSpacing w:val="0"/>
        <w:jc w:val="both"/>
        <w:rPr>
          <w:noProof/>
        </w:rPr>
      </w:pPr>
      <w:bookmarkStart w:id="19" w:name="_Ref513053880"/>
      <w:bookmarkStart w:id="20" w:name="_Ref513689117"/>
    </w:p>
    <w:p w14:paraId="5805BDD4" w14:textId="507EDCF0" w:rsidR="00DA2BDB" w:rsidRDefault="00DA2BDB" w:rsidP="004D2A38">
      <w:pPr>
        <w:pStyle w:val="a"/>
        <w:tabs>
          <w:tab w:val="left" w:pos="0"/>
        </w:tabs>
        <w:contextualSpacing w:val="0"/>
        <w:rPr>
          <w:noProof/>
        </w:rPr>
      </w:pPr>
      <w:r>
        <w:rPr>
          <w:noProof/>
        </w:rPr>
        <w:t>Deals geographic distribution</w:t>
      </w:r>
      <w:bookmarkEnd w:id="19"/>
      <w:bookmarkEnd w:id="20"/>
    </w:p>
    <w:p w14:paraId="35F4D5F6" w14:textId="79985C40" w:rsidR="00971B8F" w:rsidRPr="00F7052C" w:rsidRDefault="008C5F63" w:rsidP="004D2A38">
      <w:pPr>
        <w:pStyle w:val="2"/>
        <w:tabs>
          <w:tab w:val="left" w:pos="0"/>
        </w:tabs>
        <w:ind w:left="578" w:hanging="578"/>
      </w:pPr>
      <w:bookmarkStart w:id="21" w:name="_Toc514964135"/>
      <w:r>
        <w:lastRenderedPageBreak/>
        <w:t>Model specification</w:t>
      </w:r>
      <w:bookmarkEnd w:id="21"/>
    </w:p>
    <w:p w14:paraId="14F0B24A" w14:textId="523EAED9" w:rsidR="000D6255" w:rsidRDefault="008C5F63" w:rsidP="004D2A38">
      <w:pPr>
        <w:tabs>
          <w:tab w:val="left" w:pos="0"/>
        </w:tabs>
      </w:pPr>
      <w:r>
        <w:t xml:space="preserve">To answer the research question first of all we need to specify the research design and identify research models that will be used further to answer the above stated questions. </w:t>
      </w:r>
      <w:r w:rsidR="00A3047A">
        <w:t xml:space="preserve">All the further mentioned specifications and calculations will be based on the previously described literature review and authors own considerations and inferences. </w:t>
      </w:r>
      <w:r w:rsidR="006A637E">
        <w:t xml:space="preserve">Besides, the aim of this research is to identify the relationship between working capital management and short-, medium- and long-term company performance. In order to do that, three identical regression models will be applied but for different time horizons. As a representation of short-term results T+1 (one year after deal execution) will be considered. In the same way as medium-term and long-term results T+3 and T+5 data will be used. </w:t>
      </w:r>
      <w:r w:rsidR="000D6255">
        <w:t>As a starting point</w:t>
      </w:r>
      <w:r w:rsidR="00503972">
        <w:t xml:space="preserve"> key hypothesis that will be tested further should be formulated. </w:t>
      </w:r>
      <w:r w:rsidR="00182D22">
        <w:t xml:space="preserve">To answer above stated research questions </w:t>
      </w:r>
      <w:r w:rsidR="00EB28E3">
        <w:t>four sets</w:t>
      </w:r>
      <w:r w:rsidR="00182D22">
        <w:t xml:space="preserve"> of </w:t>
      </w:r>
      <w:r w:rsidR="00EB28E3">
        <w:t>hypotheses</w:t>
      </w:r>
      <w:r w:rsidR="00182D22">
        <w:t xml:space="preserve"> stated are presented below:</w:t>
      </w:r>
    </w:p>
    <w:p w14:paraId="49C6A90D" w14:textId="6F38C2B9" w:rsidR="00070207" w:rsidRPr="00070207" w:rsidRDefault="00070207" w:rsidP="004D2A38">
      <w:pPr>
        <w:tabs>
          <w:tab w:val="left" w:pos="0"/>
        </w:tabs>
        <w:spacing w:after="0"/>
        <w:rPr>
          <w:b/>
        </w:rPr>
      </w:pPr>
      <w:r w:rsidRPr="00070207">
        <w:rPr>
          <w:b/>
        </w:rPr>
        <w:tab/>
      </w:r>
      <w:bookmarkStart w:id="22" w:name="_Hlk514616791"/>
      <w:r w:rsidRPr="00070207">
        <w:rPr>
          <w:b/>
        </w:rPr>
        <w:t>Hypotheses 1:</w:t>
      </w:r>
      <w:bookmarkEnd w:id="22"/>
    </w:p>
    <w:p w14:paraId="25E19C6A" w14:textId="11B18B0F" w:rsidR="00182D22" w:rsidRDefault="00182D22" w:rsidP="004D2A38">
      <w:pPr>
        <w:pStyle w:val="a5"/>
        <w:tabs>
          <w:tab w:val="left" w:pos="0"/>
        </w:tabs>
        <w:ind w:left="1069" w:firstLine="0"/>
      </w:pPr>
      <w:r>
        <w:t xml:space="preserve">There is </w:t>
      </w:r>
      <w:r w:rsidR="00F515E6">
        <w:t xml:space="preserve">significant relationship between </w:t>
      </w:r>
      <w:r>
        <w:t>working capital structure and company performance in M&amp;A deals</w:t>
      </w:r>
      <w:r w:rsidR="00FF489F">
        <w:t>.</w:t>
      </w:r>
    </w:p>
    <w:p w14:paraId="411FC4C1" w14:textId="3D3756AC" w:rsidR="00070207" w:rsidRPr="00070207" w:rsidRDefault="00070207" w:rsidP="004D2A38">
      <w:pPr>
        <w:tabs>
          <w:tab w:val="left" w:pos="0"/>
        </w:tabs>
        <w:spacing w:after="0"/>
        <w:rPr>
          <w:b/>
        </w:rPr>
      </w:pPr>
      <w:r w:rsidRPr="00070207">
        <w:rPr>
          <w:b/>
        </w:rPr>
        <w:t xml:space="preserve">Hypotheses </w:t>
      </w:r>
      <w:r>
        <w:rPr>
          <w:b/>
        </w:rPr>
        <w:t>2</w:t>
      </w:r>
      <w:r w:rsidRPr="00070207">
        <w:rPr>
          <w:b/>
        </w:rPr>
        <w:t>:</w:t>
      </w:r>
    </w:p>
    <w:p w14:paraId="5AEC0AEA" w14:textId="3D5E5433" w:rsidR="0037586F" w:rsidRDefault="0037586F" w:rsidP="004D2A38">
      <w:pPr>
        <w:pStyle w:val="a5"/>
        <w:tabs>
          <w:tab w:val="left" w:pos="0"/>
        </w:tabs>
        <w:ind w:left="1069" w:firstLine="0"/>
      </w:pPr>
      <w:r>
        <w:t xml:space="preserve">There is </w:t>
      </w:r>
      <w:r w:rsidR="00ED7914">
        <w:t>non-</w:t>
      </w:r>
      <w:r>
        <w:t>linear relationship between working capital structure and company performance</w:t>
      </w:r>
      <w:r w:rsidR="00FF489F">
        <w:t>.</w:t>
      </w:r>
    </w:p>
    <w:p w14:paraId="63BC711C" w14:textId="105D4859" w:rsidR="00182D22" w:rsidRDefault="00182D22" w:rsidP="004D2A38">
      <w:pPr>
        <w:tabs>
          <w:tab w:val="left" w:pos="0"/>
        </w:tabs>
      </w:pPr>
      <w:r>
        <w:t xml:space="preserve">Essentially by stating </w:t>
      </w:r>
      <w:r w:rsidR="00EB28E3">
        <w:t>these hypotheses</w:t>
      </w:r>
      <w:r>
        <w:t xml:space="preserve"> we are determined to </w:t>
      </w:r>
      <w:r w:rsidR="00EB28E3">
        <w:t xml:space="preserve">find evidences, that changes in working capital structure actually impact the after-deal company performance. </w:t>
      </w:r>
      <w:r w:rsidR="003D59FB">
        <w:t>Besides, by the second set of research hypotheses the very important problem is raised. It is widely known and studied, that the amount of working capital in the firm behaves not linearly. There is an optimal point at which the efficiency of the company is maximized. By lowering or increasing the amount of working capital in the firm we would actually decrease our profitability. So, basically the relationship between working capital amount and company performance looks like inverted U-shaped curve</w:t>
      </w:r>
      <w:r w:rsidR="00BB2B9F">
        <w:t xml:space="preserve"> on the graph. In order to check for this relationship, we also introduce quadratic term in the regression analysis. </w:t>
      </w:r>
      <w:r w:rsidR="00EB28E3">
        <w:t>To answer th</w:t>
      </w:r>
      <w:r w:rsidR="00BB2B9F">
        <w:t>e</w:t>
      </w:r>
      <w:r w:rsidR="00EB28E3">
        <w:t>s</w:t>
      </w:r>
      <w:r w:rsidR="00BB2B9F">
        <w:t>e</w:t>
      </w:r>
      <w:r w:rsidR="00EB28E3">
        <w:t xml:space="preserve"> question</w:t>
      </w:r>
      <w:r w:rsidR="00BB2B9F">
        <w:t>s</w:t>
      </w:r>
      <w:r w:rsidR="00EB28E3">
        <w:t xml:space="preserve"> the below stated model was developed (</w:t>
      </w:r>
      <w:r w:rsidR="00971A38" w:rsidRPr="008B13D1">
        <w:t xml:space="preserve">Formula 1 and </w:t>
      </w:r>
      <w:r w:rsidR="008B13D1" w:rsidRPr="008B13D1">
        <w:fldChar w:fldCharType="begin"/>
      </w:r>
      <w:r w:rsidR="008B13D1" w:rsidRPr="008B13D1">
        <w:instrText xml:space="preserve"> REF _Ref513689190 \r \h </w:instrText>
      </w:r>
      <w:r w:rsidR="008B13D1">
        <w:instrText xml:space="preserve"> \* MERGEFORMAT </w:instrText>
      </w:r>
      <w:r w:rsidR="008B13D1" w:rsidRPr="008B13D1">
        <w:fldChar w:fldCharType="separate"/>
      </w:r>
      <w:r w:rsidR="00154E78">
        <w:t>Table 5</w:t>
      </w:r>
      <w:r w:rsidR="008B13D1" w:rsidRPr="008B13D1">
        <w:fldChar w:fldCharType="end"/>
      </w:r>
      <w:r w:rsidR="00EB28E3">
        <w:t>):</w:t>
      </w:r>
    </w:p>
    <w:p w14:paraId="65BEB09E" w14:textId="09C45F80" w:rsidR="00EB28E3" w:rsidRDefault="006A637E" w:rsidP="00FF489F">
      <w:pPr>
        <w:tabs>
          <w:tab w:val="left" w:pos="0"/>
        </w:tabs>
        <w:ind w:firstLine="0"/>
        <w:jc w:val="right"/>
      </w:pPr>
      <w:r>
        <w:t>C</w:t>
      </w:r>
      <w:r w:rsidR="00EB28E3">
        <w:t>TQ</w:t>
      </w:r>
      <w:r w:rsidR="00EB28E3" w:rsidRPr="00EB7239">
        <w:rPr>
          <w:vertAlign w:val="subscript"/>
        </w:rPr>
        <w:t>(</w:t>
      </w:r>
      <w:proofErr w:type="spellStart"/>
      <w:r w:rsidR="00EB28E3" w:rsidRPr="00EB7239">
        <w:rPr>
          <w:vertAlign w:val="subscript"/>
        </w:rPr>
        <w:t>t+i</w:t>
      </w:r>
      <w:proofErr w:type="spellEnd"/>
      <w:r w:rsidR="00EB28E3" w:rsidRPr="00EB7239">
        <w:rPr>
          <w:vertAlign w:val="subscript"/>
        </w:rPr>
        <w:t>)</w:t>
      </w:r>
      <w:r>
        <w:rPr>
          <w:vertAlign w:val="subscript"/>
        </w:rPr>
        <w:t xml:space="preserve"> </w:t>
      </w:r>
      <w:r w:rsidR="00EB28E3" w:rsidRPr="004E4759">
        <w:t>=</w:t>
      </w:r>
      <w:r>
        <w:t xml:space="preserve"> </w:t>
      </w:r>
      <w:r w:rsidR="00EB28E3" w:rsidRPr="00231030">
        <w:rPr>
          <w:lang w:val="ru-RU"/>
        </w:rPr>
        <w:t>α</w:t>
      </w:r>
      <w:r>
        <w:t xml:space="preserve"> </w:t>
      </w:r>
      <w:r w:rsidR="00EB28E3" w:rsidRPr="004E4759">
        <w:t>+</w:t>
      </w:r>
      <w:r>
        <w:t xml:space="preserve"> </w:t>
      </w:r>
      <w:r w:rsidR="00EB28E3" w:rsidRPr="00231030">
        <w:rPr>
          <w:lang w:val="ru-RU"/>
        </w:rPr>
        <w:t>β</w:t>
      </w:r>
      <w:r w:rsidR="00EB28E3" w:rsidRPr="004E4759">
        <w:t>1</w:t>
      </w:r>
      <w:r>
        <w:t xml:space="preserve"> </w:t>
      </w:r>
      <w:r w:rsidR="00EB28E3" w:rsidRPr="004E4759">
        <w:t>*</w:t>
      </w:r>
      <w:r>
        <w:t xml:space="preserve"> </w:t>
      </w:r>
      <w:r w:rsidR="00FF489F">
        <w:t>AR</w:t>
      </w:r>
      <w:r w:rsidR="00EB28E3" w:rsidRPr="00EB7239">
        <w:rPr>
          <w:vertAlign w:val="subscript"/>
        </w:rPr>
        <w:t>(</w:t>
      </w:r>
      <w:proofErr w:type="spellStart"/>
      <w:r w:rsidR="00EB28E3" w:rsidRPr="00EB7239">
        <w:rPr>
          <w:vertAlign w:val="subscript"/>
        </w:rPr>
        <w:t>t+i</w:t>
      </w:r>
      <w:proofErr w:type="spellEnd"/>
      <w:r w:rsidR="00EB28E3" w:rsidRPr="00EB7239">
        <w:rPr>
          <w:vertAlign w:val="subscript"/>
        </w:rPr>
        <w:t>)</w:t>
      </w:r>
      <w:r w:rsidR="00EB28E3" w:rsidRPr="004E4759">
        <w:t xml:space="preserve"> + </w:t>
      </w:r>
      <w:r w:rsidR="00EB28E3" w:rsidRPr="00231030">
        <w:rPr>
          <w:lang w:val="ru-RU"/>
        </w:rPr>
        <w:t>β</w:t>
      </w:r>
      <w:r>
        <w:t>2</w:t>
      </w:r>
      <w:r w:rsidR="00BB2B9F">
        <w:t xml:space="preserve"> </w:t>
      </w:r>
      <w:r w:rsidR="00BB2B9F" w:rsidRPr="004E4759">
        <w:t>*</w:t>
      </w:r>
      <w:r w:rsidR="00BB2B9F">
        <w:t xml:space="preserve"> </w:t>
      </w:r>
      <w:r w:rsidR="00FF489F">
        <w:t>AR</w:t>
      </w:r>
      <w:r w:rsidR="00BB2B9F" w:rsidRPr="00BB2B9F">
        <w:rPr>
          <w:vertAlign w:val="superscript"/>
        </w:rPr>
        <w:t>2</w:t>
      </w:r>
      <w:r w:rsidR="00BB2B9F" w:rsidRPr="00EB7239">
        <w:rPr>
          <w:vertAlign w:val="subscript"/>
        </w:rPr>
        <w:t>(</w:t>
      </w:r>
      <w:proofErr w:type="spellStart"/>
      <w:r w:rsidR="00BB2B9F" w:rsidRPr="00EB7239">
        <w:rPr>
          <w:vertAlign w:val="subscript"/>
        </w:rPr>
        <w:t>t+i</w:t>
      </w:r>
      <w:proofErr w:type="spellEnd"/>
      <w:r w:rsidR="00BB2B9F" w:rsidRPr="00EB7239">
        <w:rPr>
          <w:vertAlign w:val="subscript"/>
        </w:rPr>
        <w:t>)</w:t>
      </w:r>
      <w:r w:rsidR="00BB2B9F" w:rsidRPr="004E4759">
        <w:t xml:space="preserve"> </w:t>
      </w:r>
      <w:r w:rsidR="00FF489F" w:rsidRPr="004E4759">
        <w:t>+</w:t>
      </w:r>
      <w:r w:rsidR="00FF489F">
        <w:t xml:space="preserve"> </w:t>
      </w:r>
      <w:r w:rsidR="00FF489F" w:rsidRPr="00231030">
        <w:rPr>
          <w:lang w:val="ru-RU"/>
        </w:rPr>
        <w:t>β</w:t>
      </w:r>
      <w:r w:rsidR="00DB0258">
        <w:t>3</w:t>
      </w:r>
      <w:r w:rsidR="00FF489F">
        <w:t xml:space="preserve"> </w:t>
      </w:r>
      <w:r w:rsidR="00FF489F" w:rsidRPr="004E4759">
        <w:t>*</w:t>
      </w:r>
      <w:r w:rsidR="00FF489F">
        <w:t xml:space="preserve"> </w:t>
      </w:r>
      <w:proofErr w:type="spellStart"/>
      <w:r w:rsidR="00DB0258">
        <w:t>Inv</w:t>
      </w:r>
      <w:proofErr w:type="spellEnd"/>
      <w:r w:rsidR="00FF489F" w:rsidRPr="00EB7239">
        <w:rPr>
          <w:vertAlign w:val="subscript"/>
        </w:rPr>
        <w:t>(</w:t>
      </w:r>
      <w:proofErr w:type="spellStart"/>
      <w:r w:rsidR="00FF489F" w:rsidRPr="00EB7239">
        <w:rPr>
          <w:vertAlign w:val="subscript"/>
        </w:rPr>
        <w:t>t+i</w:t>
      </w:r>
      <w:proofErr w:type="spellEnd"/>
      <w:r w:rsidR="00FF489F" w:rsidRPr="00EB7239">
        <w:rPr>
          <w:vertAlign w:val="subscript"/>
        </w:rPr>
        <w:t>)</w:t>
      </w:r>
      <w:r w:rsidR="00FF489F" w:rsidRPr="004E4759">
        <w:t xml:space="preserve"> + </w:t>
      </w:r>
      <w:r w:rsidR="00FF489F" w:rsidRPr="00231030">
        <w:rPr>
          <w:lang w:val="ru-RU"/>
        </w:rPr>
        <w:t>β</w:t>
      </w:r>
      <w:r w:rsidR="00DB0258">
        <w:t>4</w:t>
      </w:r>
      <w:r w:rsidR="00FF489F">
        <w:t xml:space="preserve"> </w:t>
      </w:r>
      <w:r w:rsidR="00FF489F" w:rsidRPr="004E4759">
        <w:t>*</w:t>
      </w:r>
      <w:r w:rsidR="00FF489F">
        <w:t xml:space="preserve"> </w:t>
      </w:r>
      <w:r w:rsidR="00DB0258">
        <w:t>Inv</w:t>
      </w:r>
      <w:r w:rsidR="00FF489F" w:rsidRPr="00BB2B9F">
        <w:rPr>
          <w:vertAlign w:val="superscript"/>
        </w:rPr>
        <w:t>2</w:t>
      </w:r>
      <w:r w:rsidR="00FF489F" w:rsidRPr="00EB7239">
        <w:rPr>
          <w:vertAlign w:val="subscript"/>
        </w:rPr>
        <w:t>(</w:t>
      </w:r>
      <w:proofErr w:type="spellStart"/>
      <w:r w:rsidR="00FF489F" w:rsidRPr="00EB7239">
        <w:rPr>
          <w:vertAlign w:val="subscript"/>
        </w:rPr>
        <w:t>t+i</w:t>
      </w:r>
      <w:proofErr w:type="spellEnd"/>
      <w:r w:rsidR="00FF489F" w:rsidRPr="00EB7239">
        <w:rPr>
          <w:vertAlign w:val="subscript"/>
        </w:rPr>
        <w:t>)</w:t>
      </w:r>
      <w:r w:rsidR="00FF489F" w:rsidRPr="004E4759">
        <w:t xml:space="preserve"> +</w:t>
      </w:r>
      <w:r w:rsidR="00FF489F">
        <w:t xml:space="preserve"> </w:t>
      </w:r>
      <w:r w:rsidR="00FF489F" w:rsidRPr="00231030">
        <w:rPr>
          <w:lang w:val="ru-RU"/>
        </w:rPr>
        <w:t>β</w:t>
      </w:r>
      <w:r w:rsidR="00DB0258">
        <w:t>5</w:t>
      </w:r>
      <w:r w:rsidR="00FF489F">
        <w:t xml:space="preserve"> </w:t>
      </w:r>
      <w:r w:rsidR="00FF489F" w:rsidRPr="004E4759">
        <w:t>*</w:t>
      </w:r>
      <w:r w:rsidR="00FF489F">
        <w:t xml:space="preserve"> A</w:t>
      </w:r>
      <w:r w:rsidR="00DB0258">
        <w:t>P</w:t>
      </w:r>
      <w:r w:rsidR="00FF489F" w:rsidRPr="00EB7239">
        <w:rPr>
          <w:vertAlign w:val="subscript"/>
        </w:rPr>
        <w:t>(</w:t>
      </w:r>
      <w:proofErr w:type="spellStart"/>
      <w:r w:rsidR="00FF489F" w:rsidRPr="00EB7239">
        <w:rPr>
          <w:vertAlign w:val="subscript"/>
        </w:rPr>
        <w:t>t+i</w:t>
      </w:r>
      <w:proofErr w:type="spellEnd"/>
      <w:r w:rsidR="00FF489F" w:rsidRPr="00EB7239">
        <w:rPr>
          <w:vertAlign w:val="subscript"/>
        </w:rPr>
        <w:t>)</w:t>
      </w:r>
      <w:r w:rsidR="00FF489F" w:rsidRPr="004E4759">
        <w:t xml:space="preserve"> + </w:t>
      </w:r>
      <w:r w:rsidR="00FF489F" w:rsidRPr="00231030">
        <w:rPr>
          <w:lang w:val="ru-RU"/>
        </w:rPr>
        <w:t>β</w:t>
      </w:r>
      <w:r w:rsidR="00DB0258">
        <w:t>6</w:t>
      </w:r>
      <w:r w:rsidR="00FF489F">
        <w:t xml:space="preserve"> </w:t>
      </w:r>
      <w:r w:rsidR="00FF489F" w:rsidRPr="004E4759">
        <w:t>*</w:t>
      </w:r>
      <w:r w:rsidR="00FF489F">
        <w:t xml:space="preserve"> A</w:t>
      </w:r>
      <w:r w:rsidR="00DB0258">
        <w:t>P</w:t>
      </w:r>
      <w:r w:rsidR="00FF489F" w:rsidRPr="00BB2B9F">
        <w:rPr>
          <w:vertAlign w:val="superscript"/>
        </w:rPr>
        <w:t>2</w:t>
      </w:r>
      <w:r w:rsidR="00FF489F" w:rsidRPr="00EB7239">
        <w:rPr>
          <w:vertAlign w:val="subscript"/>
        </w:rPr>
        <w:t>(</w:t>
      </w:r>
      <w:proofErr w:type="spellStart"/>
      <w:r w:rsidR="00FF489F" w:rsidRPr="00EB7239">
        <w:rPr>
          <w:vertAlign w:val="subscript"/>
        </w:rPr>
        <w:t>t+i</w:t>
      </w:r>
      <w:proofErr w:type="spellEnd"/>
      <w:r w:rsidR="00FF489F" w:rsidRPr="00EB7239">
        <w:rPr>
          <w:vertAlign w:val="subscript"/>
        </w:rPr>
        <w:t>)</w:t>
      </w:r>
      <w:r w:rsidR="00FF489F">
        <w:t xml:space="preserve"> + </w:t>
      </w:r>
      <w:r w:rsidR="00BB2B9F" w:rsidRPr="00231030">
        <w:rPr>
          <w:lang w:val="ru-RU"/>
        </w:rPr>
        <w:t>β</w:t>
      </w:r>
      <w:r w:rsidR="00DB0258">
        <w:t>7</w:t>
      </w:r>
      <w:r w:rsidR="00BB2B9F">
        <w:t xml:space="preserve"> </w:t>
      </w:r>
      <w:r w:rsidR="00EB28E3" w:rsidRPr="004E4759">
        <w:t>*</w:t>
      </w:r>
      <w:r>
        <w:t xml:space="preserve"> </w:t>
      </w:r>
      <w:r w:rsidR="00EB28E3">
        <w:t>DS</w:t>
      </w:r>
      <w:r w:rsidR="00EB28E3" w:rsidRPr="00EB7239">
        <w:rPr>
          <w:vertAlign w:val="subscript"/>
        </w:rPr>
        <w:t>(t</w:t>
      </w:r>
      <w:r w:rsidR="00EB28E3">
        <w:rPr>
          <w:vertAlign w:val="subscript"/>
        </w:rPr>
        <w:t>-1</w:t>
      </w:r>
      <w:r w:rsidR="00EB28E3" w:rsidRPr="00EB7239">
        <w:rPr>
          <w:vertAlign w:val="subscript"/>
        </w:rPr>
        <w:t>)</w:t>
      </w:r>
      <w:r w:rsidR="00EB28E3">
        <w:t xml:space="preserve"> </w:t>
      </w:r>
      <w:r w:rsidR="00EB28E3" w:rsidRPr="004E4759">
        <w:t xml:space="preserve">+ </w:t>
      </w:r>
      <w:r w:rsidR="00EB28E3" w:rsidRPr="00231030">
        <w:rPr>
          <w:lang w:val="ru-RU"/>
        </w:rPr>
        <w:t>β</w:t>
      </w:r>
      <w:r w:rsidR="00DB0258">
        <w:t>8</w:t>
      </w:r>
      <w:r>
        <w:t xml:space="preserve"> </w:t>
      </w:r>
      <w:r w:rsidR="00EB28E3" w:rsidRPr="004E4759">
        <w:t>*</w:t>
      </w:r>
      <w:r>
        <w:t xml:space="preserve"> </w:t>
      </w:r>
      <w:r w:rsidR="008053AD">
        <w:t>I</w:t>
      </w:r>
      <w:r w:rsidR="00EB28E3">
        <w:t>S</w:t>
      </w:r>
      <w:r w:rsidR="00EB28E3" w:rsidRPr="00EB7239">
        <w:rPr>
          <w:vertAlign w:val="subscript"/>
        </w:rPr>
        <w:t>(t</w:t>
      </w:r>
      <w:r w:rsidR="00EB28E3">
        <w:rPr>
          <w:vertAlign w:val="subscript"/>
        </w:rPr>
        <w:t>-1</w:t>
      </w:r>
      <w:r w:rsidR="00EB28E3" w:rsidRPr="00EB7239">
        <w:rPr>
          <w:vertAlign w:val="subscript"/>
        </w:rPr>
        <w:t>)</w:t>
      </w:r>
      <w:r w:rsidR="00EB28E3">
        <w:t xml:space="preserve"> </w:t>
      </w:r>
      <w:r w:rsidR="00EB28E3" w:rsidRPr="004E4759">
        <w:t xml:space="preserve">+ </w:t>
      </w:r>
      <w:r w:rsidR="00EB28E3" w:rsidRPr="00231030">
        <w:rPr>
          <w:lang w:val="ru-RU"/>
        </w:rPr>
        <w:t>β</w:t>
      </w:r>
      <w:r w:rsidR="00DB0258">
        <w:t>9</w:t>
      </w:r>
      <w:r>
        <w:t xml:space="preserve"> </w:t>
      </w:r>
      <w:r w:rsidR="00EB28E3" w:rsidRPr="004E4759">
        <w:t>*</w:t>
      </w:r>
      <w:r>
        <w:t xml:space="preserve"> </w:t>
      </w:r>
      <w:r w:rsidR="00EB28E3">
        <w:t>FT</w:t>
      </w:r>
      <w:r w:rsidR="00EB28E3" w:rsidRPr="00EB7239">
        <w:rPr>
          <w:vertAlign w:val="subscript"/>
        </w:rPr>
        <w:t>(t</w:t>
      </w:r>
      <w:r w:rsidR="00EB28E3">
        <w:rPr>
          <w:vertAlign w:val="subscript"/>
        </w:rPr>
        <w:t>-1</w:t>
      </w:r>
      <w:r w:rsidR="00EB28E3" w:rsidRPr="00EB7239">
        <w:rPr>
          <w:vertAlign w:val="subscript"/>
        </w:rPr>
        <w:t>)</w:t>
      </w:r>
      <w:r w:rsidR="00EB28E3">
        <w:t xml:space="preserve"> </w:t>
      </w:r>
      <w:r w:rsidR="00EB28E3" w:rsidRPr="00EB7239">
        <w:t xml:space="preserve">+ </w:t>
      </w:r>
      <w:r w:rsidRPr="00231030">
        <w:rPr>
          <w:lang w:val="ru-RU"/>
        </w:rPr>
        <w:t>β</w:t>
      </w:r>
      <w:r w:rsidR="00DB0258">
        <w:t>10</w:t>
      </w:r>
      <w:r>
        <w:t xml:space="preserve"> </w:t>
      </w:r>
      <w:r w:rsidRPr="004E4759">
        <w:t>*</w:t>
      </w:r>
      <w:r>
        <w:t xml:space="preserve"> CLR</w:t>
      </w:r>
      <w:r w:rsidRPr="00EB7239">
        <w:rPr>
          <w:vertAlign w:val="subscript"/>
        </w:rPr>
        <w:t>(</w:t>
      </w:r>
      <w:proofErr w:type="spellStart"/>
      <w:r w:rsidRPr="00EB7239">
        <w:rPr>
          <w:vertAlign w:val="subscript"/>
        </w:rPr>
        <w:t>t+i</w:t>
      </w:r>
      <w:proofErr w:type="spellEnd"/>
      <w:r w:rsidRPr="00EB7239">
        <w:rPr>
          <w:vertAlign w:val="subscript"/>
        </w:rPr>
        <w:t>)</w:t>
      </w:r>
      <w:r>
        <w:t xml:space="preserve"> + </w:t>
      </w:r>
      <w:r w:rsidRPr="00231030">
        <w:rPr>
          <w:lang w:val="ru-RU"/>
        </w:rPr>
        <w:t>β</w:t>
      </w:r>
      <w:r w:rsidR="00DB0258">
        <w:t>11</w:t>
      </w:r>
      <w:r>
        <w:t xml:space="preserve"> </w:t>
      </w:r>
      <w:r w:rsidRPr="004E4759">
        <w:t>*</w:t>
      </w:r>
      <w:r>
        <w:t xml:space="preserve"> GDP</w:t>
      </w:r>
      <w:r w:rsidRPr="00EB7239">
        <w:rPr>
          <w:vertAlign w:val="subscript"/>
        </w:rPr>
        <w:t>(</w:t>
      </w:r>
      <w:proofErr w:type="spellStart"/>
      <w:r w:rsidRPr="00EB7239">
        <w:rPr>
          <w:vertAlign w:val="subscript"/>
        </w:rPr>
        <w:t>t+i</w:t>
      </w:r>
      <w:proofErr w:type="spellEnd"/>
      <w:r w:rsidRPr="00EB7239">
        <w:rPr>
          <w:vertAlign w:val="subscript"/>
        </w:rPr>
        <w:t>)</w:t>
      </w:r>
      <w:r w:rsidR="00BB2B9F">
        <w:t xml:space="preserve"> </w:t>
      </w:r>
      <w:r>
        <w:t>+</w:t>
      </w:r>
      <w:r w:rsidRPr="006A637E">
        <w:t xml:space="preserve"> </w:t>
      </w:r>
      <w:r w:rsidRPr="00231030">
        <w:rPr>
          <w:lang w:val="ru-RU"/>
        </w:rPr>
        <w:t>β</w:t>
      </w:r>
      <w:r w:rsidR="00DB0258">
        <w:t>12</w:t>
      </w:r>
      <w:r>
        <w:t xml:space="preserve"> </w:t>
      </w:r>
      <w:r w:rsidRPr="004E4759">
        <w:t>*</w:t>
      </w:r>
      <w:r>
        <w:t xml:space="preserve"> OPR</w:t>
      </w:r>
      <w:r w:rsidRPr="00EB7239">
        <w:rPr>
          <w:vertAlign w:val="subscript"/>
        </w:rPr>
        <w:t>(</w:t>
      </w:r>
      <w:proofErr w:type="spellStart"/>
      <w:r w:rsidRPr="00EB7239">
        <w:rPr>
          <w:vertAlign w:val="subscript"/>
        </w:rPr>
        <w:t>t+i</w:t>
      </w:r>
      <w:proofErr w:type="spellEnd"/>
      <w:r w:rsidRPr="00EB7239">
        <w:rPr>
          <w:vertAlign w:val="subscript"/>
        </w:rPr>
        <w:t>)</w:t>
      </w:r>
      <w:r>
        <w:t xml:space="preserve"> </w:t>
      </w:r>
      <w:r w:rsidR="00BB2B9F">
        <w:t xml:space="preserve"> </w:t>
      </w:r>
      <w:r>
        <w:t xml:space="preserve">   </w:t>
      </w:r>
      <w:r w:rsidR="00FF489F">
        <w:t xml:space="preserve"> </w:t>
      </w:r>
      <w:r w:rsidR="00EB28E3" w:rsidRPr="00EB7239">
        <w:t>(</w:t>
      </w:r>
      <w:r w:rsidR="00971A38">
        <w:t>1</w:t>
      </w:r>
      <w:r w:rsidR="00EB28E3" w:rsidRPr="00EB7239">
        <w:t>)</w:t>
      </w:r>
    </w:p>
    <w:p w14:paraId="5F8A86BF" w14:textId="3A329DB7" w:rsidR="00EB28E3" w:rsidRDefault="00EB28E3" w:rsidP="004D2A38">
      <w:pPr>
        <w:tabs>
          <w:tab w:val="left" w:pos="0"/>
        </w:tabs>
        <w:jc w:val="left"/>
      </w:pPr>
      <w:r>
        <w:t xml:space="preserve">where: </w:t>
      </w:r>
    </w:p>
    <w:p w14:paraId="6060360F" w14:textId="7E4F1933" w:rsidR="00EB28E3" w:rsidRDefault="006A637E" w:rsidP="004D2A38">
      <w:pPr>
        <w:tabs>
          <w:tab w:val="left" w:pos="0"/>
        </w:tabs>
        <w:jc w:val="left"/>
      </w:pPr>
      <w:r>
        <w:t>C</w:t>
      </w:r>
      <w:r w:rsidR="00EB28E3">
        <w:t>TQ</w:t>
      </w:r>
      <w:r w:rsidR="00EB28E3" w:rsidRPr="00EB7239">
        <w:rPr>
          <w:vertAlign w:val="subscript"/>
        </w:rPr>
        <w:t>(</w:t>
      </w:r>
      <w:proofErr w:type="spellStart"/>
      <w:r w:rsidR="00EB28E3" w:rsidRPr="00EB7239">
        <w:rPr>
          <w:vertAlign w:val="subscript"/>
        </w:rPr>
        <w:t>t+i</w:t>
      </w:r>
      <w:proofErr w:type="spellEnd"/>
      <w:r w:rsidR="00EB28E3" w:rsidRPr="00EB7239">
        <w:rPr>
          <w:vertAlign w:val="subscript"/>
        </w:rPr>
        <w:t>)</w:t>
      </w:r>
      <w:r w:rsidR="00EB28E3">
        <w:rPr>
          <w:vertAlign w:val="subscript"/>
        </w:rPr>
        <w:t xml:space="preserve"> </w:t>
      </w:r>
      <w:r w:rsidR="00EB28E3">
        <w:t xml:space="preserve">– change in Tobin’s Q ratio </w:t>
      </w:r>
      <w:proofErr w:type="spellStart"/>
      <w:r w:rsidR="00EB28E3">
        <w:t>i</w:t>
      </w:r>
      <w:proofErr w:type="spellEnd"/>
      <w:r w:rsidR="00EB28E3">
        <w:t>-years after the deal completion;</w:t>
      </w:r>
    </w:p>
    <w:p w14:paraId="6606D422" w14:textId="6A740BA3" w:rsidR="00EB28E3" w:rsidRDefault="00DB0258" w:rsidP="004D2A38">
      <w:pPr>
        <w:tabs>
          <w:tab w:val="left" w:pos="0"/>
        </w:tabs>
        <w:jc w:val="left"/>
      </w:pPr>
      <w:r>
        <w:t>AR</w:t>
      </w:r>
      <w:r w:rsidR="00EB28E3" w:rsidRPr="00EB7239">
        <w:rPr>
          <w:vertAlign w:val="subscript"/>
        </w:rPr>
        <w:t>(</w:t>
      </w:r>
      <w:proofErr w:type="spellStart"/>
      <w:r w:rsidR="00EB28E3" w:rsidRPr="00EB7239">
        <w:rPr>
          <w:vertAlign w:val="subscript"/>
        </w:rPr>
        <w:t>t+i</w:t>
      </w:r>
      <w:proofErr w:type="spellEnd"/>
      <w:r w:rsidR="00EB28E3" w:rsidRPr="00EB7239">
        <w:rPr>
          <w:vertAlign w:val="subscript"/>
        </w:rPr>
        <w:t>)</w:t>
      </w:r>
      <w:r w:rsidR="00EB28E3">
        <w:rPr>
          <w:vertAlign w:val="subscript"/>
        </w:rPr>
        <w:t xml:space="preserve"> </w:t>
      </w:r>
      <w:r w:rsidR="00EB28E3">
        <w:t xml:space="preserve">– change in </w:t>
      </w:r>
      <w:r>
        <w:t>number of Days in accounts receivable</w:t>
      </w:r>
      <w:r w:rsidR="00EB28E3">
        <w:t xml:space="preserve"> </w:t>
      </w:r>
      <w:proofErr w:type="spellStart"/>
      <w:r w:rsidR="00EB28E3">
        <w:t>i</w:t>
      </w:r>
      <w:proofErr w:type="spellEnd"/>
      <w:r w:rsidR="00EB28E3">
        <w:t>-years after the deal completion;</w:t>
      </w:r>
    </w:p>
    <w:p w14:paraId="6883EF3C" w14:textId="76678EFC" w:rsidR="00DB0258" w:rsidRDefault="00DB0258" w:rsidP="00DB0258">
      <w:pPr>
        <w:tabs>
          <w:tab w:val="left" w:pos="0"/>
        </w:tabs>
        <w:jc w:val="left"/>
      </w:pPr>
      <w:proofErr w:type="spellStart"/>
      <w:r>
        <w:lastRenderedPageBreak/>
        <w:t>Inv</w:t>
      </w:r>
      <w:proofErr w:type="spellEnd"/>
      <w:r w:rsidRPr="00EB7239">
        <w:rPr>
          <w:vertAlign w:val="subscript"/>
        </w:rPr>
        <w:t>(</w:t>
      </w:r>
      <w:proofErr w:type="spellStart"/>
      <w:r w:rsidRPr="00EB7239">
        <w:rPr>
          <w:vertAlign w:val="subscript"/>
        </w:rPr>
        <w:t>t+i</w:t>
      </w:r>
      <w:proofErr w:type="spellEnd"/>
      <w:r w:rsidRPr="00EB7239">
        <w:rPr>
          <w:vertAlign w:val="subscript"/>
        </w:rPr>
        <w:t>)</w:t>
      </w:r>
      <w:r>
        <w:rPr>
          <w:vertAlign w:val="subscript"/>
        </w:rPr>
        <w:t xml:space="preserve"> </w:t>
      </w:r>
      <w:r>
        <w:t xml:space="preserve">– change in number of Days in inventories </w:t>
      </w:r>
      <w:proofErr w:type="spellStart"/>
      <w:r>
        <w:t>i</w:t>
      </w:r>
      <w:proofErr w:type="spellEnd"/>
      <w:r>
        <w:t>-years after the deal completion;</w:t>
      </w:r>
    </w:p>
    <w:p w14:paraId="77349137" w14:textId="7C7A3ACB" w:rsidR="00DB0258" w:rsidRDefault="00DB0258" w:rsidP="00DB0258">
      <w:pPr>
        <w:tabs>
          <w:tab w:val="left" w:pos="0"/>
        </w:tabs>
        <w:jc w:val="left"/>
      </w:pPr>
      <w:r>
        <w:t>AP</w:t>
      </w:r>
      <w:r w:rsidRPr="00EB7239">
        <w:rPr>
          <w:vertAlign w:val="subscript"/>
        </w:rPr>
        <w:t>(</w:t>
      </w:r>
      <w:proofErr w:type="spellStart"/>
      <w:r w:rsidRPr="00EB7239">
        <w:rPr>
          <w:vertAlign w:val="subscript"/>
        </w:rPr>
        <w:t>t+i</w:t>
      </w:r>
      <w:proofErr w:type="spellEnd"/>
      <w:r w:rsidRPr="00EB7239">
        <w:rPr>
          <w:vertAlign w:val="subscript"/>
        </w:rPr>
        <w:t>)</w:t>
      </w:r>
      <w:r>
        <w:rPr>
          <w:vertAlign w:val="subscript"/>
        </w:rPr>
        <w:t xml:space="preserve"> </w:t>
      </w:r>
      <w:r>
        <w:t xml:space="preserve">– change in number of Days in accounts payable </w:t>
      </w:r>
      <w:proofErr w:type="spellStart"/>
      <w:r>
        <w:t>i</w:t>
      </w:r>
      <w:proofErr w:type="spellEnd"/>
      <w:r>
        <w:t>-years after the deal completion;</w:t>
      </w:r>
    </w:p>
    <w:p w14:paraId="708757E1" w14:textId="77777777" w:rsidR="00EB28E3" w:rsidRDefault="00EB28E3" w:rsidP="004D2A38">
      <w:pPr>
        <w:tabs>
          <w:tab w:val="left" w:pos="0"/>
        </w:tabs>
        <w:jc w:val="left"/>
      </w:pPr>
      <w:r>
        <w:t>DS</w:t>
      </w:r>
      <w:r w:rsidRPr="00EB7239">
        <w:rPr>
          <w:vertAlign w:val="subscript"/>
        </w:rPr>
        <w:t>(t</w:t>
      </w:r>
      <w:r>
        <w:rPr>
          <w:vertAlign w:val="subscript"/>
        </w:rPr>
        <w:t>-1</w:t>
      </w:r>
      <w:r w:rsidRPr="00EB7239">
        <w:rPr>
          <w:vertAlign w:val="subscript"/>
        </w:rPr>
        <w:t>)</w:t>
      </w:r>
      <w:r>
        <w:t xml:space="preserve">  – deal size in terms of value paid;</w:t>
      </w:r>
    </w:p>
    <w:p w14:paraId="13433E1D" w14:textId="7CE8842B" w:rsidR="00EB28E3" w:rsidRDefault="008053AD" w:rsidP="004D2A38">
      <w:pPr>
        <w:tabs>
          <w:tab w:val="left" w:pos="0"/>
        </w:tabs>
        <w:jc w:val="left"/>
      </w:pPr>
      <w:r>
        <w:t>I</w:t>
      </w:r>
      <w:r w:rsidR="00EB28E3">
        <w:t>S</w:t>
      </w:r>
      <w:r w:rsidR="00EB28E3" w:rsidRPr="00EB7239">
        <w:rPr>
          <w:vertAlign w:val="subscript"/>
        </w:rPr>
        <w:t>(t</w:t>
      </w:r>
      <w:r w:rsidR="00EB28E3">
        <w:rPr>
          <w:vertAlign w:val="subscript"/>
        </w:rPr>
        <w:t>-1</w:t>
      </w:r>
      <w:r w:rsidR="00EB28E3" w:rsidRPr="00EB7239">
        <w:rPr>
          <w:vertAlign w:val="subscript"/>
        </w:rPr>
        <w:t>)</w:t>
      </w:r>
      <w:r w:rsidR="00EB28E3">
        <w:t xml:space="preserve">  – </w:t>
      </w:r>
      <w:r w:rsidR="006A637E">
        <w:t>acquirer and target</w:t>
      </w:r>
      <w:r w:rsidR="00EB28E3">
        <w:t xml:space="preserve"> </w:t>
      </w:r>
      <w:r w:rsidR="006A637E">
        <w:t>industry</w:t>
      </w:r>
      <w:r w:rsidR="00EB28E3">
        <w:t xml:space="preserve"> similarity;</w:t>
      </w:r>
    </w:p>
    <w:p w14:paraId="1931818D" w14:textId="623FADA6" w:rsidR="006A637E" w:rsidRDefault="00EB28E3" w:rsidP="004D2A38">
      <w:pPr>
        <w:tabs>
          <w:tab w:val="left" w:pos="0"/>
        </w:tabs>
        <w:jc w:val="left"/>
      </w:pPr>
      <w:r>
        <w:t>FT</w:t>
      </w:r>
      <w:r w:rsidRPr="00EB7239">
        <w:rPr>
          <w:vertAlign w:val="subscript"/>
        </w:rPr>
        <w:t>(t</w:t>
      </w:r>
      <w:r>
        <w:rPr>
          <w:vertAlign w:val="subscript"/>
        </w:rPr>
        <w:t>-1</w:t>
      </w:r>
      <w:r w:rsidRPr="00EB7239">
        <w:rPr>
          <w:vertAlign w:val="subscript"/>
        </w:rPr>
        <w:t>)</w:t>
      </w:r>
      <w:r>
        <w:t xml:space="preserve">  – deal financing type</w:t>
      </w:r>
      <w:r w:rsidR="006A637E">
        <w:t>;</w:t>
      </w:r>
    </w:p>
    <w:p w14:paraId="3FF5AC19" w14:textId="2094C27D" w:rsidR="006A637E" w:rsidRPr="008053AD" w:rsidRDefault="006A637E" w:rsidP="004D2A38">
      <w:pPr>
        <w:tabs>
          <w:tab w:val="left" w:pos="0"/>
        </w:tabs>
        <w:jc w:val="left"/>
      </w:pPr>
      <w:r>
        <w:t>CLR</w:t>
      </w:r>
      <w:r w:rsidRPr="00EB7239">
        <w:rPr>
          <w:vertAlign w:val="subscript"/>
        </w:rPr>
        <w:t>(</w:t>
      </w:r>
      <w:proofErr w:type="spellStart"/>
      <w:r w:rsidRPr="00EB7239">
        <w:rPr>
          <w:vertAlign w:val="subscript"/>
        </w:rPr>
        <w:t>t+i</w:t>
      </w:r>
      <w:proofErr w:type="spellEnd"/>
      <w:r w:rsidRPr="00EB7239">
        <w:rPr>
          <w:vertAlign w:val="subscript"/>
        </w:rPr>
        <w:t>)</w:t>
      </w:r>
      <w:r>
        <w:rPr>
          <w:vertAlign w:val="subscript"/>
        </w:rPr>
        <w:t xml:space="preserve"> </w:t>
      </w:r>
      <w:r w:rsidRPr="008053AD">
        <w:t xml:space="preserve">– change in leverage </w:t>
      </w:r>
      <w:proofErr w:type="spellStart"/>
      <w:r w:rsidRPr="008053AD">
        <w:t>ration</w:t>
      </w:r>
      <w:proofErr w:type="spellEnd"/>
      <w:r w:rsidRPr="008053AD">
        <w:t xml:space="preserve"> </w:t>
      </w:r>
      <w:proofErr w:type="spellStart"/>
      <w:r w:rsidRPr="008053AD">
        <w:t>i</w:t>
      </w:r>
      <w:proofErr w:type="spellEnd"/>
      <w:r w:rsidRPr="008053AD">
        <w:t>-years after the deal completion;</w:t>
      </w:r>
    </w:p>
    <w:p w14:paraId="05F60450" w14:textId="6CE02792" w:rsidR="006A637E" w:rsidRDefault="006A637E" w:rsidP="004D2A38">
      <w:pPr>
        <w:tabs>
          <w:tab w:val="left" w:pos="0"/>
        </w:tabs>
        <w:jc w:val="left"/>
      </w:pPr>
      <w:r>
        <w:t>GDP</w:t>
      </w:r>
      <w:r w:rsidRPr="00EB7239">
        <w:rPr>
          <w:vertAlign w:val="subscript"/>
        </w:rPr>
        <w:t>(</w:t>
      </w:r>
      <w:proofErr w:type="spellStart"/>
      <w:r w:rsidRPr="00EB7239">
        <w:rPr>
          <w:vertAlign w:val="subscript"/>
        </w:rPr>
        <w:t>t+i</w:t>
      </w:r>
      <w:proofErr w:type="spellEnd"/>
      <w:r w:rsidRPr="00EB7239">
        <w:rPr>
          <w:vertAlign w:val="subscript"/>
        </w:rPr>
        <w:t>)</w:t>
      </w:r>
      <w:r>
        <w:rPr>
          <w:vertAlign w:val="subscript"/>
        </w:rPr>
        <w:t xml:space="preserve"> </w:t>
      </w:r>
      <w:r>
        <w:t xml:space="preserve">– GDP growth </w:t>
      </w:r>
      <w:proofErr w:type="spellStart"/>
      <w:r>
        <w:t>i</w:t>
      </w:r>
      <w:proofErr w:type="spellEnd"/>
      <w:r>
        <w:t>-years after the deal completion;</w:t>
      </w:r>
    </w:p>
    <w:p w14:paraId="6E5AEABF" w14:textId="252CC2B8" w:rsidR="006A637E" w:rsidRDefault="006A637E" w:rsidP="004D2A38">
      <w:pPr>
        <w:tabs>
          <w:tab w:val="left" w:pos="0"/>
        </w:tabs>
        <w:jc w:val="left"/>
      </w:pPr>
      <w:r>
        <w:t>OPR</w:t>
      </w:r>
      <w:r w:rsidRPr="00EB7239">
        <w:rPr>
          <w:vertAlign w:val="subscript"/>
        </w:rPr>
        <w:t>(</w:t>
      </w:r>
      <w:proofErr w:type="spellStart"/>
      <w:r w:rsidRPr="00EB7239">
        <w:rPr>
          <w:vertAlign w:val="subscript"/>
        </w:rPr>
        <w:t>t+i</w:t>
      </w:r>
      <w:proofErr w:type="spellEnd"/>
      <w:r>
        <w:rPr>
          <w:vertAlign w:val="subscript"/>
        </w:rPr>
        <w:t xml:space="preserve">) </w:t>
      </w:r>
      <w:r w:rsidR="008053AD">
        <w:t>–</w:t>
      </w:r>
      <w:r>
        <w:t xml:space="preserve"> </w:t>
      </w:r>
      <w:r w:rsidR="008053AD">
        <w:t xml:space="preserve">change in oil prices </w:t>
      </w:r>
      <w:proofErr w:type="spellStart"/>
      <w:r w:rsidR="008053AD">
        <w:t>i</w:t>
      </w:r>
      <w:proofErr w:type="spellEnd"/>
      <w:r w:rsidR="008053AD">
        <w:t>-years after the deal completion.</w:t>
      </w:r>
    </w:p>
    <w:p w14:paraId="515473D4" w14:textId="77777777" w:rsidR="00EB28E3" w:rsidRDefault="00EB28E3" w:rsidP="004D2A38">
      <w:pPr>
        <w:pStyle w:val="a0"/>
        <w:tabs>
          <w:tab w:val="left" w:pos="0"/>
        </w:tabs>
      </w:pPr>
      <w:bookmarkStart w:id="23" w:name="_Ref513689190"/>
      <w:r>
        <w:t>Variables summary</w:t>
      </w:r>
      <w:bookmarkEnd w:id="23"/>
    </w:p>
    <w:tbl>
      <w:tblPr>
        <w:tblStyle w:val="22"/>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2136"/>
        <w:gridCol w:w="6485"/>
      </w:tblGrid>
      <w:tr w:rsidR="008053AD" w:rsidRPr="00CC1D40" w14:paraId="060470EC" w14:textId="77777777" w:rsidTr="00B36F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pct"/>
            <w:tcBorders>
              <w:bottom w:val="none" w:sz="0" w:space="0" w:color="auto"/>
            </w:tcBorders>
          </w:tcPr>
          <w:p w14:paraId="67AC9183" w14:textId="4C4ED1A7" w:rsidR="008053AD" w:rsidRPr="00CC1D40" w:rsidRDefault="00B36F82" w:rsidP="004D2A38">
            <w:pPr>
              <w:tabs>
                <w:tab w:val="left" w:pos="0"/>
              </w:tabs>
              <w:ind w:firstLine="0"/>
              <w:jc w:val="left"/>
              <w:rPr>
                <w:rFonts w:cs="Times New Roman"/>
                <w:sz w:val="20"/>
                <w:szCs w:val="20"/>
              </w:rPr>
            </w:pPr>
            <w:r w:rsidRPr="00CC1D40">
              <w:rPr>
                <w:rFonts w:cs="Times New Roman"/>
                <w:sz w:val="20"/>
                <w:szCs w:val="20"/>
              </w:rPr>
              <w:t>Variable</w:t>
            </w:r>
          </w:p>
        </w:tc>
        <w:tc>
          <w:tcPr>
            <w:tcW w:w="1096" w:type="pct"/>
            <w:tcBorders>
              <w:bottom w:val="none" w:sz="0" w:space="0" w:color="auto"/>
            </w:tcBorders>
            <w:shd w:val="clear" w:color="auto" w:fill="auto"/>
          </w:tcPr>
          <w:p w14:paraId="2FEC6C14" w14:textId="57D4C610" w:rsidR="008053AD" w:rsidRPr="00CC1D40" w:rsidRDefault="008053AD" w:rsidP="004D2A38">
            <w:pPr>
              <w:tabs>
                <w:tab w:val="left" w:pos="0"/>
              </w:tabs>
              <w:ind w:firstLine="0"/>
              <w:jc w:val="left"/>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CC1D40">
              <w:rPr>
                <w:rFonts w:cs="Times New Roman"/>
                <w:sz w:val="20"/>
                <w:szCs w:val="20"/>
              </w:rPr>
              <w:t xml:space="preserve"> Name</w:t>
            </w:r>
          </w:p>
        </w:tc>
        <w:tc>
          <w:tcPr>
            <w:tcW w:w="3328" w:type="pct"/>
            <w:tcBorders>
              <w:bottom w:val="none" w:sz="0" w:space="0" w:color="auto"/>
            </w:tcBorders>
            <w:shd w:val="clear" w:color="auto" w:fill="auto"/>
          </w:tcPr>
          <w:p w14:paraId="1BFAF7E3" w14:textId="77777777" w:rsidR="008053AD" w:rsidRPr="00CC1D40" w:rsidRDefault="008053AD" w:rsidP="004D2A38">
            <w:pPr>
              <w:tabs>
                <w:tab w:val="left" w:pos="0"/>
              </w:tabs>
              <w:ind w:firstLine="0"/>
              <w:jc w:val="left"/>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CC1D40">
              <w:rPr>
                <w:rFonts w:cs="Times New Roman"/>
                <w:sz w:val="20"/>
                <w:szCs w:val="20"/>
              </w:rPr>
              <w:t>Proxy</w:t>
            </w:r>
          </w:p>
        </w:tc>
      </w:tr>
      <w:tr w:rsidR="008053AD" w:rsidRPr="00CC1D40" w14:paraId="1DA64CFC" w14:textId="77777777" w:rsidTr="00B36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pct"/>
            <w:tcBorders>
              <w:top w:val="none" w:sz="0" w:space="0" w:color="auto"/>
              <w:bottom w:val="none" w:sz="0" w:space="0" w:color="auto"/>
            </w:tcBorders>
            <w:vAlign w:val="center"/>
          </w:tcPr>
          <w:p w14:paraId="4557CE64" w14:textId="0F278FC7" w:rsidR="008053AD" w:rsidRPr="00CC1D40" w:rsidRDefault="008053AD" w:rsidP="004D2A38">
            <w:pPr>
              <w:tabs>
                <w:tab w:val="left" w:pos="0"/>
              </w:tabs>
              <w:ind w:firstLine="0"/>
              <w:jc w:val="left"/>
              <w:rPr>
                <w:rFonts w:cs="Times New Roman"/>
                <w:b w:val="0"/>
                <w:sz w:val="20"/>
                <w:szCs w:val="20"/>
              </w:rPr>
            </w:pPr>
            <w:r w:rsidRPr="00CC1D40">
              <w:rPr>
                <w:rFonts w:cs="Times New Roman"/>
                <w:b w:val="0"/>
                <w:sz w:val="20"/>
                <w:szCs w:val="20"/>
              </w:rPr>
              <w:t>CTQ</w:t>
            </w:r>
            <w:r w:rsidRPr="00CC1D40">
              <w:rPr>
                <w:rFonts w:cs="Times New Roman"/>
                <w:b w:val="0"/>
                <w:sz w:val="20"/>
                <w:szCs w:val="20"/>
                <w:vertAlign w:val="subscript"/>
              </w:rPr>
              <w:t>(</w:t>
            </w:r>
            <w:proofErr w:type="spellStart"/>
            <w:r w:rsidRPr="00CC1D40">
              <w:rPr>
                <w:rFonts w:cs="Times New Roman"/>
                <w:b w:val="0"/>
                <w:sz w:val="20"/>
                <w:szCs w:val="20"/>
                <w:vertAlign w:val="subscript"/>
              </w:rPr>
              <w:t>t+i</w:t>
            </w:r>
            <w:proofErr w:type="spellEnd"/>
            <w:r w:rsidRPr="00CC1D40">
              <w:rPr>
                <w:rFonts w:cs="Times New Roman"/>
                <w:b w:val="0"/>
                <w:sz w:val="20"/>
                <w:szCs w:val="20"/>
                <w:vertAlign w:val="subscript"/>
              </w:rPr>
              <w:t>)</w:t>
            </w:r>
          </w:p>
        </w:tc>
        <w:tc>
          <w:tcPr>
            <w:tcW w:w="1096" w:type="pct"/>
            <w:tcBorders>
              <w:top w:val="none" w:sz="0" w:space="0" w:color="auto"/>
              <w:bottom w:val="none" w:sz="0" w:space="0" w:color="auto"/>
            </w:tcBorders>
            <w:vAlign w:val="center"/>
          </w:tcPr>
          <w:p w14:paraId="736CBCB6" w14:textId="00B81F8C" w:rsidR="008053AD" w:rsidRPr="00CC1D40" w:rsidRDefault="008053AD" w:rsidP="004D2A38">
            <w:pPr>
              <w:tabs>
                <w:tab w:val="left" w:pos="0"/>
              </w:tabs>
              <w:ind w:firstLin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C1D40">
              <w:rPr>
                <w:rFonts w:cs="Times New Roman"/>
                <w:sz w:val="20"/>
                <w:szCs w:val="20"/>
              </w:rPr>
              <w:t>Change in Tobin’s Q ratio</w:t>
            </w:r>
          </w:p>
        </w:tc>
        <w:tc>
          <w:tcPr>
            <w:tcW w:w="3328" w:type="pct"/>
            <w:tcBorders>
              <w:top w:val="none" w:sz="0" w:space="0" w:color="auto"/>
              <w:bottom w:val="none" w:sz="0" w:space="0" w:color="auto"/>
            </w:tcBorders>
            <w:vAlign w:val="center"/>
          </w:tcPr>
          <w:p w14:paraId="2D908E0D" w14:textId="68CA6112" w:rsidR="008053AD" w:rsidRPr="00CC1D40" w:rsidRDefault="00F83847" w:rsidP="004D2A38">
            <w:pPr>
              <w:tabs>
                <w:tab w:val="left" w:pos="0"/>
              </w:tabs>
              <w:ind w:firstLin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m:oMathPara>
              <m:oMathParaPr>
                <m:jc m:val="left"/>
              </m:oMathParaPr>
              <m:oMath>
                <m:d>
                  <m:dPr>
                    <m:ctrlPr>
                      <w:rPr>
                        <w:rFonts w:ascii="Cambria Math" w:hAnsi="Cambria Math" w:cs="Times New Roman"/>
                        <w:sz w:val="20"/>
                        <w:szCs w:val="20"/>
                      </w:rPr>
                    </m:ctrlPr>
                  </m:dPr>
                  <m:e>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Market capitalization</m:t>
                            </m:r>
                          </m:e>
                          <m:sub>
                            <m:d>
                              <m:dPr>
                                <m:ctrlPr>
                                  <w:rPr>
                                    <w:rFonts w:ascii="Cambria Math" w:hAnsi="Cambria Math" w:cs="Times New Roman"/>
                                    <w:sz w:val="20"/>
                                    <w:szCs w:val="20"/>
                                  </w:rPr>
                                </m:ctrlPr>
                              </m:dPr>
                              <m:e>
                                <m:r>
                                  <m:rPr>
                                    <m:sty m:val="p"/>
                                  </m:rPr>
                                  <w:rPr>
                                    <w:rFonts w:ascii="Cambria Math" w:hAnsi="Cambria Math" w:cs="Times New Roman"/>
                                    <w:sz w:val="20"/>
                                    <w:szCs w:val="20"/>
                                  </w:rPr>
                                  <m:t>t+i</m:t>
                                </m:r>
                              </m:e>
                            </m:d>
                          </m:sub>
                        </m:sSub>
                      </m:num>
                      <m:den>
                        <m:sSub>
                          <m:sSubPr>
                            <m:ctrlPr>
                              <w:rPr>
                                <w:rFonts w:ascii="Cambria Math" w:hAnsi="Cambria Math" w:cs="Times New Roman"/>
                                <w:sz w:val="20"/>
                                <w:szCs w:val="20"/>
                              </w:rPr>
                            </m:ctrlPr>
                          </m:sSubPr>
                          <m:e>
                            <m:r>
                              <m:rPr>
                                <m:sty m:val="p"/>
                              </m:rPr>
                              <w:rPr>
                                <w:rFonts w:ascii="Cambria Math" w:hAnsi="Cambria Math" w:cs="Times New Roman"/>
                                <w:sz w:val="20"/>
                                <w:szCs w:val="20"/>
                              </w:rPr>
                              <m:t>Total assets</m:t>
                            </m:r>
                          </m:e>
                          <m:sub>
                            <m:d>
                              <m:dPr>
                                <m:ctrlPr>
                                  <w:rPr>
                                    <w:rFonts w:ascii="Cambria Math" w:hAnsi="Cambria Math" w:cs="Times New Roman"/>
                                    <w:sz w:val="20"/>
                                    <w:szCs w:val="20"/>
                                  </w:rPr>
                                </m:ctrlPr>
                              </m:dPr>
                              <m:e>
                                <m:r>
                                  <m:rPr>
                                    <m:sty m:val="p"/>
                                  </m:rPr>
                                  <w:rPr>
                                    <w:rFonts w:ascii="Cambria Math" w:hAnsi="Cambria Math" w:cs="Times New Roman"/>
                                    <w:sz w:val="20"/>
                                    <w:szCs w:val="20"/>
                                  </w:rPr>
                                  <m:t>t+i</m:t>
                                </m:r>
                              </m:e>
                            </m:d>
                          </m:sub>
                        </m:sSub>
                      </m:den>
                    </m:f>
                    <m:r>
                      <m:rPr>
                        <m:sty m:val="p"/>
                      </m:rPr>
                      <w:rPr>
                        <w:rFonts w:ascii="Cambria Math" w:hAnsi="Cambria Math" w:cs="Times New Roman"/>
                        <w:sz w:val="20"/>
                        <w:szCs w:val="20"/>
                      </w:rPr>
                      <m:t xml:space="preserve"> ÷ </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Market capitalization</m:t>
                            </m:r>
                          </m:e>
                          <m:sub>
                            <m:d>
                              <m:dPr>
                                <m:ctrlPr>
                                  <w:rPr>
                                    <w:rFonts w:ascii="Cambria Math" w:hAnsi="Cambria Math" w:cs="Times New Roman"/>
                                    <w:sz w:val="20"/>
                                    <w:szCs w:val="20"/>
                                  </w:rPr>
                                </m:ctrlPr>
                              </m:dPr>
                              <m:e>
                                <m:r>
                                  <m:rPr>
                                    <m:sty m:val="p"/>
                                  </m:rPr>
                                  <w:rPr>
                                    <w:rFonts w:ascii="Cambria Math" w:hAnsi="Cambria Math" w:cs="Times New Roman"/>
                                    <w:sz w:val="20"/>
                                    <w:szCs w:val="20"/>
                                  </w:rPr>
                                  <m:t>t-1</m:t>
                                </m:r>
                              </m:e>
                            </m:d>
                          </m:sub>
                        </m:sSub>
                      </m:num>
                      <m:den>
                        <m:sSub>
                          <m:sSubPr>
                            <m:ctrlPr>
                              <w:rPr>
                                <w:rFonts w:ascii="Cambria Math" w:hAnsi="Cambria Math" w:cs="Times New Roman"/>
                                <w:sz w:val="20"/>
                                <w:szCs w:val="20"/>
                              </w:rPr>
                            </m:ctrlPr>
                          </m:sSubPr>
                          <m:e>
                            <m:r>
                              <m:rPr>
                                <m:sty m:val="p"/>
                              </m:rPr>
                              <w:rPr>
                                <w:rFonts w:ascii="Cambria Math" w:hAnsi="Cambria Math" w:cs="Times New Roman"/>
                                <w:sz w:val="20"/>
                                <w:szCs w:val="20"/>
                              </w:rPr>
                              <m:t>Total assets</m:t>
                            </m:r>
                          </m:e>
                          <m:sub>
                            <m:d>
                              <m:dPr>
                                <m:ctrlPr>
                                  <w:rPr>
                                    <w:rFonts w:ascii="Cambria Math" w:hAnsi="Cambria Math" w:cs="Times New Roman"/>
                                    <w:sz w:val="20"/>
                                    <w:szCs w:val="20"/>
                                  </w:rPr>
                                </m:ctrlPr>
                              </m:dPr>
                              <m:e>
                                <m:r>
                                  <m:rPr>
                                    <m:sty m:val="p"/>
                                  </m:rPr>
                                  <w:rPr>
                                    <w:rFonts w:ascii="Cambria Math" w:hAnsi="Cambria Math" w:cs="Times New Roman"/>
                                    <w:sz w:val="20"/>
                                    <w:szCs w:val="20"/>
                                  </w:rPr>
                                  <m:t>t-1</m:t>
                                </m:r>
                              </m:e>
                            </m:d>
                          </m:sub>
                        </m:sSub>
                      </m:den>
                    </m:f>
                    <m:r>
                      <m:rPr>
                        <m:sty m:val="p"/>
                      </m:rPr>
                      <w:rPr>
                        <w:rFonts w:ascii="Cambria Math" w:hAnsi="Cambria Math" w:cs="Times New Roman"/>
                        <w:sz w:val="20"/>
                        <w:szCs w:val="20"/>
                      </w:rPr>
                      <m:t>-1</m:t>
                    </m:r>
                  </m:e>
                </m:d>
                <m:r>
                  <m:rPr>
                    <m:sty m:val="p"/>
                  </m:rPr>
                  <w:rPr>
                    <w:rFonts w:ascii="Cambria Math" w:hAnsi="Cambria Math" w:cs="Times New Roman"/>
                    <w:sz w:val="20"/>
                    <w:szCs w:val="20"/>
                  </w:rPr>
                  <m:t>×100</m:t>
                </m:r>
              </m:oMath>
            </m:oMathPara>
          </w:p>
        </w:tc>
      </w:tr>
      <w:tr w:rsidR="0036609A" w:rsidRPr="00CC1D40" w14:paraId="643F8A13" w14:textId="77777777" w:rsidTr="00B36F82">
        <w:tc>
          <w:tcPr>
            <w:cnfStyle w:val="001000000000" w:firstRow="0" w:lastRow="0" w:firstColumn="1" w:lastColumn="0" w:oddVBand="0" w:evenVBand="0" w:oddHBand="0" w:evenHBand="0" w:firstRowFirstColumn="0" w:firstRowLastColumn="0" w:lastRowFirstColumn="0" w:lastRowLastColumn="0"/>
            <w:tcW w:w="576" w:type="pct"/>
            <w:vAlign w:val="center"/>
          </w:tcPr>
          <w:p w14:paraId="552DA53C" w14:textId="308984D8" w:rsidR="0036609A" w:rsidRPr="00CC1D40" w:rsidRDefault="0036609A" w:rsidP="0036609A">
            <w:pPr>
              <w:tabs>
                <w:tab w:val="left" w:pos="0"/>
              </w:tabs>
              <w:ind w:firstLine="0"/>
              <w:jc w:val="left"/>
              <w:rPr>
                <w:rFonts w:cs="Times New Roman"/>
                <w:sz w:val="20"/>
                <w:szCs w:val="20"/>
              </w:rPr>
            </w:pPr>
            <w:r>
              <w:rPr>
                <w:rFonts w:cs="Times New Roman"/>
                <w:b w:val="0"/>
                <w:sz w:val="20"/>
                <w:szCs w:val="20"/>
              </w:rPr>
              <w:t>A</w:t>
            </w:r>
            <w:r w:rsidRPr="00CC1D40">
              <w:rPr>
                <w:rFonts w:cs="Times New Roman"/>
                <w:b w:val="0"/>
                <w:sz w:val="20"/>
                <w:szCs w:val="20"/>
              </w:rPr>
              <w:t>R</w:t>
            </w:r>
            <w:r w:rsidRPr="00CC1D40">
              <w:rPr>
                <w:rFonts w:cs="Times New Roman"/>
                <w:b w:val="0"/>
                <w:sz w:val="20"/>
                <w:szCs w:val="20"/>
                <w:vertAlign w:val="subscript"/>
              </w:rPr>
              <w:t>(</w:t>
            </w:r>
            <w:proofErr w:type="spellStart"/>
            <w:r w:rsidRPr="00CC1D40">
              <w:rPr>
                <w:rFonts w:cs="Times New Roman"/>
                <w:b w:val="0"/>
                <w:sz w:val="20"/>
                <w:szCs w:val="20"/>
                <w:vertAlign w:val="subscript"/>
              </w:rPr>
              <w:t>t+i</w:t>
            </w:r>
            <w:proofErr w:type="spellEnd"/>
            <w:r w:rsidRPr="00CC1D40">
              <w:rPr>
                <w:rFonts w:cs="Times New Roman"/>
                <w:b w:val="0"/>
                <w:sz w:val="20"/>
                <w:szCs w:val="20"/>
                <w:vertAlign w:val="subscript"/>
              </w:rPr>
              <w:t>)</w:t>
            </w:r>
          </w:p>
        </w:tc>
        <w:tc>
          <w:tcPr>
            <w:tcW w:w="1096" w:type="pct"/>
            <w:vAlign w:val="center"/>
          </w:tcPr>
          <w:p w14:paraId="5328D213" w14:textId="0B616076" w:rsidR="0036609A" w:rsidRPr="00CC1D40" w:rsidRDefault="0036609A" w:rsidP="0036609A">
            <w:pPr>
              <w:tabs>
                <w:tab w:val="left" w:pos="0"/>
              </w:tabs>
              <w:ind w:firstLin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C1D40">
              <w:rPr>
                <w:rFonts w:cs="Times New Roman"/>
                <w:sz w:val="20"/>
                <w:szCs w:val="20"/>
              </w:rPr>
              <w:t xml:space="preserve">Change in </w:t>
            </w:r>
            <w:r>
              <w:rPr>
                <w:rFonts w:cs="Times New Roman"/>
                <w:sz w:val="20"/>
                <w:szCs w:val="20"/>
              </w:rPr>
              <w:t>Days A</w:t>
            </w:r>
            <w:r w:rsidR="00B93C72">
              <w:rPr>
                <w:rFonts w:cs="Times New Roman"/>
                <w:sz w:val="20"/>
                <w:szCs w:val="20"/>
              </w:rPr>
              <w:t xml:space="preserve">ccounts </w:t>
            </w:r>
            <w:r>
              <w:rPr>
                <w:rFonts w:cs="Times New Roman"/>
                <w:sz w:val="20"/>
                <w:szCs w:val="20"/>
              </w:rPr>
              <w:t>R</w:t>
            </w:r>
            <w:r w:rsidR="00B93C72">
              <w:rPr>
                <w:rFonts w:cs="Times New Roman"/>
                <w:sz w:val="20"/>
                <w:szCs w:val="20"/>
              </w:rPr>
              <w:t>eceivables</w:t>
            </w:r>
          </w:p>
        </w:tc>
        <w:tc>
          <w:tcPr>
            <w:tcW w:w="3328" w:type="pct"/>
            <w:vAlign w:val="center"/>
          </w:tcPr>
          <w:p w14:paraId="60101697" w14:textId="14A8244E" w:rsidR="0036609A" w:rsidRPr="0036609A" w:rsidRDefault="00F83847" w:rsidP="00B817A6">
            <w:pPr>
              <w:tabs>
                <w:tab w:val="left" w:pos="0"/>
              </w:tabs>
              <w:ind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m:oMathPara>
              <m:oMathParaPr>
                <m:jc m:val="left"/>
              </m:oMathParaPr>
              <m:oMath>
                <m:d>
                  <m:dPr>
                    <m:ctrlPr>
                      <w:rPr>
                        <w:rFonts w:ascii="Cambria Math" w:hAnsi="Cambria Math" w:cs="Times New Roman"/>
                        <w:sz w:val="20"/>
                        <w:szCs w:val="20"/>
                      </w:rPr>
                    </m:ctrlPr>
                  </m:dPr>
                  <m:e>
                    <m:f>
                      <m:fPr>
                        <m:ctrlPr>
                          <w:rPr>
                            <w:rFonts w:ascii="Cambria Math" w:hAnsi="Cambria Math" w:cs="Times New Roman"/>
                            <w:sz w:val="20"/>
                            <w:szCs w:val="20"/>
                          </w:rPr>
                        </m:ctrlPr>
                      </m:fPr>
                      <m:num>
                        <m:sSub>
                          <m:sSubPr>
                            <m:ctrlPr>
                              <w:rPr>
                                <w:rFonts w:ascii="Cambria Math" w:hAnsi="Cambria Math" w:cs="Times New Roman"/>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Accounts receivable</m:t>
                                </m:r>
                              </m:e>
                            </m:acc>
                          </m:e>
                          <m:sub>
                            <m:d>
                              <m:dPr>
                                <m:ctrlPr>
                                  <w:rPr>
                                    <w:rFonts w:ascii="Cambria Math" w:hAnsi="Cambria Math" w:cs="Times New Roman"/>
                                    <w:sz w:val="20"/>
                                    <w:szCs w:val="20"/>
                                  </w:rPr>
                                </m:ctrlPr>
                              </m:dPr>
                              <m:e>
                                <m:r>
                                  <m:rPr>
                                    <m:sty m:val="p"/>
                                  </m:rPr>
                                  <w:rPr>
                                    <w:rFonts w:ascii="Cambria Math" w:hAnsi="Cambria Math" w:cs="Times New Roman"/>
                                    <w:sz w:val="20"/>
                                    <w:szCs w:val="20"/>
                                  </w:rPr>
                                  <m:t>t+i</m:t>
                                </m:r>
                              </m:e>
                            </m:d>
                          </m:sub>
                        </m:sSub>
                        <m:r>
                          <w:rPr>
                            <w:rFonts w:ascii="Cambria Math" w:hAnsi="Cambria Math" w:cs="Times New Roman"/>
                            <w:sz w:val="20"/>
                            <w:szCs w:val="20"/>
                          </w:rPr>
                          <m:t>×365</m:t>
                        </m:r>
                      </m:num>
                      <m:den>
                        <m:sSub>
                          <m:sSubPr>
                            <m:ctrlPr>
                              <w:rPr>
                                <w:rFonts w:ascii="Cambria Math" w:hAnsi="Cambria Math" w:cs="Times New Roman"/>
                                <w:sz w:val="20"/>
                                <w:szCs w:val="20"/>
                              </w:rPr>
                            </m:ctrlPr>
                          </m:sSubPr>
                          <m:e>
                            <m:r>
                              <m:rPr>
                                <m:sty m:val="p"/>
                              </m:rPr>
                              <w:rPr>
                                <w:rFonts w:ascii="Cambria Math" w:hAnsi="Cambria Math" w:cs="Times New Roman"/>
                                <w:sz w:val="20"/>
                                <w:szCs w:val="20"/>
                              </w:rPr>
                              <m:t>Revenue</m:t>
                            </m:r>
                          </m:e>
                          <m:sub>
                            <m:d>
                              <m:dPr>
                                <m:ctrlPr>
                                  <w:rPr>
                                    <w:rFonts w:ascii="Cambria Math" w:hAnsi="Cambria Math" w:cs="Times New Roman"/>
                                    <w:sz w:val="20"/>
                                    <w:szCs w:val="20"/>
                                  </w:rPr>
                                </m:ctrlPr>
                              </m:dPr>
                              <m:e>
                                <m:r>
                                  <m:rPr>
                                    <m:sty m:val="p"/>
                                  </m:rPr>
                                  <w:rPr>
                                    <w:rFonts w:ascii="Cambria Math" w:hAnsi="Cambria Math" w:cs="Times New Roman"/>
                                    <w:sz w:val="20"/>
                                    <w:szCs w:val="20"/>
                                  </w:rPr>
                                  <m:t>t+i</m:t>
                                </m:r>
                              </m:e>
                            </m:d>
                          </m:sub>
                        </m:sSub>
                      </m:den>
                    </m:f>
                    <m:r>
                      <m:rPr>
                        <m:sty m:val="p"/>
                      </m:rPr>
                      <w:rPr>
                        <w:rFonts w:ascii="Cambria Math" w:hAnsi="Cambria Math" w:cs="Times New Roman"/>
                        <w:sz w:val="20"/>
                        <w:szCs w:val="20"/>
                      </w:rPr>
                      <m:t>-</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Accounts receivable</m:t>
                                </m:r>
                              </m:e>
                            </m:acc>
                          </m:e>
                          <m:sub>
                            <m:d>
                              <m:dPr>
                                <m:ctrlPr>
                                  <w:rPr>
                                    <w:rFonts w:ascii="Cambria Math" w:hAnsi="Cambria Math" w:cs="Times New Roman"/>
                                    <w:sz w:val="20"/>
                                    <w:szCs w:val="20"/>
                                  </w:rPr>
                                </m:ctrlPr>
                              </m:dPr>
                              <m:e>
                                <m:r>
                                  <m:rPr>
                                    <m:sty m:val="p"/>
                                  </m:rPr>
                                  <w:rPr>
                                    <w:rFonts w:ascii="Cambria Math" w:hAnsi="Cambria Math" w:cs="Times New Roman"/>
                                    <w:sz w:val="20"/>
                                    <w:szCs w:val="20"/>
                                  </w:rPr>
                                  <m:t>t-1</m:t>
                                </m:r>
                              </m:e>
                            </m:d>
                          </m:sub>
                        </m:sSub>
                        <m:r>
                          <w:rPr>
                            <w:rFonts w:ascii="Cambria Math" w:hAnsi="Cambria Math" w:cs="Times New Roman"/>
                            <w:sz w:val="20"/>
                            <w:szCs w:val="20"/>
                          </w:rPr>
                          <m:t>×365</m:t>
                        </m:r>
                      </m:num>
                      <m:den>
                        <m:sSub>
                          <m:sSubPr>
                            <m:ctrlPr>
                              <w:rPr>
                                <w:rFonts w:ascii="Cambria Math" w:hAnsi="Cambria Math" w:cs="Times New Roman"/>
                                <w:sz w:val="20"/>
                                <w:szCs w:val="20"/>
                              </w:rPr>
                            </m:ctrlPr>
                          </m:sSubPr>
                          <m:e>
                            <m:r>
                              <m:rPr>
                                <m:sty m:val="p"/>
                              </m:rPr>
                              <w:rPr>
                                <w:rFonts w:ascii="Cambria Math" w:hAnsi="Cambria Math" w:cs="Times New Roman"/>
                                <w:sz w:val="20"/>
                                <w:szCs w:val="20"/>
                              </w:rPr>
                              <m:t>Revenue</m:t>
                            </m:r>
                          </m:e>
                          <m:sub>
                            <m:d>
                              <m:dPr>
                                <m:ctrlPr>
                                  <w:rPr>
                                    <w:rFonts w:ascii="Cambria Math" w:hAnsi="Cambria Math" w:cs="Times New Roman"/>
                                    <w:sz w:val="20"/>
                                    <w:szCs w:val="20"/>
                                  </w:rPr>
                                </m:ctrlPr>
                              </m:dPr>
                              <m:e>
                                <m:r>
                                  <m:rPr>
                                    <m:sty m:val="p"/>
                                  </m:rPr>
                                  <w:rPr>
                                    <w:rFonts w:ascii="Cambria Math" w:hAnsi="Cambria Math" w:cs="Times New Roman"/>
                                    <w:sz w:val="20"/>
                                    <w:szCs w:val="20"/>
                                  </w:rPr>
                                  <m:t>t-1</m:t>
                                </m:r>
                              </m:e>
                            </m:d>
                          </m:sub>
                        </m:sSub>
                      </m:den>
                    </m:f>
                  </m:e>
                </m:d>
              </m:oMath>
            </m:oMathPara>
          </w:p>
        </w:tc>
      </w:tr>
      <w:tr w:rsidR="00B817A6" w:rsidRPr="00CC1D40" w14:paraId="6243BE61" w14:textId="77777777" w:rsidTr="00B36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pct"/>
            <w:vAlign w:val="center"/>
          </w:tcPr>
          <w:p w14:paraId="1DFBECE4" w14:textId="5FAE48B2" w:rsidR="00B817A6" w:rsidRPr="00CC1D40" w:rsidRDefault="00B817A6" w:rsidP="00B817A6">
            <w:pPr>
              <w:tabs>
                <w:tab w:val="left" w:pos="0"/>
              </w:tabs>
              <w:ind w:firstLine="0"/>
              <w:jc w:val="left"/>
              <w:rPr>
                <w:rFonts w:cs="Times New Roman"/>
                <w:sz w:val="20"/>
                <w:szCs w:val="20"/>
              </w:rPr>
            </w:pPr>
            <w:proofErr w:type="spellStart"/>
            <w:r>
              <w:rPr>
                <w:rFonts w:cs="Times New Roman"/>
                <w:b w:val="0"/>
                <w:sz w:val="20"/>
                <w:szCs w:val="20"/>
              </w:rPr>
              <w:t>Inv</w:t>
            </w:r>
            <w:proofErr w:type="spellEnd"/>
            <w:r w:rsidRPr="00CC1D40">
              <w:rPr>
                <w:rFonts w:cs="Times New Roman"/>
                <w:b w:val="0"/>
                <w:sz w:val="20"/>
                <w:szCs w:val="20"/>
                <w:vertAlign w:val="subscript"/>
              </w:rPr>
              <w:t>(</w:t>
            </w:r>
            <w:proofErr w:type="spellStart"/>
            <w:r w:rsidRPr="00CC1D40">
              <w:rPr>
                <w:rFonts w:cs="Times New Roman"/>
                <w:b w:val="0"/>
                <w:sz w:val="20"/>
                <w:szCs w:val="20"/>
                <w:vertAlign w:val="subscript"/>
              </w:rPr>
              <w:t>t+i</w:t>
            </w:r>
            <w:proofErr w:type="spellEnd"/>
            <w:r w:rsidRPr="00CC1D40">
              <w:rPr>
                <w:rFonts w:cs="Times New Roman"/>
                <w:b w:val="0"/>
                <w:sz w:val="20"/>
                <w:szCs w:val="20"/>
                <w:vertAlign w:val="subscript"/>
              </w:rPr>
              <w:t>)</w:t>
            </w:r>
          </w:p>
        </w:tc>
        <w:tc>
          <w:tcPr>
            <w:tcW w:w="1096" w:type="pct"/>
            <w:vAlign w:val="center"/>
          </w:tcPr>
          <w:p w14:paraId="64BBB846" w14:textId="68BFC253" w:rsidR="00B817A6" w:rsidRPr="00CC1D40" w:rsidRDefault="00B817A6" w:rsidP="00B817A6">
            <w:pPr>
              <w:tabs>
                <w:tab w:val="left" w:pos="0"/>
              </w:tabs>
              <w:ind w:firstLin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C1D40">
              <w:rPr>
                <w:rFonts w:cs="Times New Roman"/>
                <w:sz w:val="20"/>
                <w:szCs w:val="20"/>
              </w:rPr>
              <w:t xml:space="preserve">Change in </w:t>
            </w:r>
            <w:r>
              <w:rPr>
                <w:rFonts w:cs="Times New Roman"/>
                <w:sz w:val="20"/>
                <w:szCs w:val="20"/>
              </w:rPr>
              <w:t xml:space="preserve">Days </w:t>
            </w:r>
            <w:r w:rsidR="00B93C72">
              <w:rPr>
                <w:rFonts w:cs="Times New Roman"/>
                <w:sz w:val="20"/>
                <w:szCs w:val="20"/>
              </w:rPr>
              <w:t>Inventories</w:t>
            </w:r>
          </w:p>
        </w:tc>
        <w:tc>
          <w:tcPr>
            <w:tcW w:w="3328" w:type="pct"/>
            <w:vAlign w:val="center"/>
          </w:tcPr>
          <w:p w14:paraId="10994048" w14:textId="19B5549F" w:rsidR="00B817A6" w:rsidRPr="00B817A6" w:rsidRDefault="00F83847" w:rsidP="00B817A6">
            <w:pPr>
              <w:tabs>
                <w:tab w:val="left" w:pos="0"/>
              </w:tabs>
              <w:ind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m:oMathPara>
              <m:oMathParaPr>
                <m:jc m:val="left"/>
              </m:oMathParaPr>
              <m:oMath>
                <m:d>
                  <m:dPr>
                    <m:ctrlPr>
                      <w:rPr>
                        <w:rFonts w:ascii="Cambria Math" w:hAnsi="Cambria Math" w:cs="Times New Roman"/>
                        <w:sz w:val="20"/>
                        <w:szCs w:val="20"/>
                      </w:rPr>
                    </m:ctrlPr>
                  </m:dPr>
                  <m:e>
                    <m:f>
                      <m:fPr>
                        <m:ctrlPr>
                          <w:rPr>
                            <w:rFonts w:ascii="Cambria Math" w:hAnsi="Cambria Math" w:cs="Times New Roman"/>
                            <w:sz w:val="20"/>
                            <w:szCs w:val="20"/>
                          </w:rPr>
                        </m:ctrlPr>
                      </m:fPr>
                      <m:num>
                        <m:sSub>
                          <m:sSubPr>
                            <m:ctrlPr>
                              <w:rPr>
                                <w:rFonts w:ascii="Cambria Math" w:hAnsi="Cambria Math" w:cs="Times New Roman"/>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Inventories</m:t>
                                </m:r>
                              </m:e>
                            </m:acc>
                          </m:e>
                          <m:sub>
                            <m:d>
                              <m:dPr>
                                <m:ctrlPr>
                                  <w:rPr>
                                    <w:rFonts w:ascii="Cambria Math" w:hAnsi="Cambria Math" w:cs="Times New Roman"/>
                                    <w:sz w:val="20"/>
                                    <w:szCs w:val="20"/>
                                  </w:rPr>
                                </m:ctrlPr>
                              </m:dPr>
                              <m:e>
                                <m:r>
                                  <m:rPr>
                                    <m:sty m:val="p"/>
                                  </m:rPr>
                                  <w:rPr>
                                    <w:rFonts w:ascii="Cambria Math" w:hAnsi="Cambria Math" w:cs="Times New Roman"/>
                                    <w:sz w:val="20"/>
                                    <w:szCs w:val="20"/>
                                  </w:rPr>
                                  <m:t>t+i</m:t>
                                </m:r>
                              </m:e>
                            </m:d>
                          </m:sub>
                        </m:sSub>
                        <m:r>
                          <w:rPr>
                            <w:rFonts w:ascii="Cambria Math" w:hAnsi="Cambria Math" w:cs="Times New Roman"/>
                            <w:sz w:val="20"/>
                            <w:szCs w:val="20"/>
                          </w:rPr>
                          <m:t>×365</m:t>
                        </m:r>
                      </m:num>
                      <m:den>
                        <m:sSub>
                          <m:sSubPr>
                            <m:ctrlPr>
                              <w:rPr>
                                <w:rFonts w:ascii="Cambria Math" w:hAnsi="Cambria Math" w:cs="Times New Roman"/>
                                <w:sz w:val="20"/>
                                <w:szCs w:val="20"/>
                              </w:rPr>
                            </m:ctrlPr>
                          </m:sSubPr>
                          <m:e>
                            <m:r>
                              <m:rPr>
                                <m:sty m:val="p"/>
                              </m:rPr>
                              <w:rPr>
                                <w:rFonts w:ascii="Cambria Math" w:hAnsi="Cambria Math" w:cs="Times New Roman"/>
                                <w:sz w:val="20"/>
                                <w:szCs w:val="20"/>
                              </w:rPr>
                              <m:t>Revenue</m:t>
                            </m:r>
                          </m:e>
                          <m:sub>
                            <m:d>
                              <m:dPr>
                                <m:ctrlPr>
                                  <w:rPr>
                                    <w:rFonts w:ascii="Cambria Math" w:hAnsi="Cambria Math" w:cs="Times New Roman"/>
                                    <w:sz w:val="20"/>
                                    <w:szCs w:val="20"/>
                                  </w:rPr>
                                </m:ctrlPr>
                              </m:dPr>
                              <m:e>
                                <m:r>
                                  <m:rPr>
                                    <m:sty m:val="p"/>
                                  </m:rPr>
                                  <w:rPr>
                                    <w:rFonts w:ascii="Cambria Math" w:hAnsi="Cambria Math" w:cs="Times New Roman"/>
                                    <w:sz w:val="20"/>
                                    <w:szCs w:val="20"/>
                                  </w:rPr>
                                  <m:t>t+i</m:t>
                                </m:r>
                              </m:e>
                            </m:d>
                          </m:sub>
                        </m:sSub>
                      </m:den>
                    </m:f>
                    <m:r>
                      <m:rPr>
                        <m:sty m:val="p"/>
                      </m:rPr>
                      <w:rPr>
                        <w:rFonts w:ascii="Cambria Math" w:hAnsi="Cambria Math" w:cs="Times New Roman"/>
                        <w:sz w:val="20"/>
                        <w:szCs w:val="20"/>
                      </w:rPr>
                      <m:t>-</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Inventories</m:t>
                                </m:r>
                              </m:e>
                            </m:acc>
                          </m:e>
                          <m:sub>
                            <m:d>
                              <m:dPr>
                                <m:ctrlPr>
                                  <w:rPr>
                                    <w:rFonts w:ascii="Cambria Math" w:hAnsi="Cambria Math" w:cs="Times New Roman"/>
                                    <w:sz w:val="20"/>
                                    <w:szCs w:val="20"/>
                                  </w:rPr>
                                </m:ctrlPr>
                              </m:dPr>
                              <m:e>
                                <m:r>
                                  <m:rPr>
                                    <m:sty m:val="p"/>
                                  </m:rPr>
                                  <w:rPr>
                                    <w:rFonts w:ascii="Cambria Math" w:hAnsi="Cambria Math" w:cs="Times New Roman"/>
                                    <w:sz w:val="20"/>
                                    <w:szCs w:val="20"/>
                                  </w:rPr>
                                  <m:t>t-1</m:t>
                                </m:r>
                              </m:e>
                            </m:d>
                          </m:sub>
                        </m:sSub>
                        <m:r>
                          <w:rPr>
                            <w:rFonts w:ascii="Cambria Math" w:hAnsi="Cambria Math" w:cs="Times New Roman"/>
                            <w:sz w:val="20"/>
                            <w:szCs w:val="20"/>
                          </w:rPr>
                          <m:t>×365</m:t>
                        </m:r>
                      </m:num>
                      <m:den>
                        <m:sSub>
                          <m:sSubPr>
                            <m:ctrlPr>
                              <w:rPr>
                                <w:rFonts w:ascii="Cambria Math" w:hAnsi="Cambria Math" w:cs="Times New Roman"/>
                                <w:sz w:val="20"/>
                                <w:szCs w:val="20"/>
                              </w:rPr>
                            </m:ctrlPr>
                          </m:sSubPr>
                          <m:e>
                            <m:r>
                              <m:rPr>
                                <m:sty m:val="p"/>
                              </m:rPr>
                              <w:rPr>
                                <w:rFonts w:ascii="Cambria Math" w:hAnsi="Cambria Math" w:cs="Times New Roman"/>
                                <w:sz w:val="20"/>
                                <w:szCs w:val="20"/>
                              </w:rPr>
                              <m:t>Revenue</m:t>
                            </m:r>
                          </m:e>
                          <m:sub>
                            <m:d>
                              <m:dPr>
                                <m:ctrlPr>
                                  <w:rPr>
                                    <w:rFonts w:ascii="Cambria Math" w:hAnsi="Cambria Math" w:cs="Times New Roman"/>
                                    <w:sz w:val="20"/>
                                    <w:szCs w:val="20"/>
                                  </w:rPr>
                                </m:ctrlPr>
                              </m:dPr>
                              <m:e>
                                <m:r>
                                  <m:rPr>
                                    <m:sty m:val="p"/>
                                  </m:rPr>
                                  <w:rPr>
                                    <w:rFonts w:ascii="Cambria Math" w:hAnsi="Cambria Math" w:cs="Times New Roman"/>
                                    <w:sz w:val="20"/>
                                    <w:szCs w:val="20"/>
                                  </w:rPr>
                                  <m:t>t-1</m:t>
                                </m:r>
                              </m:e>
                            </m:d>
                          </m:sub>
                        </m:sSub>
                      </m:den>
                    </m:f>
                  </m:e>
                </m:d>
              </m:oMath>
            </m:oMathPara>
          </w:p>
        </w:tc>
      </w:tr>
      <w:tr w:rsidR="00B817A6" w:rsidRPr="00CC1D40" w14:paraId="2E436E04" w14:textId="77777777" w:rsidTr="00B36F82">
        <w:tc>
          <w:tcPr>
            <w:cnfStyle w:val="001000000000" w:firstRow="0" w:lastRow="0" w:firstColumn="1" w:lastColumn="0" w:oddVBand="0" w:evenVBand="0" w:oddHBand="0" w:evenHBand="0" w:firstRowFirstColumn="0" w:firstRowLastColumn="0" w:lastRowFirstColumn="0" w:lastRowLastColumn="0"/>
            <w:tcW w:w="576" w:type="pct"/>
            <w:vAlign w:val="center"/>
          </w:tcPr>
          <w:p w14:paraId="0CD2811B" w14:textId="0E20BB73" w:rsidR="00B817A6" w:rsidRPr="00CC1D40" w:rsidRDefault="00B817A6" w:rsidP="00B817A6">
            <w:pPr>
              <w:tabs>
                <w:tab w:val="left" w:pos="0"/>
              </w:tabs>
              <w:ind w:firstLine="0"/>
              <w:jc w:val="left"/>
              <w:rPr>
                <w:rFonts w:cs="Times New Roman"/>
                <w:b w:val="0"/>
                <w:sz w:val="20"/>
                <w:szCs w:val="20"/>
              </w:rPr>
            </w:pPr>
            <w:r>
              <w:rPr>
                <w:rFonts w:cs="Times New Roman"/>
                <w:b w:val="0"/>
                <w:sz w:val="20"/>
                <w:szCs w:val="20"/>
              </w:rPr>
              <w:t>A</w:t>
            </w:r>
            <w:r w:rsidR="00B93C72">
              <w:rPr>
                <w:rFonts w:cs="Times New Roman"/>
                <w:b w:val="0"/>
                <w:sz w:val="20"/>
                <w:szCs w:val="20"/>
              </w:rPr>
              <w:t>P</w:t>
            </w:r>
            <w:r w:rsidRPr="00CC1D40">
              <w:rPr>
                <w:rFonts w:cs="Times New Roman"/>
                <w:b w:val="0"/>
                <w:sz w:val="20"/>
                <w:szCs w:val="20"/>
                <w:vertAlign w:val="subscript"/>
              </w:rPr>
              <w:t>(</w:t>
            </w:r>
            <w:proofErr w:type="spellStart"/>
            <w:r w:rsidRPr="00CC1D40">
              <w:rPr>
                <w:rFonts w:cs="Times New Roman"/>
                <w:b w:val="0"/>
                <w:sz w:val="20"/>
                <w:szCs w:val="20"/>
                <w:vertAlign w:val="subscript"/>
              </w:rPr>
              <w:t>t+i</w:t>
            </w:r>
            <w:proofErr w:type="spellEnd"/>
            <w:r w:rsidRPr="00CC1D40">
              <w:rPr>
                <w:rFonts w:cs="Times New Roman"/>
                <w:b w:val="0"/>
                <w:sz w:val="20"/>
                <w:szCs w:val="20"/>
                <w:vertAlign w:val="subscript"/>
              </w:rPr>
              <w:t>)</w:t>
            </w:r>
          </w:p>
        </w:tc>
        <w:tc>
          <w:tcPr>
            <w:tcW w:w="1096" w:type="pct"/>
            <w:vAlign w:val="center"/>
          </w:tcPr>
          <w:p w14:paraId="0FE4253C" w14:textId="4E04CB83" w:rsidR="00B817A6" w:rsidRPr="00CC1D40" w:rsidRDefault="00B817A6" w:rsidP="00B817A6">
            <w:pPr>
              <w:tabs>
                <w:tab w:val="left" w:pos="0"/>
              </w:tabs>
              <w:ind w:firstLin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C1D40">
              <w:rPr>
                <w:rFonts w:cs="Times New Roman"/>
                <w:sz w:val="20"/>
                <w:szCs w:val="20"/>
              </w:rPr>
              <w:t xml:space="preserve">Change in </w:t>
            </w:r>
            <w:r>
              <w:rPr>
                <w:rFonts w:cs="Times New Roman"/>
                <w:sz w:val="20"/>
                <w:szCs w:val="20"/>
              </w:rPr>
              <w:t>Days A</w:t>
            </w:r>
            <w:r w:rsidR="00B93C72">
              <w:rPr>
                <w:rFonts w:cs="Times New Roman"/>
                <w:sz w:val="20"/>
                <w:szCs w:val="20"/>
              </w:rPr>
              <w:t>ccounts Payable</w:t>
            </w:r>
          </w:p>
        </w:tc>
        <w:tc>
          <w:tcPr>
            <w:tcW w:w="3328" w:type="pct"/>
            <w:vAlign w:val="center"/>
          </w:tcPr>
          <w:p w14:paraId="3E751F6D" w14:textId="754A1167" w:rsidR="00B817A6" w:rsidRPr="00CC1D40" w:rsidRDefault="00F83847" w:rsidP="00B817A6">
            <w:pPr>
              <w:tabs>
                <w:tab w:val="left" w:pos="0"/>
              </w:tabs>
              <w:ind w:firstLin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m:oMathPara>
              <m:oMathParaPr>
                <m:jc m:val="left"/>
              </m:oMathParaPr>
              <m:oMath>
                <m:d>
                  <m:dPr>
                    <m:ctrlPr>
                      <w:rPr>
                        <w:rFonts w:ascii="Cambria Math" w:hAnsi="Cambria Math" w:cs="Times New Roman"/>
                        <w:sz w:val="20"/>
                        <w:szCs w:val="20"/>
                      </w:rPr>
                    </m:ctrlPr>
                  </m:dPr>
                  <m:e>
                    <m:f>
                      <m:fPr>
                        <m:ctrlPr>
                          <w:rPr>
                            <w:rFonts w:ascii="Cambria Math" w:hAnsi="Cambria Math" w:cs="Times New Roman"/>
                            <w:sz w:val="20"/>
                            <w:szCs w:val="20"/>
                          </w:rPr>
                        </m:ctrlPr>
                      </m:fPr>
                      <m:num>
                        <m:sSub>
                          <m:sSubPr>
                            <m:ctrlPr>
                              <w:rPr>
                                <w:rFonts w:ascii="Cambria Math" w:hAnsi="Cambria Math" w:cs="Times New Roman"/>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Accounts payable</m:t>
                                </m:r>
                              </m:e>
                            </m:acc>
                          </m:e>
                          <m:sub>
                            <m:d>
                              <m:dPr>
                                <m:ctrlPr>
                                  <w:rPr>
                                    <w:rFonts w:ascii="Cambria Math" w:hAnsi="Cambria Math" w:cs="Times New Roman"/>
                                    <w:sz w:val="20"/>
                                    <w:szCs w:val="20"/>
                                  </w:rPr>
                                </m:ctrlPr>
                              </m:dPr>
                              <m:e>
                                <m:r>
                                  <m:rPr>
                                    <m:sty m:val="p"/>
                                  </m:rPr>
                                  <w:rPr>
                                    <w:rFonts w:ascii="Cambria Math" w:hAnsi="Cambria Math" w:cs="Times New Roman"/>
                                    <w:sz w:val="20"/>
                                    <w:szCs w:val="20"/>
                                  </w:rPr>
                                  <m:t>t+i</m:t>
                                </m:r>
                              </m:e>
                            </m:d>
                          </m:sub>
                        </m:sSub>
                        <m:r>
                          <w:rPr>
                            <w:rFonts w:ascii="Cambria Math" w:hAnsi="Cambria Math" w:cs="Times New Roman"/>
                            <w:sz w:val="20"/>
                            <w:szCs w:val="20"/>
                          </w:rPr>
                          <m:t>×365</m:t>
                        </m:r>
                      </m:num>
                      <m:den>
                        <m:sSub>
                          <m:sSubPr>
                            <m:ctrlPr>
                              <w:rPr>
                                <w:rFonts w:ascii="Cambria Math" w:hAnsi="Cambria Math" w:cs="Times New Roman"/>
                                <w:sz w:val="20"/>
                                <w:szCs w:val="20"/>
                              </w:rPr>
                            </m:ctrlPr>
                          </m:sSubPr>
                          <m:e>
                            <m:r>
                              <m:rPr>
                                <m:sty m:val="p"/>
                              </m:rPr>
                              <w:rPr>
                                <w:rFonts w:ascii="Cambria Math" w:hAnsi="Cambria Math" w:cs="Times New Roman"/>
                                <w:sz w:val="20"/>
                                <w:szCs w:val="20"/>
                              </w:rPr>
                              <m:t>Revenue</m:t>
                            </m:r>
                          </m:e>
                          <m:sub>
                            <m:d>
                              <m:dPr>
                                <m:ctrlPr>
                                  <w:rPr>
                                    <w:rFonts w:ascii="Cambria Math" w:hAnsi="Cambria Math" w:cs="Times New Roman"/>
                                    <w:sz w:val="20"/>
                                    <w:szCs w:val="20"/>
                                  </w:rPr>
                                </m:ctrlPr>
                              </m:dPr>
                              <m:e>
                                <m:r>
                                  <m:rPr>
                                    <m:sty m:val="p"/>
                                  </m:rPr>
                                  <w:rPr>
                                    <w:rFonts w:ascii="Cambria Math" w:hAnsi="Cambria Math" w:cs="Times New Roman"/>
                                    <w:sz w:val="20"/>
                                    <w:szCs w:val="20"/>
                                  </w:rPr>
                                  <m:t>t+i</m:t>
                                </m:r>
                              </m:e>
                            </m:d>
                          </m:sub>
                        </m:sSub>
                      </m:den>
                    </m:f>
                    <m:r>
                      <m:rPr>
                        <m:sty m:val="p"/>
                      </m:rPr>
                      <w:rPr>
                        <w:rFonts w:ascii="Cambria Math" w:hAnsi="Cambria Math" w:cs="Times New Roman"/>
                        <w:sz w:val="20"/>
                        <w:szCs w:val="20"/>
                      </w:rPr>
                      <m:t>-</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Accounts payable</m:t>
                                </m:r>
                              </m:e>
                            </m:acc>
                          </m:e>
                          <m:sub>
                            <m:d>
                              <m:dPr>
                                <m:ctrlPr>
                                  <w:rPr>
                                    <w:rFonts w:ascii="Cambria Math" w:hAnsi="Cambria Math" w:cs="Times New Roman"/>
                                    <w:sz w:val="20"/>
                                    <w:szCs w:val="20"/>
                                  </w:rPr>
                                </m:ctrlPr>
                              </m:dPr>
                              <m:e>
                                <m:r>
                                  <m:rPr>
                                    <m:sty m:val="p"/>
                                  </m:rPr>
                                  <w:rPr>
                                    <w:rFonts w:ascii="Cambria Math" w:hAnsi="Cambria Math" w:cs="Times New Roman"/>
                                    <w:sz w:val="20"/>
                                    <w:szCs w:val="20"/>
                                  </w:rPr>
                                  <m:t>t-1</m:t>
                                </m:r>
                              </m:e>
                            </m:d>
                          </m:sub>
                        </m:sSub>
                        <m:r>
                          <w:rPr>
                            <w:rFonts w:ascii="Cambria Math" w:hAnsi="Cambria Math" w:cs="Times New Roman"/>
                            <w:sz w:val="20"/>
                            <w:szCs w:val="20"/>
                          </w:rPr>
                          <m:t>×365</m:t>
                        </m:r>
                      </m:num>
                      <m:den>
                        <m:sSub>
                          <m:sSubPr>
                            <m:ctrlPr>
                              <w:rPr>
                                <w:rFonts w:ascii="Cambria Math" w:hAnsi="Cambria Math" w:cs="Times New Roman"/>
                                <w:sz w:val="20"/>
                                <w:szCs w:val="20"/>
                              </w:rPr>
                            </m:ctrlPr>
                          </m:sSubPr>
                          <m:e>
                            <m:r>
                              <m:rPr>
                                <m:sty m:val="p"/>
                              </m:rPr>
                              <w:rPr>
                                <w:rFonts w:ascii="Cambria Math" w:hAnsi="Cambria Math" w:cs="Times New Roman"/>
                                <w:sz w:val="20"/>
                                <w:szCs w:val="20"/>
                              </w:rPr>
                              <m:t>Revenue</m:t>
                            </m:r>
                          </m:e>
                          <m:sub>
                            <m:d>
                              <m:dPr>
                                <m:ctrlPr>
                                  <w:rPr>
                                    <w:rFonts w:ascii="Cambria Math" w:hAnsi="Cambria Math" w:cs="Times New Roman"/>
                                    <w:sz w:val="20"/>
                                    <w:szCs w:val="20"/>
                                  </w:rPr>
                                </m:ctrlPr>
                              </m:dPr>
                              <m:e>
                                <m:r>
                                  <m:rPr>
                                    <m:sty m:val="p"/>
                                  </m:rPr>
                                  <w:rPr>
                                    <w:rFonts w:ascii="Cambria Math" w:hAnsi="Cambria Math" w:cs="Times New Roman"/>
                                    <w:sz w:val="20"/>
                                    <w:szCs w:val="20"/>
                                  </w:rPr>
                                  <m:t>t-1</m:t>
                                </m:r>
                              </m:e>
                            </m:d>
                          </m:sub>
                        </m:sSub>
                      </m:den>
                    </m:f>
                  </m:e>
                </m:d>
              </m:oMath>
            </m:oMathPara>
          </w:p>
        </w:tc>
      </w:tr>
      <w:tr w:rsidR="00B817A6" w:rsidRPr="00CC1D40" w14:paraId="5A648C79" w14:textId="77777777" w:rsidTr="00B36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pct"/>
            <w:tcBorders>
              <w:top w:val="none" w:sz="0" w:space="0" w:color="auto"/>
              <w:bottom w:val="none" w:sz="0" w:space="0" w:color="auto"/>
            </w:tcBorders>
            <w:vAlign w:val="center"/>
          </w:tcPr>
          <w:p w14:paraId="28DFCD9A" w14:textId="242181A7" w:rsidR="00B817A6" w:rsidRPr="00CC1D40" w:rsidRDefault="00B817A6" w:rsidP="00B817A6">
            <w:pPr>
              <w:tabs>
                <w:tab w:val="left" w:pos="0"/>
              </w:tabs>
              <w:ind w:firstLine="0"/>
              <w:jc w:val="left"/>
              <w:rPr>
                <w:rFonts w:cs="Times New Roman"/>
                <w:b w:val="0"/>
                <w:sz w:val="20"/>
                <w:szCs w:val="20"/>
              </w:rPr>
            </w:pPr>
            <w:r w:rsidRPr="00CC1D40">
              <w:rPr>
                <w:rFonts w:cs="Times New Roman"/>
                <w:b w:val="0"/>
                <w:sz w:val="20"/>
                <w:szCs w:val="20"/>
              </w:rPr>
              <w:t>DS</w:t>
            </w:r>
            <w:r w:rsidRPr="00CC1D40">
              <w:rPr>
                <w:rFonts w:cs="Times New Roman"/>
                <w:b w:val="0"/>
                <w:sz w:val="20"/>
                <w:szCs w:val="20"/>
                <w:vertAlign w:val="subscript"/>
              </w:rPr>
              <w:t>(t-1)</w:t>
            </w:r>
            <w:r w:rsidRPr="00CC1D40">
              <w:rPr>
                <w:rFonts w:cs="Times New Roman"/>
                <w:b w:val="0"/>
                <w:sz w:val="20"/>
                <w:szCs w:val="20"/>
              </w:rPr>
              <w:t xml:space="preserve">  </w:t>
            </w:r>
          </w:p>
        </w:tc>
        <w:tc>
          <w:tcPr>
            <w:tcW w:w="1096" w:type="pct"/>
            <w:tcBorders>
              <w:top w:val="none" w:sz="0" w:space="0" w:color="auto"/>
              <w:bottom w:val="none" w:sz="0" w:space="0" w:color="auto"/>
            </w:tcBorders>
            <w:vAlign w:val="center"/>
          </w:tcPr>
          <w:p w14:paraId="0763E91C" w14:textId="02AFAF2C" w:rsidR="00B817A6" w:rsidRPr="00CC1D40" w:rsidRDefault="00B817A6" w:rsidP="00B817A6">
            <w:pPr>
              <w:tabs>
                <w:tab w:val="left" w:pos="0"/>
              </w:tabs>
              <w:ind w:firstLin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C1D40">
              <w:rPr>
                <w:rFonts w:cs="Times New Roman"/>
                <w:sz w:val="20"/>
                <w:szCs w:val="20"/>
              </w:rPr>
              <w:t>Deal size</w:t>
            </w:r>
          </w:p>
        </w:tc>
        <w:tc>
          <w:tcPr>
            <w:tcW w:w="3328" w:type="pct"/>
            <w:tcBorders>
              <w:top w:val="none" w:sz="0" w:space="0" w:color="auto"/>
              <w:bottom w:val="none" w:sz="0" w:space="0" w:color="auto"/>
            </w:tcBorders>
            <w:vAlign w:val="center"/>
          </w:tcPr>
          <w:p w14:paraId="1EF28EFF" w14:textId="686B98FD" w:rsidR="00B817A6" w:rsidRPr="00CC1D40" w:rsidRDefault="00F83847" w:rsidP="00B817A6">
            <w:pPr>
              <w:tabs>
                <w:tab w:val="left" w:pos="0"/>
              </w:tabs>
              <w:ind w:firstLin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m:oMathPara>
              <m:oMathParaPr>
                <m:jc m:val="left"/>
              </m:oMathParaPr>
              <m:oMath>
                <m:func>
                  <m:funcPr>
                    <m:ctrlPr>
                      <w:rPr>
                        <w:rFonts w:ascii="Cambria Math" w:hAnsi="Cambria Math" w:cs="Times New Roman"/>
                        <w:sz w:val="20"/>
                        <w:szCs w:val="20"/>
                      </w:rPr>
                    </m:ctrlPr>
                  </m:funcPr>
                  <m:fName>
                    <m:r>
                      <m:rPr>
                        <m:sty m:val="p"/>
                      </m:rPr>
                      <w:rPr>
                        <w:rFonts w:ascii="Cambria Math" w:hAnsi="Cambria Math" w:cs="Times New Roman"/>
                        <w:sz w:val="20"/>
                        <w:szCs w:val="20"/>
                      </w:rPr>
                      <m:t>ln</m:t>
                    </m:r>
                  </m:fName>
                  <m:e>
                    <m:r>
                      <m:rPr>
                        <m:sty m:val="p"/>
                      </m:rPr>
                      <w:rPr>
                        <w:rFonts w:ascii="Cambria Math" w:hAnsi="Cambria Math" w:cs="Times New Roman"/>
                        <w:sz w:val="20"/>
                        <w:szCs w:val="20"/>
                      </w:rPr>
                      <m:t>(Deal value in USD)</m:t>
                    </m:r>
                  </m:e>
                </m:func>
              </m:oMath>
            </m:oMathPara>
          </w:p>
        </w:tc>
      </w:tr>
      <w:tr w:rsidR="00B817A6" w:rsidRPr="00CC1D40" w14:paraId="325115A0" w14:textId="77777777" w:rsidTr="00B36F82">
        <w:tc>
          <w:tcPr>
            <w:cnfStyle w:val="001000000000" w:firstRow="0" w:lastRow="0" w:firstColumn="1" w:lastColumn="0" w:oddVBand="0" w:evenVBand="0" w:oddHBand="0" w:evenHBand="0" w:firstRowFirstColumn="0" w:firstRowLastColumn="0" w:lastRowFirstColumn="0" w:lastRowLastColumn="0"/>
            <w:tcW w:w="576" w:type="pct"/>
            <w:vAlign w:val="center"/>
          </w:tcPr>
          <w:p w14:paraId="10FE5B21" w14:textId="1C928794" w:rsidR="00B817A6" w:rsidRPr="00CC1D40" w:rsidRDefault="00B817A6" w:rsidP="00B817A6">
            <w:pPr>
              <w:tabs>
                <w:tab w:val="left" w:pos="0"/>
              </w:tabs>
              <w:ind w:firstLine="0"/>
              <w:jc w:val="left"/>
              <w:rPr>
                <w:rFonts w:cs="Times New Roman"/>
                <w:b w:val="0"/>
                <w:sz w:val="20"/>
                <w:szCs w:val="20"/>
              </w:rPr>
            </w:pPr>
            <w:r w:rsidRPr="00CC1D40">
              <w:rPr>
                <w:rFonts w:cs="Times New Roman"/>
                <w:b w:val="0"/>
                <w:sz w:val="20"/>
                <w:szCs w:val="20"/>
              </w:rPr>
              <w:t>IS</w:t>
            </w:r>
            <w:r w:rsidRPr="00CC1D40">
              <w:rPr>
                <w:rFonts w:cs="Times New Roman"/>
                <w:b w:val="0"/>
                <w:sz w:val="20"/>
                <w:szCs w:val="20"/>
                <w:vertAlign w:val="subscript"/>
              </w:rPr>
              <w:t>(t-1)</w:t>
            </w:r>
            <w:r w:rsidRPr="00CC1D40">
              <w:rPr>
                <w:rFonts w:cs="Times New Roman"/>
                <w:b w:val="0"/>
                <w:sz w:val="20"/>
                <w:szCs w:val="20"/>
              </w:rPr>
              <w:t xml:space="preserve">  </w:t>
            </w:r>
          </w:p>
        </w:tc>
        <w:tc>
          <w:tcPr>
            <w:tcW w:w="1096" w:type="pct"/>
            <w:vAlign w:val="center"/>
          </w:tcPr>
          <w:p w14:paraId="5E6DF4DE" w14:textId="2CDF63A4" w:rsidR="00B817A6" w:rsidRPr="00CC1D40" w:rsidRDefault="00B817A6" w:rsidP="00B817A6">
            <w:pPr>
              <w:tabs>
                <w:tab w:val="left" w:pos="0"/>
              </w:tabs>
              <w:ind w:firstLin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C1D40">
              <w:rPr>
                <w:rFonts w:cs="Times New Roman"/>
                <w:sz w:val="20"/>
                <w:szCs w:val="20"/>
              </w:rPr>
              <w:t>Industry similarity</w:t>
            </w:r>
          </w:p>
        </w:tc>
        <w:tc>
          <w:tcPr>
            <w:tcW w:w="3328" w:type="pct"/>
            <w:vAlign w:val="center"/>
          </w:tcPr>
          <w:p w14:paraId="3B57CC9A" w14:textId="3D65B07F" w:rsidR="00B817A6" w:rsidRPr="00CC1D40" w:rsidRDefault="00B817A6" w:rsidP="00B817A6">
            <w:pPr>
              <w:tabs>
                <w:tab w:val="left" w:pos="0"/>
              </w:tabs>
              <w:ind w:firstLin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C1D40">
              <w:rPr>
                <w:rFonts w:cs="Times New Roman"/>
                <w:sz w:val="20"/>
                <w:szCs w:val="20"/>
              </w:rPr>
              <w:t>First two digits of NAICS 2017 code: 1 – first two digits are the same, 0 – for unequal digits.</w:t>
            </w:r>
          </w:p>
        </w:tc>
      </w:tr>
      <w:tr w:rsidR="00B817A6" w:rsidRPr="00CC1D40" w14:paraId="272BF4A4" w14:textId="77777777" w:rsidTr="00B36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pct"/>
            <w:tcBorders>
              <w:top w:val="none" w:sz="0" w:space="0" w:color="auto"/>
              <w:bottom w:val="none" w:sz="0" w:space="0" w:color="auto"/>
            </w:tcBorders>
            <w:vAlign w:val="center"/>
          </w:tcPr>
          <w:p w14:paraId="166E1972" w14:textId="409A6CED" w:rsidR="00B817A6" w:rsidRPr="00CC1D40" w:rsidRDefault="00B817A6" w:rsidP="00B817A6">
            <w:pPr>
              <w:tabs>
                <w:tab w:val="left" w:pos="0"/>
              </w:tabs>
              <w:ind w:firstLine="0"/>
              <w:jc w:val="left"/>
              <w:rPr>
                <w:rFonts w:cs="Times New Roman"/>
                <w:b w:val="0"/>
                <w:sz w:val="20"/>
                <w:szCs w:val="20"/>
              </w:rPr>
            </w:pPr>
            <w:r w:rsidRPr="00CC1D40">
              <w:rPr>
                <w:rFonts w:cs="Times New Roman"/>
                <w:b w:val="0"/>
                <w:sz w:val="20"/>
                <w:szCs w:val="20"/>
              </w:rPr>
              <w:t>FT</w:t>
            </w:r>
            <w:r w:rsidRPr="00CC1D40">
              <w:rPr>
                <w:rFonts w:cs="Times New Roman"/>
                <w:b w:val="0"/>
                <w:sz w:val="20"/>
                <w:szCs w:val="20"/>
                <w:vertAlign w:val="subscript"/>
              </w:rPr>
              <w:t>(t-1)</w:t>
            </w:r>
            <w:r w:rsidRPr="00CC1D40">
              <w:rPr>
                <w:rFonts w:cs="Times New Roman"/>
                <w:b w:val="0"/>
                <w:sz w:val="20"/>
                <w:szCs w:val="20"/>
              </w:rPr>
              <w:t xml:space="preserve">  </w:t>
            </w:r>
          </w:p>
        </w:tc>
        <w:tc>
          <w:tcPr>
            <w:tcW w:w="1096" w:type="pct"/>
            <w:tcBorders>
              <w:top w:val="none" w:sz="0" w:space="0" w:color="auto"/>
              <w:bottom w:val="none" w:sz="0" w:space="0" w:color="auto"/>
            </w:tcBorders>
            <w:vAlign w:val="center"/>
          </w:tcPr>
          <w:p w14:paraId="6BB76141" w14:textId="08FABE95" w:rsidR="00B817A6" w:rsidRPr="00CC1D40" w:rsidRDefault="00B817A6" w:rsidP="00B817A6">
            <w:pPr>
              <w:tabs>
                <w:tab w:val="left" w:pos="0"/>
              </w:tabs>
              <w:ind w:firstLine="0"/>
              <w:jc w:val="left"/>
              <w:cnfStyle w:val="000000100000" w:firstRow="0" w:lastRow="0" w:firstColumn="0" w:lastColumn="0" w:oddVBand="0" w:evenVBand="0" w:oddHBand="1" w:evenHBand="0" w:firstRowFirstColumn="0" w:firstRowLastColumn="0" w:lastRowFirstColumn="0" w:lastRowLastColumn="0"/>
              <w:rPr>
                <w:rFonts w:cs="Times New Roman"/>
                <w:bCs/>
                <w:sz w:val="20"/>
                <w:szCs w:val="20"/>
              </w:rPr>
            </w:pPr>
            <w:r w:rsidRPr="00CC1D40">
              <w:rPr>
                <w:rFonts w:cs="Times New Roman"/>
                <w:sz w:val="20"/>
                <w:szCs w:val="20"/>
              </w:rPr>
              <w:t>Financing type</w:t>
            </w:r>
          </w:p>
        </w:tc>
        <w:tc>
          <w:tcPr>
            <w:tcW w:w="3328" w:type="pct"/>
            <w:tcBorders>
              <w:top w:val="none" w:sz="0" w:space="0" w:color="auto"/>
              <w:bottom w:val="none" w:sz="0" w:space="0" w:color="auto"/>
            </w:tcBorders>
            <w:vAlign w:val="center"/>
          </w:tcPr>
          <w:p w14:paraId="751AFB69" w14:textId="77777777" w:rsidR="00B817A6" w:rsidRPr="00CC1D40" w:rsidRDefault="00B817A6" w:rsidP="00B817A6">
            <w:pPr>
              <w:tabs>
                <w:tab w:val="left" w:pos="0"/>
              </w:tabs>
              <w:ind w:firstLin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C1D40">
              <w:rPr>
                <w:rFonts w:cs="Times New Roman"/>
                <w:sz w:val="20"/>
                <w:szCs w:val="20"/>
              </w:rPr>
              <w:t>1 – for cash; 2 – for stock; 3 – for mix</w:t>
            </w:r>
          </w:p>
        </w:tc>
      </w:tr>
      <w:tr w:rsidR="00B817A6" w:rsidRPr="00CC1D40" w14:paraId="538AF72E" w14:textId="77777777" w:rsidTr="00B36F82">
        <w:tc>
          <w:tcPr>
            <w:cnfStyle w:val="001000000000" w:firstRow="0" w:lastRow="0" w:firstColumn="1" w:lastColumn="0" w:oddVBand="0" w:evenVBand="0" w:oddHBand="0" w:evenHBand="0" w:firstRowFirstColumn="0" w:firstRowLastColumn="0" w:lastRowFirstColumn="0" w:lastRowLastColumn="0"/>
            <w:tcW w:w="576" w:type="pct"/>
            <w:vAlign w:val="center"/>
          </w:tcPr>
          <w:p w14:paraId="6F63054C" w14:textId="24BA7186" w:rsidR="00B817A6" w:rsidRPr="00CC1D40" w:rsidRDefault="00B817A6" w:rsidP="00B817A6">
            <w:pPr>
              <w:tabs>
                <w:tab w:val="left" w:pos="0"/>
              </w:tabs>
              <w:ind w:firstLine="0"/>
              <w:jc w:val="left"/>
              <w:rPr>
                <w:rFonts w:cs="Times New Roman"/>
                <w:b w:val="0"/>
                <w:sz w:val="20"/>
                <w:szCs w:val="20"/>
              </w:rPr>
            </w:pPr>
            <w:r w:rsidRPr="00CC1D40">
              <w:rPr>
                <w:rFonts w:cs="Times New Roman"/>
                <w:b w:val="0"/>
                <w:sz w:val="20"/>
                <w:szCs w:val="20"/>
              </w:rPr>
              <w:t>CLR</w:t>
            </w:r>
            <w:r w:rsidRPr="00CC1D40">
              <w:rPr>
                <w:rFonts w:cs="Times New Roman"/>
                <w:b w:val="0"/>
                <w:sz w:val="20"/>
                <w:szCs w:val="20"/>
                <w:vertAlign w:val="subscript"/>
              </w:rPr>
              <w:t>(</w:t>
            </w:r>
            <w:proofErr w:type="spellStart"/>
            <w:r w:rsidRPr="00CC1D40">
              <w:rPr>
                <w:rFonts w:cs="Times New Roman"/>
                <w:b w:val="0"/>
                <w:sz w:val="20"/>
                <w:szCs w:val="20"/>
                <w:vertAlign w:val="subscript"/>
              </w:rPr>
              <w:t>t+i</w:t>
            </w:r>
            <w:proofErr w:type="spellEnd"/>
            <w:r w:rsidRPr="00CC1D40">
              <w:rPr>
                <w:rFonts w:cs="Times New Roman"/>
                <w:b w:val="0"/>
                <w:sz w:val="20"/>
                <w:szCs w:val="20"/>
                <w:vertAlign w:val="subscript"/>
              </w:rPr>
              <w:t>)</w:t>
            </w:r>
          </w:p>
        </w:tc>
        <w:tc>
          <w:tcPr>
            <w:tcW w:w="1096" w:type="pct"/>
            <w:vAlign w:val="center"/>
          </w:tcPr>
          <w:p w14:paraId="0C5BDED8" w14:textId="18D2F08D" w:rsidR="00B817A6" w:rsidRPr="00CC1D40" w:rsidRDefault="00B817A6" w:rsidP="00B817A6">
            <w:pPr>
              <w:tabs>
                <w:tab w:val="left" w:pos="0"/>
              </w:tabs>
              <w:ind w:firstLin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C1D40">
              <w:rPr>
                <w:rFonts w:cs="Times New Roman"/>
                <w:sz w:val="20"/>
                <w:szCs w:val="20"/>
              </w:rPr>
              <w:t>Change in Leverage ratio</w:t>
            </w:r>
          </w:p>
        </w:tc>
        <w:tc>
          <w:tcPr>
            <w:tcW w:w="3328" w:type="pct"/>
            <w:vAlign w:val="center"/>
          </w:tcPr>
          <w:p w14:paraId="3B80B420" w14:textId="7C266128" w:rsidR="00B817A6" w:rsidRPr="00CC1D40" w:rsidRDefault="00F83847" w:rsidP="00B817A6">
            <w:pPr>
              <w:tabs>
                <w:tab w:val="left" w:pos="0"/>
              </w:tabs>
              <w:ind w:firstLin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m:oMathPara>
              <m:oMathParaPr>
                <m:jc m:val="left"/>
              </m:oMathParaPr>
              <m:oMath>
                <m:d>
                  <m:dPr>
                    <m:ctrlPr>
                      <w:rPr>
                        <w:rFonts w:ascii="Cambria Math" w:hAnsi="Cambria Math" w:cs="Times New Roman"/>
                        <w:sz w:val="20"/>
                        <w:szCs w:val="20"/>
                      </w:rPr>
                    </m:ctrlPr>
                  </m:dPr>
                  <m:e>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Debt</m:t>
                            </m:r>
                          </m:e>
                          <m:sub>
                            <m:d>
                              <m:dPr>
                                <m:ctrlPr>
                                  <w:rPr>
                                    <w:rFonts w:ascii="Cambria Math" w:hAnsi="Cambria Math" w:cs="Times New Roman"/>
                                    <w:sz w:val="20"/>
                                    <w:szCs w:val="20"/>
                                  </w:rPr>
                                </m:ctrlPr>
                              </m:dPr>
                              <m:e>
                                <m:r>
                                  <m:rPr>
                                    <m:sty m:val="p"/>
                                  </m:rPr>
                                  <w:rPr>
                                    <w:rFonts w:ascii="Cambria Math" w:hAnsi="Cambria Math" w:cs="Times New Roman"/>
                                    <w:sz w:val="20"/>
                                    <w:szCs w:val="20"/>
                                  </w:rPr>
                                  <m:t>t+i</m:t>
                                </m:r>
                              </m:e>
                            </m:d>
                          </m:sub>
                        </m:sSub>
                      </m:num>
                      <m:den>
                        <m:sSub>
                          <m:sSubPr>
                            <m:ctrlPr>
                              <w:rPr>
                                <w:rFonts w:ascii="Cambria Math" w:hAnsi="Cambria Math" w:cs="Times New Roman"/>
                                <w:sz w:val="20"/>
                                <w:szCs w:val="20"/>
                              </w:rPr>
                            </m:ctrlPr>
                          </m:sSubPr>
                          <m:e>
                            <m:r>
                              <m:rPr>
                                <m:sty m:val="p"/>
                              </m:rPr>
                              <w:rPr>
                                <w:rFonts w:ascii="Cambria Math" w:hAnsi="Cambria Math" w:cs="Times New Roman"/>
                                <w:sz w:val="20"/>
                                <w:szCs w:val="20"/>
                              </w:rPr>
                              <m:t>Equity</m:t>
                            </m:r>
                          </m:e>
                          <m:sub>
                            <m:d>
                              <m:dPr>
                                <m:ctrlPr>
                                  <w:rPr>
                                    <w:rFonts w:ascii="Cambria Math" w:hAnsi="Cambria Math" w:cs="Times New Roman"/>
                                    <w:sz w:val="20"/>
                                    <w:szCs w:val="20"/>
                                  </w:rPr>
                                </m:ctrlPr>
                              </m:dPr>
                              <m:e>
                                <m:r>
                                  <m:rPr>
                                    <m:sty m:val="p"/>
                                  </m:rPr>
                                  <w:rPr>
                                    <w:rFonts w:ascii="Cambria Math" w:hAnsi="Cambria Math" w:cs="Times New Roman"/>
                                    <w:sz w:val="20"/>
                                    <w:szCs w:val="20"/>
                                  </w:rPr>
                                  <m:t>t+i</m:t>
                                </m:r>
                              </m:e>
                            </m:d>
                          </m:sub>
                        </m:sSub>
                      </m:den>
                    </m:f>
                    <m:r>
                      <m:rPr>
                        <m:sty m:val="p"/>
                      </m:rPr>
                      <w:rPr>
                        <w:rFonts w:ascii="Cambria Math" w:hAnsi="Cambria Math" w:cs="Times New Roman"/>
                        <w:sz w:val="20"/>
                        <w:szCs w:val="20"/>
                      </w:rPr>
                      <m:t xml:space="preserve"> ÷ </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Debt</m:t>
                            </m:r>
                          </m:e>
                          <m:sub>
                            <m:d>
                              <m:dPr>
                                <m:ctrlPr>
                                  <w:rPr>
                                    <w:rFonts w:ascii="Cambria Math" w:hAnsi="Cambria Math" w:cs="Times New Roman"/>
                                    <w:sz w:val="20"/>
                                    <w:szCs w:val="20"/>
                                  </w:rPr>
                                </m:ctrlPr>
                              </m:dPr>
                              <m:e>
                                <m:r>
                                  <m:rPr>
                                    <m:sty m:val="p"/>
                                  </m:rPr>
                                  <w:rPr>
                                    <w:rFonts w:ascii="Cambria Math" w:hAnsi="Cambria Math" w:cs="Times New Roman"/>
                                    <w:sz w:val="20"/>
                                    <w:szCs w:val="20"/>
                                  </w:rPr>
                                  <m:t>t-1</m:t>
                                </m:r>
                              </m:e>
                            </m:d>
                          </m:sub>
                        </m:sSub>
                      </m:num>
                      <m:den>
                        <m:sSub>
                          <m:sSubPr>
                            <m:ctrlPr>
                              <w:rPr>
                                <w:rFonts w:ascii="Cambria Math" w:hAnsi="Cambria Math" w:cs="Times New Roman"/>
                                <w:sz w:val="20"/>
                                <w:szCs w:val="20"/>
                              </w:rPr>
                            </m:ctrlPr>
                          </m:sSubPr>
                          <m:e>
                            <m:r>
                              <m:rPr>
                                <m:sty m:val="p"/>
                              </m:rPr>
                              <w:rPr>
                                <w:rFonts w:ascii="Cambria Math" w:hAnsi="Cambria Math" w:cs="Times New Roman"/>
                                <w:sz w:val="20"/>
                                <w:szCs w:val="20"/>
                              </w:rPr>
                              <m:t>Equity</m:t>
                            </m:r>
                          </m:e>
                          <m:sub>
                            <m:d>
                              <m:dPr>
                                <m:ctrlPr>
                                  <w:rPr>
                                    <w:rFonts w:ascii="Cambria Math" w:hAnsi="Cambria Math" w:cs="Times New Roman"/>
                                    <w:sz w:val="20"/>
                                    <w:szCs w:val="20"/>
                                  </w:rPr>
                                </m:ctrlPr>
                              </m:dPr>
                              <m:e>
                                <m:r>
                                  <m:rPr>
                                    <m:sty m:val="p"/>
                                  </m:rPr>
                                  <w:rPr>
                                    <w:rFonts w:ascii="Cambria Math" w:hAnsi="Cambria Math" w:cs="Times New Roman"/>
                                    <w:sz w:val="20"/>
                                    <w:szCs w:val="20"/>
                                  </w:rPr>
                                  <m:t>t-1</m:t>
                                </m:r>
                              </m:e>
                            </m:d>
                          </m:sub>
                        </m:sSub>
                      </m:den>
                    </m:f>
                    <m:r>
                      <m:rPr>
                        <m:sty m:val="p"/>
                      </m:rPr>
                      <w:rPr>
                        <w:rFonts w:ascii="Cambria Math" w:hAnsi="Cambria Math" w:cs="Times New Roman"/>
                        <w:sz w:val="20"/>
                        <w:szCs w:val="20"/>
                      </w:rPr>
                      <m:t>-1</m:t>
                    </m:r>
                  </m:e>
                </m:d>
                <m:r>
                  <m:rPr>
                    <m:sty m:val="p"/>
                  </m:rPr>
                  <w:rPr>
                    <w:rFonts w:ascii="Cambria Math" w:hAnsi="Cambria Math" w:cs="Times New Roman"/>
                    <w:sz w:val="20"/>
                    <w:szCs w:val="20"/>
                  </w:rPr>
                  <m:t>×100</m:t>
                </m:r>
              </m:oMath>
            </m:oMathPara>
          </w:p>
        </w:tc>
      </w:tr>
      <w:tr w:rsidR="00B817A6" w:rsidRPr="00CC1D40" w14:paraId="73041B56" w14:textId="77777777" w:rsidTr="00B36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pct"/>
            <w:tcBorders>
              <w:top w:val="none" w:sz="0" w:space="0" w:color="auto"/>
              <w:bottom w:val="none" w:sz="0" w:space="0" w:color="auto"/>
            </w:tcBorders>
            <w:vAlign w:val="center"/>
          </w:tcPr>
          <w:p w14:paraId="57CBB3B1" w14:textId="3F63781B" w:rsidR="00B817A6" w:rsidRPr="00CC1D40" w:rsidRDefault="00B817A6" w:rsidP="00B817A6">
            <w:pPr>
              <w:tabs>
                <w:tab w:val="left" w:pos="0"/>
              </w:tabs>
              <w:ind w:firstLine="0"/>
              <w:jc w:val="left"/>
              <w:rPr>
                <w:rFonts w:cs="Times New Roman"/>
                <w:b w:val="0"/>
                <w:sz w:val="20"/>
                <w:szCs w:val="20"/>
              </w:rPr>
            </w:pPr>
            <w:r w:rsidRPr="00CC1D40">
              <w:rPr>
                <w:rFonts w:cs="Times New Roman"/>
                <w:b w:val="0"/>
                <w:sz w:val="20"/>
                <w:szCs w:val="20"/>
              </w:rPr>
              <w:t>GDP</w:t>
            </w:r>
            <w:r w:rsidRPr="00CC1D40">
              <w:rPr>
                <w:rFonts w:cs="Times New Roman"/>
                <w:b w:val="0"/>
                <w:sz w:val="20"/>
                <w:szCs w:val="20"/>
                <w:vertAlign w:val="subscript"/>
              </w:rPr>
              <w:t>(</w:t>
            </w:r>
            <w:proofErr w:type="spellStart"/>
            <w:r w:rsidRPr="00CC1D40">
              <w:rPr>
                <w:rFonts w:cs="Times New Roman"/>
                <w:b w:val="0"/>
                <w:sz w:val="20"/>
                <w:szCs w:val="20"/>
                <w:vertAlign w:val="subscript"/>
              </w:rPr>
              <w:t>t+i</w:t>
            </w:r>
            <w:proofErr w:type="spellEnd"/>
            <w:r w:rsidRPr="00CC1D40">
              <w:rPr>
                <w:rFonts w:cs="Times New Roman"/>
                <w:b w:val="0"/>
                <w:sz w:val="20"/>
                <w:szCs w:val="20"/>
                <w:vertAlign w:val="subscript"/>
              </w:rPr>
              <w:t>)</w:t>
            </w:r>
          </w:p>
        </w:tc>
        <w:tc>
          <w:tcPr>
            <w:tcW w:w="1096" w:type="pct"/>
            <w:tcBorders>
              <w:top w:val="none" w:sz="0" w:space="0" w:color="auto"/>
              <w:bottom w:val="none" w:sz="0" w:space="0" w:color="auto"/>
            </w:tcBorders>
            <w:vAlign w:val="center"/>
          </w:tcPr>
          <w:p w14:paraId="34F40281" w14:textId="37146218" w:rsidR="00B817A6" w:rsidRPr="00CC1D40" w:rsidRDefault="00B817A6" w:rsidP="00B817A6">
            <w:pPr>
              <w:tabs>
                <w:tab w:val="left" w:pos="0"/>
              </w:tabs>
              <w:ind w:firstLin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C1D40">
              <w:rPr>
                <w:rFonts w:cs="Times New Roman"/>
                <w:sz w:val="20"/>
                <w:szCs w:val="20"/>
              </w:rPr>
              <w:t>GDP growth</w:t>
            </w:r>
          </w:p>
        </w:tc>
        <w:tc>
          <w:tcPr>
            <w:tcW w:w="3328" w:type="pct"/>
            <w:tcBorders>
              <w:top w:val="none" w:sz="0" w:space="0" w:color="auto"/>
              <w:bottom w:val="none" w:sz="0" w:space="0" w:color="auto"/>
            </w:tcBorders>
            <w:vAlign w:val="center"/>
          </w:tcPr>
          <w:p w14:paraId="1010E3E9" w14:textId="061DF585" w:rsidR="00B817A6" w:rsidRPr="00CC1D40" w:rsidRDefault="00F83847" w:rsidP="00B817A6">
            <w:pPr>
              <w:tabs>
                <w:tab w:val="left" w:pos="0"/>
              </w:tabs>
              <w:ind w:firstLin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m:oMathPara>
              <m:oMathParaPr>
                <m:jc m:val="left"/>
              </m:oMathParaPr>
              <m:oMath>
                <m:d>
                  <m:dPr>
                    <m:ctrlPr>
                      <w:rPr>
                        <w:rFonts w:ascii="Cambria Math" w:hAnsi="Cambria Math" w:cs="Times New Roman"/>
                        <w:sz w:val="20"/>
                        <w:szCs w:val="20"/>
                      </w:rPr>
                    </m:ctrlPr>
                  </m:dPr>
                  <m:e>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GDP</m:t>
                            </m:r>
                          </m:e>
                          <m:sub>
                            <m:d>
                              <m:dPr>
                                <m:ctrlPr>
                                  <w:rPr>
                                    <w:rFonts w:ascii="Cambria Math" w:hAnsi="Cambria Math" w:cs="Times New Roman"/>
                                    <w:sz w:val="20"/>
                                    <w:szCs w:val="20"/>
                                  </w:rPr>
                                </m:ctrlPr>
                              </m:dPr>
                              <m:e>
                                <m:r>
                                  <m:rPr>
                                    <m:sty m:val="p"/>
                                  </m:rPr>
                                  <w:rPr>
                                    <w:rFonts w:ascii="Cambria Math" w:hAnsi="Cambria Math" w:cs="Times New Roman"/>
                                    <w:sz w:val="20"/>
                                    <w:szCs w:val="20"/>
                                  </w:rPr>
                                  <m:t>t+i</m:t>
                                </m:r>
                              </m:e>
                            </m:d>
                          </m:sub>
                        </m:sSub>
                      </m:num>
                      <m:den>
                        <m:sSub>
                          <m:sSubPr>
                            <m:ctrlPr>
                              <w:rPr>
                                <w:rFonts w:ascii="Cambria Math" w:hAnsi="Cambria Math" w:cs="Times New Roman"/>
                                <w:sz w:val="20"/>
                                <w:szCs w:val="20"/>
                              </w:rPr>
                            </m:ctrlPr>
                          </m:sSubPr>
                          <m:e>
                            <m:r>
                              <m:rPr>
                                <m:sty m:val="p"/>
                              </m:rPr>
                              <w:rPr>
                                <w:rFonts w:ascii="Cambria Math" w:hAnsi="Cambria Math" w:cs="Times New Roman"/>
                                <w:sz w:val="20"/>
                                <w:szCs w:val="20"/>
                              </w:rPr>
                              <m:t>GDP</m:t>
                            </m:r>
                          </m:e>
                          <m:sub>
                            <m:d>
                              <m:dPr>
                                <m:ctrlPr>
                                  <w:rPr>
                                    <w:rFonts w:ascii="Cambria Math" w:hAnsi="Cambria Math" w:cs="Times New Roman"/>
                                    <w:sz w:val="20"/>
                                    <w:szCs w:val="20"/>
                                  </w:rPr>
                                </m:ctrlPr>
                              </m:dPr>
                              <m:e>
                                <m:r>
                                  <m:rPr>
                                    <m:sty m:val="p"/>
                                  </m:rPr>
                                  <w:rPr>
                                    <w:rFonts w:ascii="Cambria Math" w:hAnsi="Cambria Math" w:cs="Times New Roman"/>
                                    <w:sz w:val="20"/>
                                    <w:szCs w:val="20"/>
                                  </w:rPr>
                                  <m:t>t-1</m:t>
                                </m:r>
                              </m:e>
                            </m:d>
                          </m:sub>
                        </m:sSub>
                      </m:den>
                    </m:f>
                    <m:r>
                      <m:rPr>
                        <m:sty m:val="p"/>
                      </m:rPr>
                      <w:rPr>
                        <w:rFonts w:ascii="Cambria Math" w:hAnsi="Cambria Math" w:cs="Times New Roman"/>
                        <w:sz w:val="20"/>
                        <w:szCs w:val="20"/>
                      </w:rPr>
                      <m:t>-1</m:t>
                    </m:r>
                  </m:e>
                </m:d>
                <m:r>
                  <m:rPr>
                    <m:sty m:val="p"/>
                  </m:rPr>
                  <w:rPr>
                    <w:rFonts w:ascii="Cambria Math" w:hAnsi="Cambria Math" w:cs="Times New Roman"/>
                    <w:sz w:val="20"/>
                    <w:szCs w:val="20"/>
                  </w:rPr>
                  <m:t>×100</m:t>
                </m:r>
              </m:oMath>
            </m:oMathPara>
          </w:p>
        </w:tc>
      </w:tr>
      <w:tr w:rsidR="00B817A6" w:rsidRPr="00CC1D40" w14:paraId="394D0BB8" w14:textId="77777777" w:rsidTr="00B36F82">
        <w:tc>
          <w:tcPr>
            <w:cnfStyle w:val="001000000000" w:firstRow="0" w:lastRow="0" w:firstColumn="1" w:lastColumn="0" w:oddVBand="0" w:evenVBand="0" w:oddHBand="0" w:evenHBand="0" w:firstRowFirstColumn="0" w:firstRowLastColumn="0" w:lastRowFirstColumn="0" w:lastRowLastColumn="0"/>
            <w:tcW w:w="576" w:type="pct"/>
            <w:vAlign w:val="center"/>
          </w:tcPr>
          <w:p w14:paraId="3082B892" w14:textId="31389B86" w:rsidR="00B817A6" w:rsidRPr="00CC1D40" w:rsidRDefault="00B817A6" w:rsidP="00B817A6">
            <w:pPr>
              <w:tabs>
                <w:tab w:val="left" w:pos="0"/>
              </w:tabs>
              <w:ind w:firstLine="0"/>
              <w:jc w:val="left"/>
              <w:rPr>
                <w:rFonts w:cs="Times New Roman"/>
                <w:b w:val="0"/>
                <w:sz w:val="20"/>
                <w:szCs w:val="20"/>
              </w:rPr>
            </w:pPr>
            <w:r w:rsidRPr="00CC1D40">
              <w:rPr>
                <w:rFonts w:cs="Times New Roman"/>
                <w:b w:val="0"/>
                <w:sz w:val="20"/>
                <w:szCs w:val="20"/>
              </w:rPr>
              <w:t>OPR</w:t>
            </w:r>
            <w:r w:rsidRPr="00CC1D40">
              <w:rPr>
                <w:rFonts w:cs="Times New Roman"/>
                <w:b w:val="0"/>
                <w:sz w:val="20"/>
                <w:szCs w:val="20"/>
                <w:vertAlign w:val="subscript"/>
              </w:rPr>
              <w:t>(</w:t>
            </w:r>
            <w:proofErr w:type="spellStart"/>
            <w:r w:rsidRPr="00CC1D40">
              <w:rPr>
                <w:rFonts w:cs="Times New Roman"/>
                <w:b w:val="0"/>
                <w:sz w:val="20"/>
                <w:szCs w:val="20"/>
                <w:vertAlign w:val="subscript"/>
              </w:rPr>
              <w:t>t+i</w:t>
            </w:r>
            <w:proofErr w:type="spellEnd"/>
            <w:r w:rsidRPr="00CC1D40">
              <w:rPr>
                <w:rFonts w:cs="Times New Roman"/>
                <w:b w:val="0"/>
                <w:sz w:val="20"/>
                <w:szCs w:val="20"/>
                <w:vertAlign w:val="subscript"/>
              </w:rPr>
              <w:t>)</w:t>
            </w:r>
          </w:p>
        </w:tc>
        <w:tc>
          <w:tcPr>
            <w:tcW w:w="1096" w:type="pct"/>
            <w:vAlign w:val="center"/>
          </w:tcPr>
          <w:p w14:paraId="49C51BD6" w14:textId="64EEF9BE" w:rsidR="00B817A6" w:rsidRPr="00CC1D40" w:rsidRDefault="00B817A6" w:rsidP="00B817A6">
            <w:pPr>
              <w:tabs>
                <w:tab w:val="left" w:pos="0"/>
              </w:tabs>
              <w:ind w:firstLin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C1D40">
              <w:rPr>
                <w:rFonts w:cs="Times New Roman"/>
                <w:sz w:val="20"/>
                <w:szCs w:val="20"/>
              </w:rPr>
              <w:t>Change in Oil prices</w:t>
            </w:r>
          </w:p>
        </w:tc>
        <w:tc>
          <w:tcPr>
            <w:tcW w:w="3328" w:type="pct"/>
            <w:vAlign w:val="center"/>
          </w:tcPr>
          <w:p w14:paraId="29C9AF0B" w14:textId="2875890C" w:rsidR="00B817A6" w:rsidRPr="00CC1D40" w:rsidRDefault="00F83847" w:rsidP="00B817A6">
            <w:pPr>
              <w:tabs>
                <w:tab w:val="left" w:pos="0"/>
              </w:tabs>
              <w:ind w:firstLin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m:oMathPara>
              <m:oMathParaPr>
                <m:jc m:val="left"/>
              </m:oMathParaPr>
              <m:oMath>
                <m:d>
                  <m:dPr>
                    <m:ctrlPr>
                      <w:rPr>
                        <w:rFonts w:ascii="Cambria Math" w:hAnsi="Cambria Math" w:cs="Times New Roman"/>
                        <w:sz w:val="20"/>
                        <w:szCs w:val="20"/>
                      </w:rPr>
                    </m:ctrlPr>
                  </m:dPr>
                  <m:e>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Average oil price</m:t>
                            </m:r>
                          </m:e>
                          <m:sub>
                            <m:d>
                              <m:dPr>
                                <m:ctrlPr>
                                  <w:rPr>
                                    <w:rFonts w:ascii="Cambria Math" w:hAnsi="Cambria Math" w:cs="Times New Roman"/>
                                    <w:sz w:val="20"/>
                                    <w:szCs w:val="20"/>
                                  </w:rPr>
                                </m:ctrlPr>
                              </m:dPr>
                              <m:e>
                                <m:r>
                                  <m:rPr>
                                    <m:sty m:val="p"/>
                                  </m:rPr>
                                  <w:rPr>
                                    <w:rFonts w:ascii="Cambria Math" w:hAnsi="Cambria Math" w:cs="Times New Roman"/>
                                    <w:sz w:val="20"/>
                                    <w:szCs w:val="20"/>
                                  </w:rPr>
                                  <m:t>t+i</m:t>
                                </m:r>
                              </m:e>
                            </m:d>
                          </m:sub>
                        </m:sSub>
                      </m:num>
                      <m:den>
                        <m:sSub>
                          <m:sSubPr>
                            <m:ctrlPr>
                              <w:rPr>
                                <w:rFonts w:ascii="Cambria Math" w:hAnsi="Cambria Math" w:cs="Times New Roman"/>
                                <w:sz w:val="20"/>
                                <w:szCs w:val="20"/>
                              </w:rPr>
                            </m:ctrlPr>
                          </m:sSubPr>
                          <m:e>
                            <m:r>
                              <m:rPr>
                                <m:sty m:val="p"/>
                              </m:rPr>
                              <w:rPr>
                                <w:rFonts w:ascii="Cambria Math" w:hAnsi="Cambria Math" w:cs="Times New Roman"/>
                                <w:sz w:val="20"/>
                                <w:szCs w:val="20"/>
                              </w:rPr>
                              <m:t>Average oil price</m:t>
                            </m:r>
                          </m:e>
                          <m:sub>
                            <m:d>
                              <m:dPr>
                                <m:ctrlPr>
                                  <w:rPr>
                                    <w:rFonts w:ascii="Cambria Math" w:hAnsi="Cambria Math" w:cs="Times New Roman"/>
                                    <w:sz w:val="20"/>
                                    <w:szCs w:val="20"/>
                                  </w:rPr>
                                </m:ctrlPr>
                              </m:dPr>
                              <m:e>
                                <m:r>
                                  <m:rPr>
                                    <m:sty m:val="p"/>
                                  </m:rPr>
                                  <w:rPr>
                                    <w:rFonts w:ascii="Cambria Math" w:hAnsi="Cambria Math" w:cs="Times New Roman"/>
                                    <w:sz w:val="20"/>
                                    <w:szCs w:val="20"/>
                                  </w:rPr>
                                  <m:t>t-1</m:t>
                                </m:r>
                              </m:e>
                            </m:d>
                          </m:sub>
                        </m:sSub>
                      </m:den>
                    </m:f>
                    <m:r>
                      <m:rPr>
                        <m:sty m:val="p"/>
                      </m:rPr>
                      <w:rPr>
                        <w:rFonts w:ascii="Cambria Math" w:hAnsi="Cambria Math" w:cs="Times New Roman"/>
                        <w:sz w:val="20"/>
                        <w:szCs w:val="20"/>
                      </w:rPr>
                      <m:t>-1</m:t>
                    </m:r>
                  </m:e>
                </m:d>
                <m:r>
                  <m:rPr>
                    <m:sty m:val="p"/>
                  </m:rPr>
                  <w:rPr>
                    <w:rFonts w:ascii="Cambria Math" w:hAnsi="Cambria Math" w:cs="Times New Roman"/>
                    <w:sz w:val="20"/>
                    <w:szCs w:val="20"/>
                  </w:rPr>
                  <m:t>×100</m:t>
                </m:r>
              </m:oMath>
            </m:oMathPara>
          </w:p>
        </w:tc>
      </w:tr>
    </w:tbl>
    <w:p w14:paraId="5C54F70A" w14:textId="77777777" w:rsidR="00EB28E3" w:rsidRDefault="00EB28E3" w:rsidP="004D2A38">
      <w:pPr>
        <w:tabs>
          <w:tab w:val="left" w:pos="0"/>
        </w:tabs>
      </w:pPr>
    </w:p>
    <w:p w14:paraId="361B8B09" w14:textId="19E5DF54" w:rsidR="0070488E" w:rsidRDefault="0070488E" w:rsidP="004D2A38">
      <w:pPr>
        <w:tabs>
          <w:tab w:val="left" w:pos="0"/>
        </w:tabs>
      </w:pPr>
      <w:r>
        <w:t xml:space="preserve">To predict the change in corporate performance prior to M&amp;A deal execution Change in Tobin’s Q ratio is used. This metric was chosen based on the literature review and the advantages this metric provides for this research. First of all, in the numerator we have the market value of company which is not the accounting term and cannot easily be manipulated. Besides by scaling the market value at total assets value we account for the change in the company value due to the merging of the </w:t>
      </w:r>
      <w:r>
        <w:lastRenderedPageBreak/>
        <w:t xml:space="preserve">firms. </w:t>
      </w:r>
      <w:r w:rsidR="003D59FB">
        <w:t>So,</w:t>
      </w:r>
      <w:r>
        <w:t xml:space="preserve"> in some way this indicator is the true value of the firm and by evaluating the change in it after the deal, we can notice the increase or decrease in performance of the company. </w:t>
      </w:r>
    </w:p>
    <w:p w14:paraId="42963511" w14:textId="7009E60B" w:rsidR="00EB28E3" w:rsidRDefault="00EB28E3" w:rsidP="004D2A38">
      <w:pPr>
        <w:tabs>
          <w:tab w:val="left" w:pos="0"/>
        </w:tabs>
      </w:pPr>
      <w:r>
        <w:t>C</w:t>
      </w:r>
      <w:r w:rsidRPr="00231030">
        <w:t xml:space="preserve">hanges in </w:t>
      </w:r>
      <w:r w:rsidR="00A1031C">
        <w:t>Days in Accounts receivables (AR), Days in Inventories (</w:t>
      </w:r>
      <w:proofErr w:type="spellStart"/>
      <w:r w:rsidR="00A1031C">
        <w:t>Inv</w:t>
      </w:r>
      <w:proofErr w:type="spellEnd"/>
      <w:r w:rsidR="00A1031C">
        <w:t>) and in Days in accounts payable (AP) are</w:t>
      </w:r>
      <w:r w:rsidRPr="00231030">
        <w:t xml:space="preserve"> </w:t>
      </w:r>
      <w:r>
        <w:t xml:space="preserve">considered </w:t>
      </w:r>
      <w:r w:rsidRPr="00231030">
        <w:t>as the main independent variable</w:t>
      </w:r>
      <w:r w:rsidR="00A1031C">
        <w:t>s</w:t>
      </w:r>
      <w:r w:rsidRPr="00231030">
        <w:t xml:space="preserve">. </w:t>
      </w:r>
      <w:r w:rsidR="00A1031C">
        <w:t>These variables</w:t>
      </w:r>
      <w:r w:rsidRPr="00231030">
        <w:t xml:space="preserve"> </w:t>
      </w:r>
      <w:r>
        <w:t xml:space="preserve">show the adjustments in working capital </w:t>
      </w:r>
      <w:r w:rsidR="00A1031C">
        <w:t>structure</w:t>
      </w:r>
      <w:r>
        <w:t xml:space="preserve"> to the one year before the deal moment of time (t-1) in comparison to values after the deal execution (</w:t>
      </w:r>
      <w:proofErr w:type="spellStart"/>
      <w:r>
        <w:t>t+i</w:t>
      </w:r>
      <w:proofErr w:type="spellEnd"/>
      <w:r w:rsidR="00AD4260">
        <w:t>).</w:t>
      </w:r>
      <w:r>
        <w:t xml:space="preserve"> Using th</w:t>
      </w:r>
      <w:r w:rsidR="00A1031C">
        <w:t>ese</w:t>
      </w:r>
      <w:r>
        <w:t xml:space="preserve"> metrics, the relationship between the working capital management and companies’ performance is tested. </w:t>
      </w:r>
      <w:r w:rsidR="0070488E">
        <w:t xml:space="preserve">So, if we spot that change in </w:t>
      </w:r>
      <w:r w:rsidR="00A1031C">
        <w:t>Days in accounts</w:t>
      </w:r>
      <w:r w:rsidR="0070488E">
        <w:t xml:space="preserve"> in any way lead to the increase or decrease of company performance, it can be evidence that working capital structure and working capital management indeed influences corporate performance in mergers and acquisitions. </w:t>
      </w:r>
      <w:r w:rsidR="001303B8">
        <w:t>Besides, as it was previously discussed, the quadratic term</w:t>
      </w:r>
      <w:r w:rsidR="00A1031C">
        <w:t>s</w:t>
      </w:r>
      <w:r w:rsidR="001303B8">
        <w:t xml:space="preserve"> of the</w:t>
      </w:r>
      <w:r w:rsidR="00A1031C">
        <w:t>se variables are</w:t>
      </w:r>
      <w:r w:rsidR="001303B8">
        <w:t xml:space="preserve"> introduced to check for the non-linear relationship between working capital structure and company performance. Essentially, the inverted U-shaped curve is anticipated. </w:t>
      </w:r>
    </w:p>
    <w:p w14:paraId="3DC9679A" w14:textId="47CA1B6D" w:rsidR="001147AE" w:rsidRDefault="001147AE" w:rsidP="004D2A38">
      <w:pPr>
        <w:tabs>
          <w:tab w:val="left" w:pos="0"/>
        </w:tabs>
      </w:pPr>
      <w:r>
        <w:t xml:space="preserve">Besides, to truly specify the regression model and to account for possible influence of other variables onto company performance, following control variables were introduced. </w:t>
      </w:r>
      <w:r w:rsidR="00E671C9">
        <w:t>As the most favorable</w:t>
      </w:r>
      <w:r w:rsidR="00052803">
        <w:t xml:space="preserve">, spotted and discussed variables in the literature of M&amp;A performance researches Deal Size, Industry Similarity and Financing type were introduced. Deal size is measured as the natural logarithm of value paid by the acquirer for the target company. Industry similarity was derived using the first two digits of NAICS 2017 codes of industry attachment. In case of similar digits for the acquirer and target the value of “1” was assigned and in case of the difference in NAICS 2017 codes, the value of “0” was assigned. Somewhat differently Financing type was treated. There three main categories of M&amp;A deals financing and considered this time in this research. They are cash payment, stocks and mixed type of stocks and cash. In case of the full cash payment the value of “1” was assigned, in case of stocks – “2” and for mix payment “3”. </w:t>
      </w:r>
    </w:p>
    <w:p w14:paraId="6CDB8794" w14:textId="77777777" w:rsidR="009579FD" w:rsidRDefault="00052803" w:rsidP="004D2A38">
      <w:pPr>
        <w:tabs>
          <w:tab w:val="left" w:pos="0"/>
        </w:tabs>
      </w:pPr>
      <w:r>
        <w:t xml:space="preserve">Moreover, the Tobin’s Q ratio is influenced not only by the specifics of the M&amp;A deal itself. Even after the deal company continues to operate and many other factors may apply and change the environment and efficiency of the company. That is why the model above includes such control variable as the Leverage ratio of the firm. </w:t>
      </w:r>
      <w:r w:rsidR="009579FD">
        <w:t xml:space="preserve">It is one of the most relevant and widely studied factor that influences firm profitability and thus stock values. Another possible influence is usually caused by the economic conditions of the country in which the company operates. To control for this impact, we included the GDP growth rate, since it is the most obvious indicator of the country economic situation. </w:t>
      </w:r>
    </w:p>
    <w:p w14:paraId="2F8AF991" w14:textId="7D2BE26E" w:rsidR="00052803" w:rsidRDefault="00052803" w:rsidP="004D2A38">
      <w:pPr>
        <w:tabs>
          <w:tab w:val="left" w:pos="0"/>
        </w:tabs>
      </w:pPr>
      <w:r>
        <w:t xml:space="preserve">Besides, since we consider Oil &amp; Gas industry it is important also to control for industry specific </w:t>
      </w:r>
      <w:r w:rsidR="009579FD">
        <w:t xml:space="preserve">indicators. The one invaluable indicator for this industry might be Oil prices, since it is </w:t>
      </w:r>
      <w:r w:rsidR="009579FD">
        <w:lastRenderedPageBreak/>
        <w:t xml:space="preserve">actually the main determinant of the company profits and performance in terms of stock prices also. The higher the oil price, the higher the profits and stock returns, which in turn leads to the increase of Tobin’s Q ratio. </w:t>
      </w:r>
    </w:p>
    <w:p w14:paraId="179A8D06" w14:textId="5EA15AD2" w:rsidR="0037586F" w:rsidRDefault="0037586F" w:rsidP="004D2A38">
      <w:pPr>
        <w:tabs>
          <w:tab w:val="left" w:pos="0"/>
        </w:tabs>
      </w:pPr>
      <w:r>
        <w:t xml:space="preserve">For now, it is the main prepositions that will be used in order to answer the research questions and test the hypotheses 1. Based on this model we will check if there is actually any evidence of the relationship between the working capital structure and corporate performance in the short-, medium- and long-term after deal horizon. </w:t>
      </w:r>
    </w:p>
    <w:p w14:paraId="6F261223" w14:textId="03C7BFF8" w:rsidR="00AA72D6" w:rsidRDefault="00AA72D6" w:rsidP="004D2A38">
      <w:pPr>
        <w:tabs>
          <w:tab w:val="left" w:pos="0"/>
        </w:tabs>
      </w:pPr>
      <w:r>
        <w:t xml:space="preserve">To answer the next research question of whether the </w:t>
      </w:r>
      <w:r w:rsidR="00A1031C">
        <w:t>target</w:t>
      </w:r>
      <w:r>
        <w:t xml:space="preserve"> </w:t>
      </w:r>
      <w:r w:rsidR="00A1031C">
        <w:t>amount</w:t>
      </w:r>
      <w:r>
        <w:t xml:space="preserve"> of the working capital in the company exists, that maximizes the performance of the company the following research hypotheses were stated and accordingly the research model was developed</w:t>
      </w:r>
      <w:r w:rsidR="00E45E66">
        <w:t xml:space="preserve">. </w:t>
      </w:r>
    </w:p>
    <w:p w14:paraId="76B319F6" w14:textId="662B5BAC" w:rsidR="001F5E09" w:rsidRDefault="001F5E09" w:rsidP="004D2A38">
      <w:pPr>
        <w:tabs>
          <w:tab w:val="left" w:pos="0"/>
        </w:tabs>
        <w:spacing w:after="0"/>
      </w:pPr>
      <w:r w:rsidRPr="00070207">
        <w:rPr>
          <w:b/>
        </w:rPr>
        <w:t xml:space="preserve">Hypotheses </w:t>
      </w:r>
      <w:r>
        <w:rPr>
          <w:b/>
        </w:rPr>
        <w:t>3</w:t>
      </w:r>
      <w:r w:rsidRPr="00070207">
        <w:rPr>
          <w:b/>
        </w:rPr>
        <w:t>:</w:t>
      </w:r>
    </w:p>
    <w:p w14:paraId="2F1AE1EC" w14:textId="39348B9C" w:rsidR="00AA72D6" w:rsidRDefault="00AA72D6" w:rsidP="004D2A38">
      <w:pPr>
        <w:pStyle w:val="a5"/>
        <w:tabs>
          <w:tab w:val="left" w:pos="0"/>
        </w:tabs>
        <w:ind w:left="1069" w:firstLine="0"/>
      </w:pPr>
      <w:r>
        <w:t xml:space="preserve">H0: There is </w:t>
      </w:r>
      <w:r w:rsidR="001F5E09">
        <w:t xml:space="preserve">significant relationship between </w:t>
      </w:r>
      <w:r>
        <w:t xml:space="preserve">target working capital </w:t>
      </w:r>
      <w:r w:rsidR="001F5E09">
        <w:t xml:space="preserve">and </w:t>
      </w:r>
      <w:r>
        <w:t>company performance;</w:t>
      </w:r>
    </w:p>
    <w:p w14:paraId="436DC7F8" w14:textId="41793711" w:rsidR="00474749" w:rsidRDefault="00474749" w:rsidP="004D2A38">
      <w:pPr>
        <w:tabs>
          <w:tab w:val="left" w:pos="0"/>
        </w:tabs>
      </w:pPr>
      <w:r>
        <w:t>To answer the research hypotheses further research methodology was divided into two steps. First of all, we try to identify industry specific optimal value of working capital in the firm based on the widely-known indicators, that influence the structure of the working capital. Previously, we produced comprehensive literature review of the key determinants for the working capital structure and the below stated model fully reflects the previous research (</w:t>
      </w:r>
      <w:r w:rsidRPr="0045726F">
        <w:t xml:space="preserve">Formula </w:t>
      </w:r>
      <w:r w:rsidR="00971A38" w:rsidRPr="0045726F">
        <w:t xml:space="preserve">2 and </w:t>
      </w:r>
      <w:r w:rsidR="00971A38" w:rsidRPr="0045726F">
        <w:fldChar w:fldCharType="begin"/>
      </w:r>
      <w:r w:rsidR="00971A38" w:rsidRPr="0045726F">
        <w:instrText xml:space="preserve"> REF _Ref514671454 \r \h </w:instrText>
      </w:r>
      <w:r w:rsidR="0045726F">
        <w:instrText xml:space="preserve"> \* MERGEFORMAT </w:instrText>
      </w:r>
      <w:r w:rsidR="00971A38" w:rsidRPr="0045726F">
        <w:fldChar w:fldCharType="separate"/>
      </w:r>
      <w:r w:rsidR="00154E78">
        <w:t>Table 6</w:t>
      </w:r>
      <w:r w:rsidR="00971A38" w:rsidRPr="0045726F">
        <w:fldChar w:fldCharType="end"/>
      </w:r>
      <w:r>
        <w:t>):</w:t>
      </w:r>
    </w:p>
    <w:p w14:paraId="401927DE" w14:textId="4052C943" w:rsidR="00474749" w:rsidRPr="00FD029E" w:rsidRDefault="00474749" w:rsidP="004D2A38">
      <w:pPr>
        <w:pStyle w:val="a5"/>
        <w:tabs>
          <w:tab w:val="left" w:pos="0"/>
        </w:tabs>
        <w:ind w:left="425"/>
        <w:contextualSpacing w:val="0"/>
        <w:jc w:val="right"/>
        <w:rPr>
          <w:szCs w:val="24"/>
        </w:rPr>
      </w:pPr>
      <w:r>
        <w:rPr>
          <w:szCs w:val="24"/>
        </w:rPr>
        <w:t>T_WC</w:t>
      </w:r>
      <w:r>
        <w:rPr>
          <w:szCs w:val="24"/>
          <w:vertAlign w:val="subscript"/>
        </w:rPr>
        <w:t xml:space="preserve"> </w:t>
      </w:r>
      <w:r>
        <w:rPr>
          <w:szCs w:val="24"/>
        </w:rPr>
        <w:t xml:space="preserve">= </w:t>
      </w:r>
      <w:r>
        <w:rPr>
          <w:rFonts w:cstheme="minorHAnsi"/>
          <w:szCs w:val="24"/>
        </w:rPr>
        <w:t>α</w:t>
      </w:r>
      <w:r>
        <w:rPr>
          <w:szCs w:val="24"/>
        </w:rPr>
        <w:t xml:space="preserve"> + </w:t>
      </w:r>
      <w:r>
        <w:rPr>
          <w:rFonts w:cstheme="minorHAnsi"/>
          <w:szCs w:val="24"/>
        </w:rPr>
        <w:t>β</w:t>
      </w:r>
      <w:r>
        <w:rPr>
          <w:szCs w:val="24"/>
          <w:vertAlign w:val="subscript"/>
        </w:rPr>
        <w:t xml:space="preserve">1 </w:t>
      </w:r>
      <w:r>
        <w:rPr>
          <w:szCs w:val="24"/>
        </w:rPr>
        <w:t>* CFO</w:t>
      </w:r>
      <w:r>
        <w:rPr>
          <w:szCs w:val="24"/>
          <w:vertAlign w:val="subscript"/>
        </w:rPr>
        <w:t xml:space="preserve"> </w:t>
      </w:r>
      <w:r>
        <w:rPr>
          <w:szCs w:val="24"/>
        </w:rPr>
        <w:t xml:space="preserve">+ </w:t>
      </w:r>
      <w:r>
        <w:rPr>
          <w:rFonts w:cstheme="minorHAnsi"/>
          <w:szCs w:val="24"/>
        </w:rPr>
        <w:t>β</w:t>
      </w:r>
      <w:r>
        <w:rPr>
          <w:szCs w:val="24"/>
          <w:vertAlign w:val="subscript"/>
        </w:rPr>
        <w:t xml:space="preserve">2 </w:t>
      </w:r>
      <w:r>
        <w:rPr>
          <w:szCs w:val="24"/>
        </w:rPr>
        <w:t xml:space="preserve">* OC + </w:t>
      </w:r>
      <w:r>
        <w:rPr>
          <w:rFonts w:cstheme="minorHAnsi"/>
          <w:szCs w:val="24"/>
        </w:rPr>
        <w:t>β</w:t>
      </w:r>
      <w:r>
        <w:rPr>
          <w:szCs w:val="24"/>
          <w:vertAlign w:val="subscript"/>
        </w:rPr>
        <w:t xml:space="preserve">3 </w:t>
      </w:r>
      <w:r>
        <w:rPr>
          <w:szCs w:val="24"/>
        </w:rPr>
        <w:t xml:space="preserve">* ROA + </w:t>
      </w:r>
      <w:r>
        <w:rPr>
          <w:rFonts w:cstheme="minorHAnsi"/>
          <w:szCs w:val="24"/>
        </w:rPr>
        <w:t>β</w:t>
      </w:r>
      <w:r>
        <w:rPr>
          <w:szCs w:val="24"/>
          <w:vertAlign w:val="subscript"/>
        </w:rPr>
        <w:t xml:space="preserve">4 </w:t>
      </w:r>
      <w:r>
        <w:rPr>
          <w:szCs w:val="24"/>
        </w:rPr>
        <w:t xml:space="preserve">* LR + </w:t>
      </w:r>
      <w:r>
        <w:rPr>
          <w:rFonts w:cstheme="minorHAnsi"/>
          <w:szCs w:val="24"/>
        </w:rPr>
        <w:t>β</w:t>
      </w:r>
      <w:r>
        <w:rPr>
          <w:szCs w:val="24"/>
          <w:vertAlign w:val="subscript"/>
        </w:rPr>
        <w:t xml:space="preserve">5 </w:t>
      </w:r>
      <w:r>
        <w:rPr>
          <w:szCs w:val="24"/>
        </w:rPr>
        <w:t xml:space="preserve">* CAPEX + </w:t>
      </w:r>
      <w:r>
        <w:rPr>
          <w:rFonts w:cstheme="minorHAnsi"/>
          <w:szCs w:val="24"/>
        </w:rPr>
        <w:t>β</w:t>
      </w:r>
      <w:r>
        <w:rPr>
          <w:szCs w:val="24"/>
          <w:vertAlign w:val="subscript"/>
        </w:rPr>
        <w:t xml:space="preserve">6 </w:t>
      </w:r>
      <w:r>
        <w:rPr>
          <w:szCs w:val="24"/>
        </w:rPr>
        <w:t xml:space="preserve">* S + </w:t>
      </w:r>
      <w:r w:rsidR="00971A38" w:rsidRPr="0045726F">
        <w:rPr>
          <w:rFonts w:cstheme="minorHAnsi"/>
          <w:szCs w:val="24"/>
        </w:rPr>
        <w:t>ε     (2</w:t>
      </w:r>
      <w:r w:rsidRPr="0045726F">
        <w:rPr>
          <w:rFonts w:cstheme="minorHAnsi"/>
          <w:szCs w:val="24"/>
        </w:rPr>
        <w:t>)</w:t>
      </w:r>
    </w:p>
    <w:p w14:paraId="201B50C2" w14:textId="77777777" w:rsidR="00474749" w:rsidRDefault="00474749" w:rsidP="004D2A38">
      <w:pPr>
        <w:tabs>
          <w:tab w:val="left" w:pos="0"/>
        </w:tabs>
      </w:pPr>
      <w:r>
        <w:t xml:space="preserve">where: </w:t>
      </w:r>
    </w:p>
    <w:p w14:paraId="52F5E589" w14:textId="77777777" w:rsidR="00474749" w:rsidRDefault="00474749" w:rsidP="004D2A38">
      <w:pPr>
        <w:tabs>
          <w:tab w:val="left" w:pos="0"/>
        </w:tabs>
      </w:pPr>
      <w:r>
        <w:t>T_WC – target working capital;</w:t>
      </w:r>
    </w:p>
    <w:p w14:paraId="3E73A86A" w14:textId="724776C6" w:rsidR="00474749" w:rsidRDefault="00B070B8" w:rsidP="004D2A38">
      <w:pPr>
        <w:tabs>
          <w:tab w:val="left" w:pos="0"/>
        </w:tabs>
      </w:pPr>
      <w:r>
        <w:t>CFO</w:t>
      </w:r>
      <w:r w:rsidR="00474749">
        <w:t xml:space="preserve"> – </w:t>
      </w:r>
      <w:r>
        <w:t>cash flow from operations</w:t>
      </w:r>
      <w:r w:rsidR="00474749">
        <w:t xml:space="preserve"> deflated by total assets;</w:t>
      </w:r>
    </w:p>
    <w:p w14:paraId="75ABD2ED" w14:textId="77777777" w:rsidR="00B070B8" w:rsidRDefault="00B070B8" w:rsidP="004D2A38">
      <w:pPr>
        <w:tabs>
          <w:tab w:val="left" w:pos="0"/>
        </w:tabs>
      </w:pPr>
      <w:r>
        <w:t>OC – operating cycle;</w:t>
      </w:r>
    </w:p>
    <w:p w14:paraId="7610B6B5" w14:textId="77777777" w:rsidR="00474749" w:rsidRDefault="00474749" w:rsidP="004D2A38">
      <w:pPr>
        <w:tabs>
          <w:tab w:val="left" w:pos="0"/>
        </w:tabs>
      </w:pPr>
      <w:r>
        <w:t>ROA – return on assets;</w:t>
      </w:r>
    </w:p>
    <w:p w14:paraId="3F4C23A7" w14:textId="5376911E" w:rsidR="00474749" w:rsidRDefault="00474749" w:rsidP="004D2A38">
      <w:pPr>
        <w:tabs>
          <w:tab w:val="left" w:pos="0"/>
        </w:tabs>
      </w:pPr>
      <w:r>
        <w:t>LR – leverage ratio;</w:t>
      </w:r>
    </w:p>
    <w:p w14:paraId="06AA0DE9" w14:textId="1CDEE535" w:rsidR="00B070B8" w:rsidRDefault="00B070B8" w:rsidP="004D2A38">
      <w:pPr>
        <w:tabs>
          <w:tab w:val="left" w:pos="0"/>
        </w:tabs>
      </w:pPr>
      <w:r>
        <w:t>CAPEX – capital expenditures deflated by total assets</w:t>
      </w:r>
    </w:p>
    <w:p w14:paraId="67009482" w14:textId="77777777" w:rsidR="00474749" w:rsidRDefault="00474749" w:rsidP="004D2A38">
      <w:pPr>
        <w:tabs>
          <w:tab w:val="left" w:pos="0"/>
        </w:tabs>
      </w:pPr>
      <w:r>
        <w:t>S – size of the firm.</w:t>
      </w:r>
    </w:p>
    <w:p w14:paraId="1C4E2D13" w14:textId="4BEBE23D" w:rsidR="00474749" w:rsidRDefault="00474749" w:rsidP="00E249F5">
      <w:pPr>
        <w:pStyle w:val="a0"/>
        <w:tabs>
          <w:tab w:val="left" w:pos="0"/>
        </w:tabs>
        <w:ind w:left="0"/>
      </w:pPr>
      <w:bookmarkStart w:id="24" w:name="_Ref514671454"/>
      <w:r>
        <w:t>Target working capital variables summary</w:t>
      </w:r>
      <w:bookmarkEnd w:id="24"/>
    </w:p>
    <w:tbl>
      <w:tblPr>
        <w:tblStyle w:val="22"/>
        <w:tblW w:w="503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2137"/>
        <w:gridCol w:w="6489"/>
      </w:tblGrid>
      <w:tr w:rsidR="00474749" w:rsidRPr="00494614" w14:paraId="371AB347" w14:textId="77777777" w:rsidTr="002765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pct"/>
            <w:tcBorders>
              <w:bottom w:val="none" w:sz="0" w:space="0" w:color="auto"/>
            </w:tcBorders>
          </w:tcPr>
          <w:p w14:paraId="1A1E2E6E" w14:textId="77777777" w:rsidR="00474749" w:rsidRPr="00494614" w:rsidRDefault="00474749" w:rsidP="004D2A38">
            <w:pPr>
              <w:tabs>
                <w:tab w:val="left" w:pos="0"/>
              </w:tabs>
              <w:ind w:firstLine="0"/>
              <w:jc w:val="left"/>
              <w:rPr>
                <w:rFonts w:cs="Times New Roman"/>
                <w:sz w:val="20"/>
                <w:szCs w:val="20"/>
              </w:rPr>
            </w:pPr>
            <w:r w:rsidRPr="00494614">
              <w:rPr>
                <w:rFonts w:cs="Times New Roman"/>
                <w:sz w:val="20"/>
                <w:szCs w:val="20"/>
              </w:rPr>
              <w:t>Variable</w:t>
            </w:r>
          </w:p>
        </w:tc>
        <w:tc>
          <w:tcPr>
            <w:tcW w:w="1096" w:type="pct"/>
            <w:tcBorders>
              <w:bottom w:val="none" w:sz="0" w:space="0" w:color="auto"/>
            </w:tcBorders>
            <w:shd w:val="clear" w:color="auto" w:fill="auto"/>
          </w:tcPr>
          <w:p w14:paraId="12E7E1B1" w14:textId="77777777" w:rsidR="00474749" w:rsidRPr="00494614" w:rsidRDefault="00474749" w:rsidP="004D2A38">
            <w:pPr>
              <w:tabs>
                <w:tab w:val="left" w:pos="0"/>
              </w:tabs>
              <w:ind w:firstLine="0"/>
              <w:jc w:val="left"/>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494614">
              <w:rPr>
                <w:rFonts w:cs="Times New Roman"/>
                <w:sz w:val="20"/>
                <w:szCs w:val="20"/>
              </w:rPr>
              <w:t xml:space="preserve"> Name</w:t>
            </w:r>
          </w:p>
        </w:tc>
        <w:tc>
          <w:tcPr>
            <w:tcW w:w="3328" w:type="pct"/>
            <w:tcBorders>
              <w:bottom w:val="none" w:sz="0" w:space="0" w:color="auto"/>
            </w:tcBorders>
            <w:shd w:val="clear" w:color="auto" w:fill="auto"/>
          </w:tcPr>
          <w:p w14:paraId="64CA11D3" w14:textId="77777777" w:rsidR="00474749" w:rsidRPr="00494614" w:rsidRDefault="00474749" w:rsidP="004D2A38">
            <w:pPr>
              <w:tabs>
                <w:tab w:val="left" w:pos="0"/>
              </w:tabs>
              <w:ind w:firstLine="0"/>
              <w:jc w:val="left"/>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494614">
              <w:rPr>
                <w:rFonts w:cs="Times New Roman"/>
                <w:sz w:val="20"/>
                <w:szCs w:val="20"/>
              </w:rPr>
              <w:t>Proxy</w:t>
            </w:r>
          </w:p>
        </w:tc>
      </w:tr>
      <w:tr w:rsidR="00474749" w:rsidRPr="00494614" w14:paraId="5805E876" w14:textId="77777777" w:rsidTr="00276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pct"/>
            <w:tcBorders>
              <w:top w:val="none" w:sz="0" w:space="0" w:color="auto"/>
              <w:bottom w:val="none" w:sz="0" w:space="0" w:color="auto"/>
            </w:tcBorders>
            <w:vAlign w:val="center"/>
          </w:tcPr>
          <w:p w14:paraId="165C8CA7" w14:textId="604BDA7A" w:rsidR="00474749" w:rsidRPr="00494614" w:rsidRDefault="002765E7" w:rsidP="004D2A38">
            <w:pPr>
              <w:tabs>
                <w:tab w:val="left" w:pos="0"/>
              </w:tabs>
              <w:ind w:firstLine="0"/>
              <w:jc w:val="left"/>
              <w:rPr>
                <w:rFonts w:cs="Times New Roman"/>
                <w:b w:val="0"/>
                <w:sz w:val="20"/>
                <w:szCs w:val="20"/>
              </w:rPr>
            </w:pPr>
            <w:r w:rsidRPr="00494614">
              <w:rPr>
                <w:rFonts w:cs="Times New Roman"/>
                <w:b w:val="0"/>
                <w:sz w:val="20"/>
                <w:szCs w:val="20"/>
              </w:rPr>
              <w:t>T_WC</w:t>
            </w:r>
          </w:p>
        </w:tc>
        <w:tc>
          <w:tcPr>
            <w:tcW w:w="1096" w:type="pct"/>
            <w:tcBorders>
              <w:top w:val="none" w:sz="0" w:space="0" w:color="auto"/>
              <w:bottom w:val="none" w:sz="0" w:space="0" w:color="auto"/>
            </w:tcBorders>
            <w:vAlign w:val="center"/>
          </w:tcPr>
          <w:p w14:paraId="778C9EAF" w14:textId="6F352749" w:rsidR="00474749" w:rsidRPr="00494614" w:rsidRDefault="002765E7" w:rsidP="004D2A38">
            <w:pPr>
              <w:tabs>
                <w:tab w:val="left" w:pos="0"/>
              </w:tabs>
              <w:ind w:firstLin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94614">
              <w:rPr>
                <w:rFonts w:cs="Times New Roman"/>
                <w:sz w:val="20"/>
                <w:szCs w:val="20"/>
              </w:rPr>
              <w:t>Target working capital</w:t>
            </w:r>
          </w:p>
        </w:tc>
        <w:tc>
          <w:tcPr>
            <w:tcW w:w="3328" w:type="pct"/>
            <w:tcBorders>
              <w:top w:val="none" w:sz="0" w:space="0" w:color="auto"/>
              <w:bottom w:val="none" w:sz="0" w:space="0" w:color="auto"/>
            </w:tcBorders>
            <w:vAlign w:val="center"/>
          </w:tcPr>
          <w:p w14:paraId="68B08C5E" w14:textId="10A21E08" w:rsidR="00474749" w:rsidRPr="00494614" w:rsidRDefault="00F83847" w:rsidP="004D2A38">
            <w:pPr>
              <w:tabs>
                <w:tab w:val="left" w:pos="0"/>
              </w:tabs>
              <w:ind w:firstLin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m:oMathPara>
              <m:oMathParaPr>
                <m:jc m:val="left"/>
              </m:oMathParaPr>
              <m:oMath>
                <m:d>
                  <m:dPr>
                    <m:ctrlPr>
                      <w:rPr>
                        <w:rFonts w:ascii="Cambria Math" w:hAnsi="Cambria Math" w:cs="Times New Roman"/>
                        <w:sz w:val="20"/>
                        <w:szCs w:val="20"/>
                      </w:rPr>
                    </m:ctrlPr>
                  </m:dPr>
                  <m:e>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Current assets</m:t>
                            </m:r>
                          </m:e>
                          <m:sub>
                            <m:d>
                              <m:dPr>
                                <m:ctrlPr>
                                  <w:rPr>
                                    <w:rFonts w:ascii="Cambria Math" w:hAnsi="Cambria Math" w:cs="Times New Roman"/>
                                    <w:sz w:val="20"/>
                                    <w:szCs w:val="20"/>
                                  </w:rPr>
                                </m:ctrlPr>
                              </m:dPr>
                              <m:e>
                                <m:r>
                                  <m:rPr>
                                    <m:sty m:val="p"/>
                                  </m:rPr>
                                  <w:rPr>
                                    <w:rFonts w:ascii="Cambria Math" w:hAnsi="Cambria Math" w:cs="Times New Roman"/>
                                    <w:sz w:val="20"/>
                                    <w:szCs w:val="20"/>
                                  </w:rPr>
                                  <m:t>t-1</m:t>
                                </m:r>
                              </m:e>
                            </m:d>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Current liabilities</m:t>
                            </m:r>
                          </m:e>
                          <m:sub>
                            <m:r>
                              <m:rPr>
                                <m:sty m:val="p"/>
                              </m:rPr>
                              <w:rPr>
                                <w:rFonts w:ascii="Cambria Math" w:hAnsi="Cambria Math" w:cs="Times New Roman"/>
                                <w:sz w:val="20"/>
                                <w:szCs w:val="20"/>
                              </w:rPr>
                              <m:t>(t-1)</m:t>
                            </m:r>
                          </m:sub>
                        </m:sSub>
                      </m:num>
                      <m:den>
                        <m:sSub>
                          <m:sSubPr>
                            <m:ctrlPr>
                              <w:rPr>
                                <w:rFonts w:ascii="Cambria Math" w:hAnsi="Cambria Math" w:cs="Times New Roman"/>
                                <w:sz w:val="20"/>
                                <w:szCs w:val="20"/>
                              </w:rPr>
                            </m:ctrlPr>
                          </m:sSubPr>
                          <m:e>
                            <m:r>
                              <m:rPr>
                                <m:sty m:val="p"/>
                              </m:rPr>
                              <w:rPr>
                                <w:rFonts w:ascii="Cambria Math" w:hAnsi="Cambria Math" w:cs="Times New Roman"/>
                                <w:sz w:val="20"/>
                                <w:szCs w:val="20"/>
                              </w:rPr>
                              <m:t>Total assets</m:t>
                            </m:r>
                          </m:e>
                          <m:sub>
                            <m:d>
                              <m:dPr>
                                <m:ctrlPr>
                                  <w:rPr>
                                    <w:rFonts w:ascii="Cambria Math" w:hAnsi="Cambria Math" w:cs="Times New Roman"/>
                                    <w:sz w:val="20"/>
                                    <w:szCs w:val="20"/>
                                  </w:rPr>
                                </m:ctrlPr>
                              </m:dPr>
                              <m:e>
                                <m:r>
                                  <m:rPr>
                                    <m:sty m:val="p"/>
                                  </m:rPr>
                                  <w:rPr>
                                    <w:rFonts w:ascii="Cambria Math" w:hAnsi="Cambria Math" w:cs="Times New Roman"/>
                                    <w:sz w:val="20"/>
                                    <w:szCs w:val="20"/>
                                  </w:rPr>
                                  <m:t>t-1</m:t>
                                </m:r>
                              </m:e>
                            </m:d>
                          </m:sub>
                        </m:sSub>
                      </m:den>
                    </m:f>
                    <m:r>
                      <m:rPr>
                        <m:sty m:val="p"/>
                      </m:rPr>
                      <w:rPr>
                        <w:rFonts w:ascii="Cambria Math" w:hAnsi="Cambria Math" w:cs="Times New Roman"/>
                        <w:sz w:val="20"/>
                        <w:szCs w:val="20"/>
                      </w:rPr>
                      <m:t xml:space="preserve"> </m:t>
                    </m:r>
                  </m:e>
                </m:d>
                <m:r>
                  <m:rPr>
                    <m:sty m:val="p"/>
                  </m:rPr>
                  <w:rPr>
                    <w:rFonts w:ascii="Cambria Math" w:hAnsi="Cambria Math" w:cs="Times New Roman"/>
                    <w:sz w:val="20"/>
                    <w:szCs w:val="20"/>
                  </w:rPr>
                  <m:t>×100</m:t>
                </m:r>
              </m:oMath>
            </m:oMathPara>
          </w:p>
        </w:tc>
      </w:tr>
      <w:tr w:rsidR="00474749" w:rsidRPr="00494614" w14:paraId="5F053356" w14:textId="77777777" w:rsidTr="002765E7">
        <w:tc>
          <w:tcPr>
            <w:cnfStyle w:val="001000000000" w:firstRow="0" w:lastRow="0" w:firstColumn="1" w:lastColumn="0" w:oddVBand="0" w:evenVBand="0" w:oddHBand="0" w:evenHBand="0" w:firstRowFirstColumn="0" w:firstRowLastColumn="0" w:lastRowFirstColumn="0" w:lastRowLastColumn="0"/>
            <w:tcW w:w="576" w:type="pct"/>
            <w:vAlign w:val="center"/>
          </w:tcPr>
          <w:p w14:paraId="75B3C96F" w14:textId="2E3E6B10" w:rsidR="00474749" w:rsidRPr="00494614" w:rsidRDefault="002765E7" w:rsidP="004D2A38">
            <w:pPr>
              <w:tabs>
                <w:tab w:val="left" w:pos="0"/>
              </w:tabs>
              <w:ind w:firstLine="0"/>
              <w:jc w:val="left"/>
              <w:rPr>
                <w:rFonts w:cs="Times New Roman"/>
                <w:b w:val="0"/>
                <w:sz w:val="20"/>
                <w:szCs w:val="20"/>
              </w:rPr>
            </w:pPr>
            <w:r w:rsidRPr="00494614">
              <w:rPr>
                <w:rFonts w:cs="Times New Roman"/>
                <w:b w:val="0"/>
                <w:sz w:val="20"/>
                <w:szCs w:val="20"/>
              </w:rPr>
              <w:lastRenderedPageBreak/>
              <w:t>CFO</w:t>
            </w:r>
          </w:p>
        </w:tc>
        <w:tc>
          <w:tcPr>
            <w:tcW w:w="1096" w:type="pct"/>
            <w:vAlign w:val="center"/>
          </w:tcPr>
          <w:p w14:paraId="0D43ADF9" w14:textId="0D3607B3" w:rsidR="00474749" w:rsidRPr="00494614" w:rsidRDefault="002765E7" w:rsidP="004D2A38">
            <w:pPr>
              <w:tabs>
                <w:tab w:val="left" w:pos="0"/>
              </w:tabs>
              <w:ind w:firstLin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94614">
              <w:rPr>
                <w:rFonts w:cs="Times New Roman"/>
                <w:sz w:val="20"/>
                <w:szCs w:val="20"/>
              </w:rPr>
              <w:t>Cash from operations</w:t>
            </w:r>
          </w:p>
        </w:tc>
        <w:tc>
          <w:tcPr>
            <w:tcW w:w="3328" w:type="pct"/>
            <w:vAlign w:val="center"/>
          </w:tcPr>
          <w:p w14:paraId="7875ECAA" w14:textId="71F3CC8E" w:rsidR="00474749" w:rsidRPr="00494614" w:rsidRDefault="00F83847" w:rsidP="004D2A38">
            <w:pPr>
              <w:tabs>
                <w:tab w:val="left" w:pos="0"/>
              </w:tabs>
              <w:ind w:firstLin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m:oMathPara>
              <m:oMathParaPr>
                <m:jc m:val="left"/>
              </m:oMathParaPr>
              <m:oMath>
                <m:d>
                  <m:dPr>
                    <m:ctrlPr>
                      <w:rPr>
                        <w:rFonts w:ascii="Cambria Math" w:hAnsi="Cambria Math" w:cs="Times New Roman"/>
                        <w:sz w:val="20"/>
                        <w:szCs w:val="20"/>
                      </w:rPr>
                    </m:ctrlPr>
                  </m:dPr>
                  <m:e>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Cash flow from operations</m:t>
                            </m:r>
                          </m:e>
                          <m:sub>
                            <m:d>
                              <m:dPr>
                                <m:ctrlPr>
                                  <w:rPr>
                                    <w:rFonts w:ascii="Cambria Math" w:hAnsi="Cambria Math" w:cs="Times New Roman"/>
                                    <w:sz w:val="20"/>
                                    <w:szCs w:val="20"/>
                                  </w:rPr>
                                </m:ctrlPr>
                              </m:dPr>
                              <m:e>
                                <m:r>
                                  <m:rPr>
                                    <m:sty m:val="p"/>
                                  </m:rPr>
                                  <w:rPr>
                                    <w:rFonts w:ascii="Cambria Math" w:hAnsi="Cambria Math" w:cs="Times New Roman"/>
                                    <w:sz w:val="20"/>
                                    <w:szCs w:val="20"/>
                                  </w:rPr>
                                  <m:t>t-1</m:t>
                                </m:r>
                              </m:e>
                            </m:d>
                          </m:sub>
                        </m:sSub>
                      </m:num>
                      <m:den>
                        <m:sSub>
                          <m:sSubPr>
                            <m:ctrlPr>
                              <w:rPr>
                                <w:rFonts w:ascii="Cambria Math" w:hAnsi="Cambria Math" w:cs="Times New Roman"/>
                                <w:sz w:val="20"/>
                                <w:szCs w:val="20"/>
                              </w:rPr>
                            </m:ctrlPr>
                          </m:sSubPr>
                          <m:e>
                            <m:r>
                              <m:rPr>
                                <m:sty m:val="p"/>
                              </m:rPr>
                              <w:rPr>
                                <w:rFonts w:ascii="Cambria Math" w:hAnsi="Cambria Math" w:cs="Times New Roman"/>
                                <w:sz w:val="20"/>
                                <w:szCs w:val="20"/>
                              </w:rPr>
                              <m:t>Total assets</m:t>
                            </m:r>
                          </m:e>
                          <m:sub>
                            <m:d>
                              <m:dPr>
                                <m:ctrlPr>
                                  <w:rPr>
                                    <w:rFonts w:ascii="Cambria Math" w:hAnsi="Cambria Math" w:cs="Times New Roman"/>
                                    <w:sz w:val="20"/>
                                    <w:szCs w:val="20"/>
                                  </w:rPr>
                                </m:ctrlPr>
                              </m:dPr>
                              <m:e>
                                <m:r>
                                  <m:rPr>
                                    <m:sty m:val="p"/>
                                  </m:rPr>
                                  <w:rPr>
                                    <w:rFonts w:ascii="Cambria Math" w:hAnsi="Cambria Math" w:cs="Times New Roman"/>
                                    <w:sz w:val="20"/>
                                    <w:szCs w:val="20"/>
                                  </w:rPr>
                                  <m:t>t-1</m:t>
                                </m:r>
                              </m:e>
                            </m:d>
                          </m:sub>
                        </m:sSub>
                      </m:den>
                    </m:f>
                  </m:e>
                </m:d>
                <m:r>
                  <m:rPr>
                    <m:sty m:val="p"/>
                  </m:rPr>
                  <w:rPr>
                    <w:rFonts w:ascii="Cambria Math" w:hAnsi="Cambria Math" w:cs="Times New Roman"/>
                    <w:sz w:val="20"/>
                    <w:szCs w:val="20"/>
                  </w:rPr>
                  <m:t>×100</m:t>
                </m:r>
              </m:oMath>
            </m:oMathPara>
          </w:p>
        </w:tc>
      </w:tr>
      <w:tr w:rsidR="00474749" w:rsidRPr="00494614" w14:paraId="2E0DE49F" w14:textId="77777777" w:rsidTr="00276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pct"/>
            <w:tcBorders>
              <w:top w:val="none" w:sz="0" w:space="0" w:color="auto"/>
              <w:bottom w:val="none" w:sz="0" w:space="0" w:color="auto"/>
            </w:tcBorders>
            <w:vAlign w:val="center"/>
          </w:tcPr>
          <w:p w14:paraId="658F5490" w14:textId="66053146" w:rsidR="00474749" w:rsidRPr="00494614" w:rsidRDefault="002765E7" w:rsidP="004D2A38">
            <w:pPr>
              <w:tabs>
                <w:tab w:val="left" w:pos="0"/>
              </w:tabs>
              <w:ind w:firstLine="0"/>
              <w:jc w:val="left"/>
              <w:rPr>
                <w:rFonts w:cs="Times New Roman"/>
                <w:b w:val="0"/>
                <w:sz w:val="20"/>
                <w:szCs w:val="20"/>
              </w:rPr>
            </w:pPr>
            <w:r w:rsidRPr="00494614">
              <w:rPr>
                <w:rFonts w:cs="Times New Roman"/>
                <w:b w:val="0"/>
                <w:sz w:val="20"/>
                <w:szCs w:val="20"/>
              </w:rPr>
              <w:t>OC</w:t>
            </w:r>
            <w:r w:rsidR="00474749" w:rsidRPr="00494614">
              <w:rPr>
                <w:rFonts w:cs="Times New Roman"/>
                <w:b w:val="0"/>
                <w:sz w:val="20"/>
                <w:szCs w:val="20"/>
              </w:rPr>
              <w:t xml:space="preserve">  </w:t>
            </w:r>
          </w:p>
        </w:tc>
        <w:tc>
          <w:tcPr>
            <w:tcW w:w="1096" w:type="pct"/>
            <w:tcBorders>
              <w:top w:val="none" w:sz="0" w:space="0" w:color="auto"/>
              <w:bottom w:val="none" w:sz="0" w:space="0" w:color="auto"/>
            </w:tcBorders>
            <w:vAlign w:val="center"/>
          </w:tcPr>
          <w:p w14:paraId="46AC0ED9" w14:textId="0F204C7F" w:rsidR="00474749" w:rsidRPr="00494614" w:rsidRDefault="002765E7" w:rsidP="004D2A38">
            <w:pPr>
              <w:tabs>
                <w:tab w:val="left" w:pos="0"/>
              </w:tabs>
              <w:ind w:firstLin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94614">
              <w:rPr>
                <w:rFonts w:cs="Times New Roman"/>
                <w:sz w:val="20"/>
                <w:szCs w:val="20"/>
              </w:rPr>
              <w:t>Operating cycle</w:t>
            </w:r>
          </w:p>
        </w:tc>
        <w:tc>
          <w:tcPr>
            <w:tcW w:w="3328" w:type="pct"/>
            <w:tcBorders>
              <w:top w:val="none" w:sz="0" w:space="0" w:color="auto"/>
              <w:bottom w:val="none" w:sz="0" w:space="0" w:color="auto"/>
            </w:tcBorders>
            <w:vAlign w:val="center"/>
          </w:tcPr>
          <w:p w14:paraId="51C2824F" w14:textId="6F28BC9C" w:rsidR="00474749" w:rsidRPr="00494614" w:rsidRDefault="00F83847" w:rsidP="004D2A38">
            <w:pPr>
              <w:tabs>
                <w:tab w:val="left" w:pos="0"/>
              </w:tabs>
              <w:ind w:firstLin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m:oMathPara>
              <m:oMathParaPr>
                <m:jc m:val="left"/>
              </m:oMathParaPr>
              <m:oMath>
                <m:func>
                  <m:funcPr>
                    <m:ctrlPr>
                      <w:rPr>
                        <w:rFonts w:ascii="Cambria Math" w:hAnsi="Cambria Math" w:cs="Times New Roman"/>
                        <w:sz w:val="20"/>
                        <w:szCs w:val="20"/>
                      </w:rPr>
                    </m:ctrlPr>
                  </m:funcPr>
                  <m:fName>
                    <m:sSub>
                      <m:sSubPr>
                        <m:ctrlPr>
                          <w:rPr>
                            <w:rFonts w:ascii="Cambria Math" w:hAnsi="Cambria Math" w:cs="Times New Roman"/>
                            <w:sz w:val="20"/>
                            <w:szCs w:val="20"/>
                          </w:rPr>
                        </m:ctrlPr>
                      </m:sSubPr>
                      <m:e>
                        <m:r>
                          <m:rPr>
                            <m:sty m:val="p"/>
                          </m:rPr>
                          <w:rPr>
                            <w:rFonts w:ascii="Cambria Math" w:hAnsi="Cambria Math" w:cs="Times New Roman"/>
                            <w:sz w:val="20"/>
                            <w:szCs w:val="20"/>
                          </w:rPr>
                          <m:t>Days accounts receivable</m:t>
                        </m:r>
                      </m:e>
                      <m:sub>
                        <m:r>
                          <m:rPr>
                            <m:sty m:val="p"/>
                          </m:rPr>
                          <w:rPr>
                            <w:rFonts w:ascii="Cambria Math" w:hAnsi="Cambria Math" w:cs="Times New Roman"/>
                            <w:sz w:val="20"/>
                            <w:szCs w:val="20"/>
                          </w:rPr>
                          <m:t>(t-1)</m:t>
                        </m:r>
                      </m:sub>
                    </m:sSub>
                    <m:r>
                      <m:rPr>
                        <m:sty m:val="p"/>
                      </m:rPr>
                      <w:rPr>
                        <w:rFonts w:ascii="Cambria Math" w:hAnsi="Cambria Math" w:cs="Times New Roman"/>
                        <w:sz w:val="20"/>
                        <w:szCs w:val="20"/>
                      </w:rPr>
                      <m:t>+</m:t>
                    </m:r>
                  </m:fName>
                  <m:e>
                    <m:sSub>
                      <m:sSubPr>
                        <m:ctrlPr>
                          <w:rPr>
                            <w:rFonts w:ascii="Cambria Math" w:hAnsi="Cambria Math" w:cs="Times New Roman"/>
                            <w:sz w:val="20"/>
                            <w:szCs w:val="20"/>
                          </w:rPr>
                        </m:ctrlPr>
                      </m:sSubPr>
                      <m:e>
                        <m:r>
                          <m:rPr>
                            <m:sty m:val="p"/>
                          </m:rPr>
                          <w:rPr>
                            <w:rFonts w:ascii="Cambria Math" w:hAnsi="Cambria Math" w:cs="Times New Roman"/>
                            <w:sz w:val="20"/>
                            <w:szCs w:val="20"/>
                          </w:rPr>
                          <m:t>Days in inventories</m:t>
                        </m:r>
                      </m:e>
                      <m:sub>
                        <m:r>
                          <m:rPr>
                            <m:sty m:val="p"/>
                          </m:rPr>
                          <w:rPr>
                            <w:rFonts w:ascii="Cambria Math" w:hAnsi="Cambria Math" w:cs="Times New Roman"/>
                            <w:sz w:val="20"/>
                            <w:szCs w:val="20"/>
                          </w:rPr>
                          <m:t>(t-1)</m:t>
                        </m:r>
                      </m:sub>
                    </m:sSub>
                  </m:e>
                </m:func>
              </m:oMath>
            </m:oMathPara>
          </w:p>
        </w:tc>
      </w:tr>
      <w:tr w:rsidR="00474749" w:rsidRPr="00494614" w14:paraId="4DABD949" w14:textId="77777777" w:rsidTr="002765E7">
        <w:tc>
          <w:tcPr>
            <w:cnfStyle w:val="001000000000" w:firstRow="0" w:lastRow="0" w:firstColumn="1" w:lastColumn="0" w:oddVBand="0" w:evenVBand="0" w:oddHBand="0" w:evenHBand="0" w:firstRowFirstColumn="0" w:firstRowLastColumn="0" w:lastRowFirstColumn="0" w:lastRowLastColumn="0"/>
            <w:tcW w:w="576" w:type="pct"/>
            <w:vAlign w:val="center"/>
          </w:tcPr>
          <w:p w14:paraId="66086C05" w14:textId="49466D13" w:rsidR="00474749" w:rsidRPr="00494614" w:rsidRDefault="002765E7" w:rsidP="004D2A38">
            <w:pPr>
              <w:tabs>
                <w:tab w:val="left" w:pos="0"/>
              </w:tabs>
              <w:ind w:firstLine="0"/>
              <w:jc w:val="left"/>
              <w:rPr>
                <w:rFonts w:cs="Times New Roman"/>
                <w:b w:val="0"/>
                <w:sz w:val="20"/>
                <w:szCs w:val="20"/>
              </w:rPr>
            </w:pPr>
            <w:r w:rsidRPr="00494614">
              <w:rPr>
                <w:rFonts w:cs="Times New Roman"/>
                <w:b w:val="0"/>
                <w:sz w:val="20"/>
                <w:szCs w:val="20"/>
              </w:rPr>
              <w:t>ROA</w:t>
            </w:r>
            <w:r w:rsidR="00474749" w:rsidRPr="00494614">
              <w:rPr>
                <w:rFonts w:cs="Times New Roman"/>
                <w:b w:val="0"/>
                <w:sz w:val="20"/>
                <w:szCs w:val="20"/>
              </w:rPr>
              <w:t xml:space="preserve">  </w:t>
            </w:r>
          </w:p>
        </w:tc>
        <w:tc>
          <w:tcPr>
            <w:tcW w:w="1096" w:type="pct"/>
            <w:vAlign w:val="center"/>
          </w:tcPr>
          <w:p w14:paraId="6C24E7DC" w14:textId="444D5D5F" w:rsidR="00474749" w:rsidRPr="00494614" w:rsidRDefault="002765E7" w:rsidP="004D2A38">
            <w:pPr>
              <w:tabs>
                <w:tab w:val="left" w:pos="0"/>
              </w:tabs>
              <w:ind w:firstLin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94614">
              <w:rPr>
                <w:rFonts w:cs="Times New Roman"/>
                <w:sz w:val="20"/>
                <w:szCs w:val="20"/>
              </w:rPr>
              <w:t>Return on assets</w:t>
            </w:r>
          </w:p>
        </w:tc>
        <w:tc>
          <w:tcPr>
            <w:tcW w:w="3328" w:type="pct"/>
            <w:vAlign w:val="center"/>
          </w:tcPr>
          <w:p w14:paraId="5EDFE046" w14:textId="27033E68" w:rsidR="00474749" w:rsidRPr="00494614" w:rsidRDefault="00F83847" w:rsidP="004D2A38">
            <w:pPr>
              <w:tabs>
                <w:tab w:val="left" w:pos="0"/>
              </w:tabs>
              <w:ind w:firstLin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m:oMathPara>
              <m:oMathParaPr>
                <m:jc m:val="left"/>
              </m:oMathParaPr>
              <m:oMath>
                <m:d>
                  <m:dPr>
                    <m:ctrlPr>
                      <w:rPr>
                        <w:rFonts w:ascii="Cambria Math" w:hAnsi="Cambria Math" w:cs="Times New Roman"/>
                        <w:sz w:val="20"/>
                        <w:szCs w:val="20"/>
                      </w:rPr>
                    </m:ctrlPr>
                  </m:dPr>
                  <m:e>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Net income</m:t>
                            </m:r>
                          </m:e>
                          <m:sub>
                            <m:d>
                              <m:dPr>
                                <m:ctrlPr>
                                  <w:rPr>
                                    <w:rFonts w:ascii="Cambria Math" w:hAnsi="Cambria Math" w:cs="Times New Roman"/>
                                    <w:sz w:val="20"/>
                                    <w:szCs w:val="20"/>
                                  </w:rPr>
                                </m:ctrlPr>
                              </m:dPr>
                              <m:e>
                                <m:r>
                                  <m:rPr>
                                    <m:sty m:val="p"/>
                                  </m:rPr>
                                  <w:rPr>
                                    <w:rFonts w:ascii="Cambria Math" w:hAnsi="Cambria Math" w:cs="Times New Roman"/>
                                    <w:sz w:val="20"/>
                                    <w:szCs w:val="20"/>
                                  </w:rPr>
                                  <m:t>t-1</m:t>
                                </m:r>
                              </m:e>
                            </m:d>
                          </m:sub>
                        </m:sSub>
                      </m:num>
                      <m:den>
                        <m:sSub>
                          <m:sSubPr>
                            <m:ctrlPr>
                              <w:rPr>
                                <w:rFonts w:ascii="Cambria Math" w:hAnsi="Cambria Math" w:cs="Times New Roman"/>
                                <w:sz w:val="20"/>
                                <w:szCs w:val="20"/>
                              </w:rPr>
                            </m:ctrlPr>
                          </m:sSubPr>
                          <m:e>
                            <m:r>
                              <m:rPr>
                                <m:sty m:val="p"/>
                              </m:rPr>
                              <w:rPr>
                                <w:rFonts w:ascii="Cambria Math" w:hAnsi="Cambria Math" w:cs="Times New Roman"/>
                                <w:sz w:val="20"/>
                                <w:szCs w:val="20"/>
                              </w:rPr>
                              <m:t>Total assets</m:t>
                            </m:r>
                          </m:e>
                          <m:sub>
                            <m:d>
                              <m:dPr>
                                <m:ctrlPr>
                                  <w:rPr>
                                    <w:rFonts w:ascii="Cambria Math" w:hAnsi="Cambria Math" w:cs="Times New Roman"/>
                                    <w:sz w:val="20"/>
                                    <w:szCs w:val="20"/>
                                  </w:rPr>
                                </m:ctrlPr>
                              </m:dPr>
                              <m:e>
                                <m:r>
                                  <m:rPr>
                                    <m:sty m:val="p"/>
                                  </m:rPr>
                                  <w:rPr>
                                    <w:rFonts w:ascii="Cambria Math" w:hAnsi="Cambria Math" w:cs="Times New Roman"/>
                                    <w:sz w:val="20"/>
                                    <w:szCs w:val="20"/>
                                  </w:rPr>
                                  <m:t>t-1</m:t>
                                </m:r>
                              </m:e>
                            </m:d>
                          </m:sub>
                        </m:sSub>
                      </m:den>
                    </m:f>
                  </m:e>
                </m:d>
                <m:r>
                  <m:rPr>
                    <m:sty m:val="p"/>
                  </m:rPr>
                  <w:rPr>
                    <w:rFonts w:ascii="Cambria Math" w:hAnsi="Cambria Math" w:cs="Times New Roman"/>
                    <w:sz w:val="20"/>
                    <w:szCs w:val="20"/>
                  </w:rPr>
                  <m:t>×100</m:t>
                </m:r>
              </m:oMath>
            </m:oMathPara>
          </w:p>
        </w:tc>
      </w:tr>
      <w:tr w:rsidR="00474749" w:rsidRPr="00494614" w14:paraId="7067C708" w14:textId="77777777" w:rsidTr="00276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pct"/>
            <w:vAlign w:val="center"/>
          </w:tcPr>
          <w:p w14:paraId="5B2BF368" w14:textId="257C9702" w:rsidR="00474749" w:rsidRPr="00494614" w:rsidRDefault="00474749" w:rsidP="004D2A38">
            <w:pPr>
              <w:tabs>
                <w:tab w:val="left" w:pos="0"/>
              </w:tabs>
              <w:ind w:firstLine="0"/>
              <w:jc w:val="left"/>
              <w:rPr>
                <w:rFonts w:cs="Times New Roman"/>
                <w:b w:val="0"/>
                <w:sz w:val="20"/>
                <w:szCs w:val="20"/>
              </w:rPr>
            </w:pPr>
            <w:r w:rsidRPr="00494614">
              <w:rPr>
                <w:rFonts w:cs="Times New Roman"/>
                <w:b w:val="0"/>
                <w:sz w:val="20"/>
                <w:szCs w:val="20"/>
              </w:rPr>
              <w:t>LR</w:t>
            </w:r>
          </w:p>
        </w:tc>
        <w:tc>
          <w:tcPr>
            <w:tcW w:w="1096" w:type="pct"/>
            <w:vAlign w:val="center"/>
          </w:tcPr>
          <w:p w14:paraId="4025C41C" w14:textId="42448BA6" w:rsidR="00474749" w:rsidRPr="00494614" w:rsidRDefault="00474749" w:rsidP="004D2A38">
            <w:pPr>
              <w:tabs>
                <w:tab w:val="left" w:pos="0"/>
              </w:tabs>
              <w:ind w:firstLin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94614">
              <w:rPr>
                <w:rFonts w:cs="Times New Roman"/>
                <w:sz w:val="20"/>
                <w:szCs w:val="20"/>
              </w:rPr>
              <w:t>Leverage ratio</w:t>
            </w:r>
          </w:p>
        </w:tc>
        <w:tc>
          <w:tcPr>
            <w:tcW w:w="3328" w:type="pct"/>
            <w:vAlign w:val="center"/>
          </w:tcPr>
          <w:p w14:paraId="03E12C29" w14:textId="2CD094F7" w:rsidR="00474749" w:rsidRPr="00494614" w:rsidRDefault="00F83847" w:rsidP="004D2A38">
            <w:pPr>
              <w:tabs>
                <w:tab w:val="left" w:pos="0"/>
              </w:tabs>
              <w:ind w:firstLin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m:oMathPara>
              <m:oMathParaPr>
                <m:jc m:val="left"/>
              </m:oMathParaPr>
              <m:oMath>
                <m:d>
                  <m:dPr>
                    <m:ctrlPr>
                      <w:rPr>
                        <w:rFonts w:ascii="Cambria Math" w:hAnsi="Cambria Math" w:cs="Times New Roman"/>
                        <w:sz w:val="20"/>
                        <w:szCs w:val="20"/>
                      </w:rPr>
                    </m:ctrlPr>
                  </m:dPr>
                  <m:e>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Debt</m:t>
                            </m:r>
                          </m:e>
                          <m:sub>
                            <m:d>
                              <m:dPr>
                                <m:ctrlPr>
                                  <w:rPr>
                                    <w:rFonts w:ascii="Cambria Math" w:hAnsi="Cambria Math" w:cs="Times New Roman"/>
                                    <w:sz w:val="20"/>
                                    <w:szCs w:val="20"/>
                                  </w:rPr>
                                </m:ctrlPr>
                              </m:dPr>
                              <m:e>
                                <m:r>
                                  <m:rPr>
                                    <m:sty m:val="p"/>
                                  </m:rPr>
                                  <w:rPr>
                                    <w:rFonts w:ascii="Cambria Math" w:hAnsi="Cambria Math" w:cs="Times New Roman"/>
                                    <w:sz w:val="20"/>
                                    <w:szCs w:val="20"/>
                                  </w:rPr>
                                  <m:t>t-1</m:t>
                                </m:r>
                              </m:e>
                            </m:d>
                          </m:sub>
                        </m:sSub>
                      </m:num>
                      <m:den>
                        <m:sSub>
                          <m:sSubPr>
                            <m:ctrlPr>
                              <w:rPr>
                                <w:rFonts w:ascii="Cambria Math" w:hAnsi="Cambria Math" w:cs="Times New Roman"/>
                                <w:sz w:val="20"/>
                                <w:szCs w:val="20"/>
                              </w:rPr>
                            </m:ctrlPr>
                          </m:sSubPr>
                          <m:e>
                            <m:r>
                              <m:rPr>
                                <m:sty m:val="p"/>
                              </m:rPr>
                              <w:rPr>
                                <w:rFonts w:ascii="Cambria Math" w:hAnsi="Cambria Math" w:cs="Times New Roman"/>
                                <w:sz w:val="20"/>
                                <w:szCs w:val="20"/>
                              </w:rPr>
                              <m:t>Equity</m:t>
                            </m:r>
                          </m:e>
                          <m:sub>
                            <m:d>
                              <m:dPr>
                                <m:ctrlPr>
                                  <w:rPr>
                                    <w:rFonts w:ascii="Cambria Math" w:hAnsi="Cambria Math" w:cs="Times New Roman"/>
                                    <w:sz w:val="20"/>
                                    <w:szCs w:val="20"/>
                                  </w:rPr>
                                </m:ctrlPr>
                              </m:dPr>
                              <m:e>
                                <m:r>
                                  <m:rPr>
                                    <m:sty m:val="p"/>
                                  </m:rPr>
                                  <w:rPr>
                                    <w:rFonts w:ascii="Cambria Math" w:hAnsi="Cambria Math" w:cs="Times New Roman"/>
                                    <w:sz w:val="20"/>
                                    <w:szCs w:val="20"/>
                                  </w:rPr>
                                  <m:t>t-1</m:t>
                                </m:r>
                              </m:e>
                            </m:d>
                          </m:sub>
                        </m:sSub>
                      </m:den>
                    </m:f>
                  </m:e>
                </m:d>
                <m:r>
                  <m:rPr>
                    <m:sty m:val="p"/>
                  </m:rPr>
                  <w:rPr>
                    <w:rFonts w:ascii="Cambria Math" w:hAnsi="Cambria Math" w:cs="Times New Roman"/>
                    <w:sz w:val="20"/>
                    <w:szCs w:val="20"/>
                  </w:rPr>
                  <m:t>×100</m:t>
                </m:r>
              </m:oMath>
            </m:oMathPara>
          </w:p>
        </w:tc>
      </w:tr>
      <w:tr w:rsidR="00474749" w:rsidRPr="00494614" w14:paraId="33152994" w14:textId="77777777" w:rsidTr="002765E7">
        <w:tc>
          <w:tcPr>
            <w:cnfStyle w:val="001000000000" w:firstRow="0" w:lastRow="0" w:firstColumn="1" w:lastColumn="0" w:oddVBand="0" w:evenVBand="0" w:oddHBand="0" w:evenHBand="0" w:firstRowFirstColumn="0" w:firstRowLastColumn="0" w:lastRowFirstColumn="0" w:lastRowLastColumn="0"/>
            <w:tcW w:w="576" w:type="pct"/>
            <w:vAlign w:val="center"/>
          </w:tcPr>
          <w:p w14:paraId="584B6934" w14:textId="4CD71A83" w:rsidR="00474749" w:rsidRPr="00494614" w:rsidRDefault="00494614" w:rsidP="004D2A38">
            <w:pPr>
              <w:tabs>
                <w:tab w:val="left" w:pos="0"/>
              </w:tabs>
              <w:ind w:firstLine="0"/>
              <w:jc w:val="left"/>
              <w:rPr>
                <w:rFonts w:cs="Times New Roman"/>
                <w:b w:val="0"/>
                <w:sz w:val="20"/>
                <w:szCs w:val="20"/>
              </w:rPr>
            </w:pPr>
            <w:r w:rsidRPr="00494614">
              <w:rPr>
                <w:rFonts w:cs="Times New Roman"/>
                <w:b w:val="0"/>
                <w:sz w:val="20"/>
                <w:szCs w:val="20"/>
              </w:rPr>
              <w:t>CAPEX</w:t>
            </w:r>
          </w:p>
        </w:tc>
        <w:tc>
          <w:tcPr>
            <w:tcW w:w="1096" w:type="pct"/>
            <w:vAlign w:val="center"/>
          </w:tcPr>
          <w:p w14:paraId="600FCDED" w14:textId="44209F41" w:rsidR="00474749" w:rsidRPr="00494614" w:rsidRDefault="00494614" w:rsidP="004D2A38">
            <w:pPr>
              <w:tabs>
                <w:tab w:val="left" w:pos="0"/>
              </w:tabs>
              <w:ind w:firstLin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94614">
              <w:rPr>
                <w:rFonts w:cs="Times New Roman"/>
                <w:sz w:val="20"/>
                <w:szCs w:val="20"/>
              </w:rPr>
              <w:t>Capital expenditures</w:t>
            </w:r>
          </w:p>
        </w:tc>
        <w:tc>
          <w:tcPr>
            <w:tcW w:w="3328" w:type="pct"/>
            <w:vAlign w:val="center"/>
          </w:tcPr>
          <w:p w14:paraId="595BD55D" w14:textId="0B243C85" w:rsidR="00474749" w:rsidRPr="00494614" w:rsidRDefault="00F83847" w:rsidP="004D2A38">
            <w:pPr>
              <w:tabs>
                <w:tab w:val="left" w:pos="0"/>
              </w:tabs>
              <w:ind w:firstLin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m:oMathPara>
              <m:oMathParaPr>
                <m:jc m:val="left"/>
              </m:oMathParaPr>
              <m:oMath>
                <m:d>
                  <m:dPr>
                    <m:ctrlPr>
                      <w:rPr>
                        <w:rFonts w:ascii="Cambria Math" w:hAnsi="Cambria Math" w:cs="Times New Roman"/>
                        <w:sz w:val="20"/>
                        <w:szCs w:val="20"/>
                      </w:rPr>
                    </m:ctrlPr>
                  </m:dPr>
                  <m:e>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Capital expenditures</m:t>
                            </m:r>
                          </m:e>
                          <m:sub>
                            <m:d>
                              <m:dPr>
                                <m:ctrlPr>
                                  <w:rPr>
                                    <w:rFonts w:ascii="Cambria Math" w:hAnsi="Cambria Math" w:cs="Times New Roman"/>
                                    <w:sz w:val="20"/>
                                    <w:szCs w:val="20"/>
                                  </w:rPr>
                                </m:ctrlPr>
                              </m:dPr>
                              <m:e>
                                <m:r>
                                  <m:rPr>
                                    <m:sty m:val="p"/>
                                  </m:rPr>
                                  <w:rPr>
                                    <w:rFonts w:ascii="Cambria Math" w:hAnsi="Cambria Math" w:cs="Times New Roman"/>
                                    <w:sz w:val="20"/>
                                    <w:szCs w:val="20"/>
                                  </w:rPr>
                                  <m:t>t-1</m:t>
                                </m:r>
                              </m:e>
                            </m:d>
                          </m:sub>
                        </m:sSub>
                      </m:num>
                      <m:den>
                        <m:sSub>
                          <m:sSubPr>
                            <m:ctrlPr>
                              <w:rPr>
                                <w:rFonts w:ascii="Cambria Math" w:hAnsi="Cambria Math" w:cs="Times New Roman"/>
                                <w:sz w:val="20"/>
                                <w:szCs w:val="20"/>
                              </w:rPr>
                            </m:ctrlPr>
                          </m:sSubPr>
                          <m:e>
                            <m:r>
                              <m:rPr>
                                <m:sty m:val="p"/>
                              </m:rPr>
                              <w:rPr>
                                <w:rFonts w:ascii="Cambria Math" w:hAnsi="Cambria Math" w:cs="Times New Roman"/>
                                <w:sz w:val="20"/>
                                <w:szCs w:val="20"/>
                              </w:rPr>
                              <m:t>Total assets</m:t>
                            </m:r>
                          </m:e>
                          <m:sub>
                            <m:d>
                              <m:dPr>
                                <m:ctrlPr>
                                  <w:rPr>
                                    <w:rFonts w:ascii="Cambria Math" w:hAnsi="Cambria Math" w:cs="Times New Roman"/>
                                    <w:sz w:val="20"/>
                                    <w:szCs w:val="20"/>
                                  </w:rPr>
                                </m:ctrlPr>
                              </m:dPr>
                              <m:e>
                                <m:r>
                                  <m:rPr>
                                    <m:sty m:val="p"/>
                                  </m:rPr>
                                  <w:rPr>
                                    <w:rFonts w:ascii="Cambria Math" w:hAnsi="Cambria Math" w:cs="Times New Roman"/>
                                    <w:sz w:val="20"/>
                                    <w:szCs w:val="20"/>
                                  </w:rPr>
                                  <m:t>t-1</m:t>
                                </m:r>
                              </m:e>
                            </m:d>
                          </m:sub>
                        </m:sSub>
                      </m:den>
                    </m:f>
                  </m:e>
                </m:d>
                <m:r>
                  <m:rPr>
                    <m:sty m:val="p"/>
                  </m:rPr>
                  <w:rPr>
                    <w:rFonts w:ascii="Cambria Math" w:hAnsi="Cambria Math" w:cs="Times New Roman"/>
                    <w:sz w:val="20"/>
                    <w:szCs w:val="20"/>
                  </w:rPr>
                  <m:t>×100</m:t>
                </m:r>
              </m:oMath>
            </m:oMathPara>
          </w:p>
        </w:tc>
      </w:tr>
      <w:tr w:rsidR="00474749" w:rsidRPr="00494614" w14:paraId="1FF6B44F" w14:textId="77777777" w:rsidTr="00276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pct"/>
            <w:vAlign w:val="center"/>
          </w:tcPr>
          <w:p w14:paraId="4DE8CF9B" w14:textId="65DE620D" w:rsidR="00474749" w:rsidRPr="00494614" w:rsidRDefault="00494614" w:rsidP="004D2A38">
            <w:pPr>
              <w:tabs>
                <w:tab w:val="left" w:pos="0"/>
              </w:tabs>
              <w:ind w:firstLine="0"/>
              <w:jc w:val="left"/>
              <w:rPr>
                <w:rFonts w:cs="Times New Roman"/>
                <w:b w:val="0"/>
                <w:sz w:val="20"/>
                <w:szCs w:val="20"/>
              </w:rPr>
            </w:pPr>
            <w:r w:rsidRPr="00494614">
              <w:rPr>
                <w:rFonts w:cs="Times New Roman"/>
                <w:b w:val="0"/>
                <w:sz w:val="20"/>
                <w:szCs w:val="20"/>
              </w:rPr>
              <w:t>S</w:t>
            </w:r>
          </w:p>
        </w:tc>
        <w:tc>
          <w:tcPr>
            <w:tcW w:w="1096" w:type="pct"/>
            <w:vAlign w:val="center"/>
          </w:tcPr>
          <w:p w14:paraId="77715A07" w14:textId="7353EEC5" w:rsidR="00474749" w:rsidRPr="00494614" w:rsidRDefault="00494614" w:rsidP="004D2A38">
            <w:pPr>
              <w:tabs>
                <w:tab w:val="left" w:pos="0"/>
              </w:tabs>
              <w:ind w:firstLin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94614">
              <w:rPr>
                <w:rFonts w:cs="Times New Roman"/>
                <w:sz w:val="20"/>
                <w:szCs w:val="20"/>
              </w:rPr>
              <w:t>Size of the firm</w:t>
            </w:r>
          </w:p>
        </w:tc>
        <w:tc>
          <w:tcPr>
            <w:tcW w:w="3328" w:type="pct"/>
            <w:vAlign w:val="center"/>
          </w:tcPr>
          <w:p w14:paraId="5297ADE3" w14:textId="372DCC44" w:rsidR="00474749" w:rsidRPr="00494614" w:rsidRDefault="00494614" w:rsidP="004D2A38">
            <w:pPr>
              <w:tabs>
                <w:tab w:val="left" w:pos="0"/>
              </w:tabs>
              <w:ind w:firstLin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94614">
              <w:rPr>
                <w:rFonts w:cs="Times New Roman"/>
                <w:sz w:val="20"/>
                <w:szCs w:val="20"/>
              </w:rPr>
              <w:t>Ln (Total assets</w:t>
            </w:r>
            <w:r w:rsidRPr="00494614">
              <w:rPr>
                <w:rFonts w:cs="Times New Roman"/>
                <w:sz w:val="20"/>
                <w:szCs w:val="20"/>
                <w:vertAlign w:val="subscript"/>
              </w:rPr>
              <w:t xml:space="preserve"> t-1</w:t>
            </w:r>
            <w:r w:rsidRPr="00494614">
              <w:rPr>
                <w:rFonts w:cs="Times New Roman"/>
                <w:sz w:val="20"/>
                <w:szCs w:val="20"/>
              </w:rPr>
              <w:t>)</w:t>
            </w:r>
          </w:p>
        </w:tc>
      </w:tr>
    </w:tbl>
    <w:p w14:paraId="36F84132" w14:textId="77777777" w:rsidR="00474749" w:rsidRDefault="00474749" w:rsidP="004D2A38">
      <w:pPr>
        <w:tabs>
          <w:tab w:val="left" w:pos="0"/>
        </w:tabs>
        <w:spacing w:before="240"/>
      </w:pPr>
    </w:p>
    <w:p w14:paraId="6CE9F753" w14:textId="1884F562" w:rsidR="00474749" w:rsidRDefault="00474749" w:rsidP="004D2A38">
      <w:pPr>
        <w:tabs>
          <w:tab w:val="left" w:pos="0"/>
        </w:tabs>
        <w:spacing w:before="240"/>
      </w:pPr>
      <w:r>
        <w:t xml:space="preserve">Based on the above described model regression analysis will be done </w:t>
      </w:r>
      <w:r w:rsidR="00E256DB">
        <w:t>to estimate</w:t>
      </w:r>
      <w:r>
        <w:t xml:space="preserve"> beta coefficients </w:t>
      </w:r>
      <w:r w:rsidR="00C52C8F">
        <w:t>and propose the model to define optimal structure of working capital in the firm</w:t>
      </w:r>
      <w:r>
        <w:t xml:space="preserve">. Further on, using the model and estimated beta coefficients the target working capital structure will be calculated for each specific deal and company. As we can see from the </w:t>
      </w:r>
      <w:r>
        <w:fldChar w:fldCharType="begin"/>
      </w:r>
      <w:r>
        <w:instrText xml:space="preserve"> REF _Ref513063009 \r \h </w:instrText>
      </w:r>
      <w:r>
        <w:fldChar w:fldCharType="separate"/>
      </w:r>
      <w:r w:rsidR="00154E78">
        <w:rPr>
          <w:b/>
          <w:bCs/>
          <w:lang w:val="ru-RU"/>
        </w:rPr>
        <w:t>Ошибка</w:t>
      </w:r>
      <w:r w:rsidR="00154E78" w:rsidRPr="00154E78">
        <w:rPr>
          <w:b/>
          <w:bCs/>
        </w:rPr>
        <w:t xml:space="preserve">! </w:t>
      </w:r>
      <w:r w:rsidR="00154E78">
        <w:rPr>
          <w:b/>
          <w:bCs/>
          <w:lang w:val="ru-RU"/>
        </w:rPr>
        <w:t>Источник</w:t>
      </w:r>
      <w:r w:rsidR="00154E78" w:rsidRPr="00154E78">
        <w:rPr>
          <w:b/>
          <w:bCs/>
        </w:rPr>
        <w:t xml:space="preserve"> </w:t>
      </w:r>
      <w:r w:rsidR="00154E78">
        <w:rPr>
          <w:b/>
          <w:bCs/>
          <w:lang w:val="ru-RU"/>
        </w:rPr>
        <w:t>ссылки</w:t>
      </w:r>
      <w:r w:rsidR="00154E78" w:rsidRPr="00154E78">
        <w:rPr>
          <w:b/>
          <w:bCs/>
        </w:rPr>
        <w:t xml:space="preserve"> </w:t>
      </w:r>
      <w:r w:rsidR="00154E78">
        <w:rPr>
          <w:b/>
          <w:bCs/>
          <w:lang w:val="ru-RU"/>
        </w:rPr>
        <w:t>не</w:t>
      </w:r>
      <w:r w:rsidR="00154E78" w:rsidRPr="00154E78">
        <w:rPr>
          <w:b/>
          <w:bCs/>
        </w:rPr>
        <w:t xml:space="preserve"> </w:t>
      </w:r>
      <w:r w:rsidR="00154E78">
        <w:rPr>
          <w:b/>
          <w:bCs/>
          <w:lang w:val="ru-RU"/>
        </w:rPr>
        <w:t>найден</w:t>
      </w:r>
      <w:r w:rsidR="00154E78" w:rsidRPr="00154E78">
        <w:rPr>
          <w:b/>
          <w:bCs/>
        </w:rPr>
        <w:t>.</w:t>
      </w:r>
      <w:r>
        <w:fldChar w:fldCharType="end"/>
      </w:r>
      <w:r>
        <w:t xml:space="preserve"> all the variables used are taken from the time (t-1) that is related to one year before the deal. Hence, if the merger or acquisition was made in, for example, 25.02.2009 year, then value of the 2008 year-end of an acquirer will be used in the model. </w:t>
      </w:r>
    </w:p>
    <w:p w14:paraId="33BF64D5" w14:textId="6189FF93" w:rsidR="00C52C8F" w:rsidRDefault="00C52C8F" w:rsidP="004D2A38">
      <w:pPr>
        <w:tabs>
          <w:tab w:val="left" w:pos="0"/>
        </w:tabs>
        <w:spacing w:before="240"/>
      </w:pPr>
      <w:r>
        <w:t xml:space="preserve">The dependent variable essentially represents the amount of Net working capital in the firm proportionally to the amount of total assets in this specific firm. As a set of the determinants for optimal value of the working capital in the firm relevant prior studies were researched and based on that the model was developed. Represented independent variables are the most well-studied and proven variables that influence the working capital in the firm management. Thus, all of the variables are anticipated to be statistically significant and coefficients should be easily interpreted. </w:t>
      </w:r>
    </w:p>
    <w:p w14:paraId="061E8944" w14:textId="3916E3A5" w:rsidR="00C52C8F" w:rsidRDefault="00C52C8F" w:rsidP="004D2A38">
      <w:pPr>
        <w:tabs>
          <w:tab w:val="left" w:pos="0"/>
        </w:tabs>
        <w:spacing w:before="240"/>
      </w:pPr>
      <w:r>
        <w:t>Further on, the second step of the methodology belongs to the hypotheses set number 4. Here we try to prove that the target working capital structure indeed influences the performance of the company. In order to do that, very similar model to the first one was developed (</w:t>
      </w:r>
      <w:r w:rsidRPr="001F60D3">
        <w:t xml:space="preserve">Formula </w:t>
      </w:r>
      <w:r w:rsidR="00971A38" w:rsidRPr="001F60D3">
        <w:t xml:space="preserve">3 </w:t>
      </w:r>
      <w:r w:rsidRPr="001F60D3">
        <w:t>and</w:t>
      </w:r>
      <w:r w:rsidR="00971A38">
        <w:t xml:space="preserve"> </w:t>
      </w:r>
      <w:r w:rsidR="00971A38">
        <w:rPr>
          <w:highlight w:val="yellow"/>
        </w:rPr>
        <w:fldChar w:fldCharType="begin"/>
      </w:r>
      <w:r w:rsidR="00971A38">
        <w:instrText xml:space="preserve"> REF _Ref514671497 \r \h </w:instrText>
      </w:r>
      <w:r w:rsidR="00971A38">
        <w:rPr>
          <w:highlight w:val="yellow"/>
        </w:rPr>
      </w:r>
      <w:r w:rsidR="00971A38">
        <w:rPr>
          <w:highlight w:val="yellow"/>
        </w:rPr>
        <w:fldChar w:fldCharType="separate"/>
      </w:r>
      <w:r w:rsidR="00154E78">
        <w:t>Table 7</w:t>
      </w:r>
      <w:r w:rsidR="00971A38">
        <w:rPr>
          <w:highlight w:val="yellow"/>
        </w:rPr>
        <w:fldChar w:fldCharType="end"/>
      </w:r>
      <w:r>
        <w:t>):</w:t>
      </w:r>
    </w:p>
    <w:p w14:paraId="0B52C871" w14:textId="77777777" w:rsidR="00D4777A" w:rsidRDefault="00474749" w:rsidP="004D2A38">
      <w:pPr>
        <w:tabs>
          <w:tab w:val="left" w:pos="0"/>
        </w:tabs>
        <w:ind w:firstLine="0"/>
        <w:jc w:val="center"/>
        <w:rPr>
          <w:vertAlign w:val="subscript"/>
        </w:rPr>
      </w:pPr>
      <w:r>
        <w:t>CTQ</w:t>
      </w:r>
      <w:r w:rsidRPr="00EB7239">
        <w:rPr>
          <w:vertAlign w:val="subscript"/>
        </w:rPr>
        <w:t>(</w:t>
      </w:r>
      <w:proofErr w:type="spellStart"/>
      <w:r w:rsidRPr="00EB7239">
        <w:rPr>
          <w:vertAlign w:val="subscript"/>
        </w:rPr>
        <w:t>t+i</w:t>
      </w:r>
      <w:proofErr w:type="spellEnd"/>
      <w:r w:rsidRPr="00EB7239">
        <w:rPr>
          <w:vertAlign w:val="subscript"/>
        </w:rPr>
        <w:t>)</w:t>
      </w:r>
      <w:r>
        <w:rPr>
          <w:vertAlign w:val="subscript"/>
        </w:rPr>
        <w:t xml:space="preserve"> </w:t>
      </w:r>
      <w:r w:rsidRPr="004E4759">
        <w:t>=</w:t>
      </w:r>
      <w:r>
        <w:t xml:space="preserve"> </w:t>
      </w:r>
      <w:r w:rsidRPr="00231030">
        <w:rPr>
          <w:lang w:val="ru-RU"/>
        </w:rPr>
        <w:t>α</w:t>
      </w:r>
      <w:r>
        <w:t xml:space="preserve"> </w:t>
      </w:r>
      <w:r w:rsidRPr="004E4759">
        <w:t>+</w:t>
      </w:r>
      <w:r>
        <w:t xml:space="preserve"> </w:t>
      </w:r>
      <w:r w:rsidRPr="00231030">
        <w:rPr>
          <w:lang w:val="ru-RU"/>
        </w:rPr>
        <w:t>β</w:t>
      </w:r>
      <w:r w:rsidRPr="004E4759">
        <w:t>1</w:t>
      </w:r>
      <w:r>
        <w:t xml:space="preserve"> </w:t>
      </w:r>
      <w:r w:rsidRPr="004E4759">
        <w:t>*</w:t>
      </w:r>
      <w:r>
        <w:t xml:space="preserve"> </w:t>
      </w:r>
      <w:r w:rsidR="00D4777A">
        <w:t>WCD</w:t>
      </w:r>
      <w:r w:rsidRPr="00EB7239">
        <w:rPr>
          <w:vertAlign w:val="subscript"/>
        </w:rPr>
        <w:t>(</w:t>
      </w:r>
      <w:proofErr w:type="spellStart"/>
      <w:r w:rsidRPr="00EB7239">
        <w:rPr>
          <w:vertAlign w:val="subscript"/>
        </w:rPr>
        <w:t>t+i</w:t>
      </w:r>
      <w:proofErr w:type="spellEnd"/>
      <w:r w:rsidRPr="00EB7239">
        <w:rPr>
          <w:vertAlign w:val="subscript"/>
        </w:rPr>
        <w:t>)</w:t>
      </w:r>
      <w:r w:rsidRPr="004E4759">
        <w:t xml:space="preserve"> + </w:t>
      </w:r>
      <w:r w:rsidRPr="00231030">
        <w:rPr>
          <w:lang w:val="ru-RU"/>
        </w:rPr>
        <w:t>β</w:t>
      </w:r>
      <w:r>
        <w:t xml:space="preserve">2 </w:t>
      </w:r>
      <w:r w:rsidRPr="004E4759">
        <w:t>*</w:t>
      </w:r>
      <w:r>
        <w:t xml:space="preserve"> </w:t>
      </w:r>
      <w:r w:rsidR="00D4777A">
        <w:t>WCD</w:t>
      </w:r>
      <w:r w:rsidRPr="00BB2B9F">
        <w:rPr>
          <w:vertAlign w:val="superscript"/>
        </w:rPr>
        <w:t>2</w:t>
      </w:r>
      <w:r w:rsidRPr="00EB7239">
        <w:rPr>
          <w:vertAlign w:val="subscript"/>
        </w:rPr>
        <w:t>(</w:t>
      </w:r>
      <w:proofErr w:type="spellStart"/>
      <w:r w:rsidRPr="00EB7239">
        <w:rPr>
          <w:vertAlign w:val="subscript"/>
        </w:rPr>
        <w:t>t+i</w:t>
      </w:r>
      <w:proofErr w:type="spellEnd"/>
      <w:r w:rsidRPr="00EB7239">
        <w:rPr>
          <w:vertAlign w:val="subscript"/>
        </w:rPr>
        <w:t>)</w:t>
      </w:r>
      <w:r w:rsidRPr="004E4759">
        <w:t xml:space="preserve"> </w:t>
      </w:r>
      <w:r w:rsidRPr="00231030">
        <w:rPr>
          <w:lang w:val="ru-RU"/>
        </w:rPr>
        <w:t>β</w:t>
      </w:r>
      <w:r>
        <w:t xml:space="preserve">3 </w:t>
      </w:r>
      <w:r w:rsidRPr="004E4759">
        <w:t>*</w:t>
      </w:r>
      <w:r>
        <w:t xml:space="preserve"> DS</w:t>
      </w:r>
      <w:r w:rsidRPr="00EB7239">
        <w:rPr>
          <w:vertAlign w:val="subscript"/>
        </w:rPr>
        <w:t>(t</w:t>
      </w:r>
      <w:r>
        <w:rPr>
          <w:vertAlign w:val="subscript"/>
        </w:rPr>
        <w:t>-1</w:t>
      </w:r>
      <w:r w:rsidRPr="00EB7239">
        <w:rPr>
          <w:vertAlign w:val="subscript"/>
        </w:rPr>
        <w:t>)</w:t>
      </w:r>
      <w:r>
        <w:t xml:space="preserve"> </w:t>
      </w:r>
      <w:r w:rsidRPr="004E4759">
        <w:t xml:space="preserve">+ </w:t>
      </w:r>
      <w:r w:rsidRPr="00231030">
        <w:rPr>
          <w:lang w:val="ru-RU"/>
        </w:rPr>
        <w:t>β</w:t>
      </w:r>
      <w:r>
        <w:t xml:space="preserve">4 </w:t>
      </w:r>
      <w:r w:rsidRPr="004E4759">
        <w:t>*</w:t>
      </w:r>
      <w:r>
        <w:t xml:space="preserve"> IS</w:t>
      </w:r>
      <w:r w:rsidRPr="00EB7239">
        <w:rPr>
          <w:vertAlign w:val="subscript"/>
        </w:rPr>
        <w:t>(t</w:t>
      </w:r>
      <w:r>
        <w:rPr>
          <w:vertAlign w:val="subscript"/>
        </w:rPr>
        <w:t>-1</w:t>
      </w:r>
      <w:r w:rsidRPr="00EB7239">
        <w:rPr>
          <w:vertAlign w:val="subscript"/>
        </w:rPr>
        <w:t>)</w:t>
      </w:r>
      <w:r>
        <w:t xml:space="preserve"> </w:t>
      </w:r>
      <w:r w:rsidRPr="004E4759">
        <w:t xml:space="preserve">+ </w:t>
      </w:r>
      <w:r w:rsidRPr="00231030">
        <w:rPr>
          <w:lang w:val="ru-RU"/>
        </w:rPr>
        <w:t>β</w:t>
      </w:r>
      <w:r>
        <w:t xml:space="preserve">5 </w:t>
      </w:r>
      <w:r w:rsidRPr="004E4759">
        <w:t>*</w:t>
      </w:r>
      <w:r>
        <w:t xml:space="preserve"> FT</w:t>
      </w:r>
      <w:r w:rsidRPr="00EB7239">
        <w:rPr>
          <w:vertAlign w:val="subscript"/>
        </w:rPr>
        <w:t>(t</w:t>
      </w:r>
      <w:r>
        <w:rPr>
          <w:vertAlign w:val="subscript"/>
        </w:rPr>
        <w:t>-1</w:t>
      </w:r>
      <w:r w:rsidRPr="00EB7239">
        <w:rPr>
          <w:vertAlign w:val="subscript"/>
        </w:rPr>
        <w:t>)</w:t>
      </w:r>
      <w:r>
        <w:t xml:space="preserve"> </w:t>
      </w:r>
      <w:r w:rsidRPr="00EB7239">
        <w:t xml:space="preserve">+ </w:t>
      </w:r>
      <w:r w:rsidRPr="00231030">
        <w:rPr>
          <w:lang w:val="ru-RU"/>
        </w:rPr>
        <w:t>β</w:t>
      </w:r>
      <w:r>
        <w:t xml:space="preserve">6 </w:t>
      </w:r>
      <w:r w:rsidRPr="004E4759">
        <w:t>*</w:t>
      </w:r>
      <w:r>
        <w:t xml:space="preserve"> CLR</w:t>
      </w:r>
      <w:r w:rsidRPr="00EB7239">
        <w:rPr>
          <w:vertAlign w:val="subscript"/>
        </w:rPr>
        <w:t>(</w:t>
      </w:r>
      <w:proofErr w:type="spellStart"/>
      <w:r w:rsidRPr="00EB7239">
        <w:rPr>
          <w:vertAlign w:val="subscript"/>
        </w:rPr>
        <w:t>t+i</w:t>
      </w:r>
      <w:proofErr w:type="spellEnd"/>
      <w:r w:rsidRPr="00EB7239">
        <w:rPr>
          <w:vertAlign w:val="subscript"/>
        </w:rPr>
        <w:t>)</w:t>
      </w:r>
    </w:p>
    <w:p w14:paraId="69074116" w14:textId="1DF6F1B4" w:rsidR="00474749" w:rsidRDefault="00D4777A" w:rsidP="004D2A38">
      <w:pPr>
        <w:tabs>
          <w:tab w:val="left" w:pos="0"/>
        </w:tabs>
        <w:ind w:firstLine="0"/>
        <w:jc w:val="right"/>
      </w:pPr>
      <w:r>
        <w:t xml:space="preserve"> </w:t>
      </w:r>
      <w:r w:rsidR="00474749">
        <w:t xml:space="preserve">+ </w:t>
      </w:r>
      <w:r w:rsidR="00474749" w:rsidRPr="00231030">
        <w:rPr>
          <w:lang w:val="ru-RU"/>
        </w:rPr>
        <w:t>β</w:t>
      </w:r>
      <w:r w:rsidR="00474749">
        <w:t xml:space="preserve">7 </w:t>
      </w:r>
      <w:r w:rsidR="00474749" w:rsidRPr="004E4759">
        <w:t>*</w:t>
      </w:r>
      <w:r w:rsidR="00474749">
        <w:t xml:space="preserve"> GDP</w:t>
      </w:r>
      <w:r w:rsidR="00474749" w:rsidRPr="00EB7239">
        <w:rPr>
          <w:vertAlign w:val="subscript"/>
        </w:rPr>
        <w:t>(</w:t>
      </w:r>
      <w:proofErr w:type="spellStart"/>
      <w:r w:rsidR="00474749" w:rsidRPr="00EB7239">
        <w:rPr>
          <w:vertAlign w:val="subscript"/>
        </w:rPr>
        <w:t>t+i</w:t>
      </w:r>
      <w:proofErr w:type="spellEnd"/>
      <w:r w:rsidR="00474749" w:rsidRPr="00EB7239">
        <w:rPr>
          <w:vertAlign w:val="subscript"/>
        </w:rPr>
        <w:t>)</w:t>
      </w:r>
      <w:r w:rsidR="00474749">
        <w:t xml:space="preserve"> +</w:t>
      </w:r>
      <w:r w:rsidR="00474749" w:rsidRPr="006A637E">
        <w:t xml:space="preserve"> </w:t>
      </w:r>
      <w:r w:rsidR="00474749" w:rsidRPr="00231030">
        <w:rPr>
          <w:lang w:val="ru-RU"/>
        </w:rPr>
        <w:t>β</w:t>
      </w:r>
      <w:r w:rsidR="00474749">
        <w:t xml:space="preserve">8 </w:t>
      </w:r>
      <w:r w:rsidR="00474749" w:rsidRPr="004E4759">
        <w:t>*</w:t>
      </w:r>
      <w:r w:rsidR="00474749">
        <w:t xml:space="preserve"> OPR</w:t>
      </w:r>
      <w:r w:rsidR="00474749" w:rsidRPr="00EB7239">
        <w:rPr>
          <w:vertAlign w:val="subscript"/>
        </w:rPr>
        <w:t>(</w:t>
      </w:r>
      <w:proofErr w:type="spellStart"/>
      <w:r w:rsidR="00474749" w:rsidRPr="00EB7239">
        <w:rPr>
          <w:vertAlign w:val="subscript"/>
        </w:rPr>
        <w:t>t+i</w:t>
      </w:r>
      <w:proofErr w:type="spellEnd"/>
      <w:r w:rsidR="00474749" w:rsidRPr="00EB7239">
        <w:rPr>
          <w:vertAlign w:val="subscript"/>
        </w:rPr>
        <w:t>)</w:t>
      </w:r>
      <w:r w:rsidR="00474749">
        <w:t xml:space="preserve">                                                        </w:t>
      </w:r>
      <w:r w:rsidR="00474749" w:rsidRPr="001F60D3">
        <w:t>(</w:t>
      </w:r>
      <w:r w:rsidR="00971A38" w:rsidRPr="001F60D3">
        <w:t>3</w:t>
      </w:r>
      <w:r w:rsidR="00474749" w:rsidRPr="001F60D3">
        <w:t>)</w:t>
      </w:r>
    </w:p>
    <w:p w14:paraId="5658CDEB" w14:textId="77777777" w:rsidR="00474749" w:rsidRDefault="00474749" w:rsidP="004D2A38">
      <w:pPr>
        <w:tabs>
          <w:tab w:val="left" w:pos="0"/>
        </w:tabs>
        <w:jc w:val="left"/>
      </w:pPr>
      <w:r>
        <w:t xml:space="preserve">where: </w:t>
      </w:r>
    </w:p>
    <w:p w14:paraId="27E0A3EA" w14:textId="77777777" w:rsidR="00474749" w:rsidRDefault="00474749" w:rsidP="004D2A38">
      <w:pPr>
        <w:tabs>
          <w:tab w:val="left" w:pos="0"/>
        </w:tabs>
        <w:jc w:val="left"/>
      </w:pPr>
      <w:r>
        <w:t>CTQ</w:t>
      </w:r>
      <w:r w:rsidRPr="00EB7239">
        <w:rPr>
          <w:vertAlign w:val="subscript"/>
        </w:rPr>
        <w:t>(</w:t>
      </w:r>
      <w:proofErr w:type="spellStart"/>
      <w:r w:rsidRPr="00EB7239">
        <w:rPr>
          <w:vertAlign w:val="subscript"/>
        </w:rPr>
        <w:t>t+i</w:t>
      </w:r>
      <w:proofErr w:type="spellEnd"/>
      <w:r w:rsidRPr="00EB7239">
        <w:rPr>
          <w:vertAlign w:val="subscript"/>
        </w:rPr>
        <w:t>)</w:t>
      </w:r>
      <w:r>
        <w:rPr>
          <w:vertAlign w:val="subscript"/>
        </w:rPr>
        <w:t xml:space="preserve"> </w:t>
      </w:r>
      <w:r>
        <w:t xml:space="preserve">– change in Tobin’s Q ratio </w:t>
      </w:r>
      <w:proofErr w:type="spellStart"/>
      <w:r>
        <w:t>i</w:t>
      </w:r>
      <w:proofErr w:type="spellEnd"/>
      <w:r>
        <w:t>-years after the deal completion;</w:t>
      </w:r>
    </w:p>
    <w:p w14:paraId="6FFCFEED" w14:textId="24EBEECB" w:rsidR="00474749" w:rsidRDefault="00810C4B" w:rsidP="004D2A38">
      <w:pPr>
        <w:tabs>
          <w:tab w:val="left" w:pos="0"/>
        </w:tabs>
        <w:jc w:val="left"/>
      </w:pPr>
      <w:r>
        <w:t>WCD</w:t>
      </w:r>
      <w:r w:rsidR="00474749" w:rsidRPr="00EB7239">
        <w:rPr>
          <w:vertAlign w:val="subscript"/>
        </w:rPr>
        <w:t>(</w:t>
      </w:r>
      <w:proofErr w:type="spellStart"/>
      <w:r w:rsidR="00474749" w:rsidRPr="00EB7239">
        <w:rPr>
          <w:vertAlign w:val="subscript"/>
        </w:rPr>
        <w:t>t+i</w:t>
      </w:r>
      <w:proofErr w:type="spellEnd"/>
      <w:r w:rsidR="00474749" w:rsidRPr="00EB7239">
        <w:rPr>
          <w:vertAlign w:val="subscript"/>
        </w:rPr>
        <w:t>)</w:t>
      </w:r>
      <w:r w:rsidR="00474749">
        <w:rPr>
          <w:vertAlign w:val="subscript"/>
        </w:rPr>
        <w:t xml:space="preserve"> </w:t>
      </w:r>
      <w:r w:rsidR="00474749">
        <w:t xml:space="preserve">– </w:t>
      </w:r>
      <w:r w:rsidRPr="00810C4B">
        <w:t xml:space="preserve">working capital deficit </w:t>
      </w:r>
      <w:proofErr w:type="spellStart"/>
      <w:r w:rsidRPr="00810C4B">
        <w:t>i</w:t>
      </w:r>
      <w:proofErr w:type="spellEnd"/>
      <w:r w:rsidRPr="00810C4B">
        <w:t>-years after the deal completion</w:t>
      </w:r>
      <w:r w:rsidR="00474749">
        <w:t>;</w:t>
      </w:r>
    </w:p>
    <w:p w14:paraId="57CCCFC5" w14:textId="77777777" w:rsidR="00474749" w:rsidRDefault="00474749" w:rsidP="004D2A38">
      <w:pPr>
        <w:tabs>
          <w:tab w:val="left" w:pos="0"/>
        </w:tabs>
        <w:jc w:val="left"/>
      </w:pPr>
      <w:r>
        <w:t>DS</w:t>
      </w:r>
      <w:r w:rsidRPr="00EB7239">
        <w:rPr>
          <w:vertAlign w:val="subscript"/>
        </w:rPr>
        <w:t>(t</w:t>
      </w:r>
      <w:r>
        <w:rPr>
          <w:vertAlign w:val="subscript"/>
        </w:rPr>
        <w:t>-1</w:t>
      </w:r>
      <w:r w:rsidRPr="00EB7239">
        <w:rPr>
          <w:vertAlign w:val="subscript"/>
        </w:rPr>
        <w:t>)</w:t>
      </w:r>
      <w:r>
        <w:t xml:space="preserve">  – deal size in terms of value paid;</w:t>
      </w:r>
    </w:p>
    <w:p w14:paraId="674B9434" w14:textId="77777777" w:rsidR="00474749" w:rsidRDefault="00474749" w:rsidP="004D2A38">
      <w:pPr>
        <w:tabs>
          <w:tab w:val="left" w:pos="0"/>
        </w:tabs>
        <w:jc w:val="left"/>
      </w:pPr>
      <w:r>
        <w:lastRenderedPageBreak/>
        <w:t>IS</w:t>
      </w:r>
      <w:r w:rsidRPr="00EB7239">
        <w:rPr>
          <w:vertAlign w:val="subscript"/>
        </w:rPr>
        <w:t>(t</w:t>
      </w:r>
      <w:r>
        <w:rPr>
          <w:vertAlign w:val="subscript"/>
        </w:rPr>
        <w:t>-1</w:t>
      </w:r>
      <w:r w:rsidRPr="00EB7239">
        <w:rPr>
          <w:vertAlign w:val="subscript"/>
        </w:rPr>
        <w:t>)</w:t>
      </w:r>
      <w:r>
        <w:t xml:space="preserve">  – acquirer and target industry similarity;</w:t>
      </w:r>
    </w:p>
    <w:p w14:paraId="59816E59" w14:textId="77777777" w:rsidR="00474749" w:rsidRDefault="00474749" w:rsidP="004D2A38">
      <w:pPr>
        <w:tabs>
          <w:tab w:val="left" w:pos="0"/>
        </w:tabs>
        <w:jc w:val="left"/>
      </w:pPr>
      <w:r>
        <w:t>FT</w:t>
      </w:r>
      <w:r w:rsidRPr="00EB7239">
        <w:rPr>
          <w:vertAlign w:val="subscript"/>
        </w:rPr>
        <w:t>(t</w:t>
      </w:r>
      <w:r>
        <w:rPr>
          <w:vertAlign w:val="subscript"/>
        </w:rPr>
        <w:t>-1</w:t>
      </w:r>
      <w:r w:rsidRPr="00EB7239">
        <w:rPr>
          <w:vertAlign w:val="subscript"/>
        </w:rPr>
        <w:t>)</w:t>
      </w:r>
      <w:r>
        <w:t xml:space="preserve">  – deal financing type;</w:t>
      </w:r>
    </w:p>
    <w:p w14:paraId="557335E8" w14:textId="77777777" w:rsidR="00474749" w:rsidRPr="008053AD" w:rsidRDefault="00474749" w:rsidP="004D2A38">
      <w:pPr>
        <w:tabs>
          <w:tab w:val="left" w:pos="0"/>
        </w:tabs>
        <w:jc w:val="left"/>
      </w:pPr>
      <w:r>
        <w:t>CLR</w:t>
      </w:r>
      <w:r w:rsidRPr="00EB7239">
        <w:rPr>
          <w:vertAlign w:val="subscript"/>
        </w:rPr>
        <w:t>(</w:t>
      </w:r>
      <w:proofErr w:type="spellStart"/>
      <w:r w:rsidRPr="00EB7239">
        <w:rPr>
          <w:vertAlign w:val="subscript"/>
        </w:rPr>
        <w:t>t+i</w:t>
      </w:r>
      <w:proofErr w:type="spellEnd"/>
      <w:r w:rsidRPr="00EB7239">
        <w:rPr>
          <w:vertAlign w:val="subscript"/>
        </w:rPr>
        <w:t>)</w:t>
      </w:r>
      <w:r>
        <w:rPr>
          <w:vertAlign w:val="subscript"/>
        </w:rPr>
        <w:t xml:space="preserve"> </w:t>
      </w:r>
      <w:r w:rsidRPr="008053AD">
        <w:t xml:space="preserve">– change in leverage </w:t>
      </w:r>
      <w:proofErr w:type="spellStart"/>
      <w:r w:rsidRPr="008053AD">
        <w:t>ration</w:t>
      </w:r>
      <w:proofErr w:type="spellEnd"/>
      <w:r w:rsidRPr="008053AD">
        <w:t xml:space="preserve"> </w:t>
      </w:r>
      <w:proofErr w:type="spellStart"/>
      <w:r w:rsidRPr="008053AD">
        <w:t>i</w:t>
      </w:r>
      <w:proofErr w:type="spellEnd"/>
      <w:r w:rsidRPr="008053AD">
        <w:t>-years after the deal completion;</w:t>
      </w:r>
    </w:p>
    <w:p w14:paraId="3FE7DC80" w14:textId="77777777" w:rsidR="00474749" w:rsidRDefault="00474749" w:rsidP="004D2A38">
      <w:pPr>
        <w:tabs>
          <w:tab w:val="left" w:pos="0"/>
        </w:tabs>
        <w:jc w:val="left"/>
      </w:pPr>
      <w:r>
        <w:t>GDP</w:t>
      </w:r>
      <w:r w:rsidRPr="00EB7239">
        <w:rPr>
          <w:vertAlign w:val="subscript"/>
        </w:rPr>
        <w:t>(</w:t>
      </w:r>
      <w:proofErr w:type="spellStart"/>
      <w:r w:rsidRPr="00EB7239">
        <w:rPr>
          <w:vertAlign w:val="subscript"/>
        </w:rPr>
        <w:t>t+i</w:t>
      </w:r>
      <w:proofErr w:type="spellEnd"/>
      <w:r w:rsidRPr="00EB7239">
        <w:rPr>
          <w:vertAlign w:val="subscript"/>
        </w:rPr>
        <w:t>)</w:t>
      </w:r>
      <w:r>
        <w:rPr>
          <w:vertAlign w:val="subscript"/>
        </w:rPr>
        <w:t xml:space="preserve"> </w:t>
      </w:r>
      <w:r>
        <w:t xml:space="preserve">– GDP growth </w:t>
      </w:r>
      <w:proofErr w:type="spellStart"/>
      <w:r>
        <w:t>i</w:t>
      </w:r>
      <w:proofErr w:type="spellEnd"/>
      <w:r>
        <w:t>-years after the deal completion;</w:t>
      </w:r>
    </w:p>
    <w:p w14:paraId="3D02DE76" w14:textId="77777777" w:rsidR="00474749" w:rsidRDefault="00474749" w:rsidP="004D2A38">
      <w:pPr>
        <w:tabs>
          <w:tab w:val="left" w:pos="0"/>
        </w:tabs>
        <w:jc w:val="left"/>
      </w:pPr>
      <w:r>
        <w:t>OPR</w:t>
      </w:r>
      <w:r w:rsidRPr="00EB7239">
        <w:rPr>
          <w:vertAlign w:val="subscript"/>
        </w:rPr>
        <w:t>(</w:t>
      </w:r>
      <w:proofErr w:type="spellStart"/>
      <w:r w:rsidRPr="00EB7239">
        <w:rPr>
          <w:vertAlign w:val="subscript"/>
        </w:rPr>
        <w:t>t+i</w:t>
      </w:r>
      <w:proofErr w:type="spellEnd"/>
      <w:r>
        <w:rPr>
          <w:vertAlign w:val="subscript"/>
        </w:rPr>
        <w:t xml:space="preserve">) </w:t>
      </w:r>
      <w:r>
        <w:t xml:space="preserve">– change in oil prices </w:t>
      </w:r>
      <w:proofErr w:type="spellStart"/>
      <w:r>
        <w:t>i</w:t>
      </w:r>
      <w:proofErr w:type="spellEnd"/>
      <w:r>
        <w:t>-years after the deal completion.</w:t>
      </w:r>
    </w:p>
    <w:p w14:paraId="321D250B" w14:textId="3F3E18D5" w:rsidR="00474749" w:rsidRDefault="00A249DF" w:rsidP="00E249F5">
      <w:pPr>
        <w:pStyle w:val="a0"/>
        <w:tabs>
          <w:tab w:val="left" w:pos="0"/>
        </w:tabs>
        <w:ind w:left="0"/>
      </w:pPr>
      <w:bookmarkStart w:id="25" w:name="_Ref514671497"/>
      <w:r>
        <w:t>Working capital deficit v</w:t>
      </w:r>
      <w:r w:rsidR="00474749">
        <w:t>ariables summary</w:t>
      </w:r>
      <w:bookmarkEnd w:id="25"/>
    </w:p>
    <w:tbl>
      <w:tblPr>
        <w:tblStyle w:val="22"/>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2136"/>
        <w:gridCol w:w="6485"/>
      </w:tblGrid>
      <w:tr w:rsidR="00474749" w:rsidRPr="00AD4260" w14:paraId="1A05BCDF" w14:textId="77777777" w:rsidTr="00E256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pct"/>
            <w:tcBorders>
              <w:bottom w:val="none" w:sz="0" w:space="0" w:color="auto"/>
            </w:tcBorders>
          </w:tcPr>
          <w:p w14:paraId="2322D81C" w14:textId="77777777" w:rsidR="00474749" w:rsidRPr="00AD4260" w:rsidRDefault="00474749" w:rsidP="004D2A38">
            <w:pPr>
              <w:tabs>
                <w:tab w:val="left" w:pos="0"/>
              </w:tabs>
              <w:ind w:firstLine="0"/>
              <w:jc w:val="left"/>
              <w:rPr>
                <w:rFonts w:cs="Times New Roman"/>
                <w:sz w:val="20"/>
                <w:szCs w:val="20"/>
              </w:rPr>
            </w:pPr>
            <w:r w:rsidRPr="00AD4260">
              <w:rPr>
                <w:rFonts w:cs="Times New Roman"/>
                <w:sz w:val="20"/>
                <w:szCs w:val="20"/>
              </w:rPr>
              <w:t>Variable</w:t>
            </w:r>
          </w:p>
        </w:tc>
        <w:tc>
          <w:tcPr>
            <w:tcW w:w="1096" w:type="pct"/>
            <w:tcBorders>
              <w:bottom w:val="none" w:sz="0" w:space="0" w:color="auto"/>
            </w:tcBorders>
            <w:shd w:val="clear" w:color="auto" w:fill="auto"/>
          </w:tcPr>
          <w:p w14:paraId="0AC97E18" w14:textId="77777777" w:rsidR="00474749" w:rsidRPr="00AD4260" w:rsidRDefault="00474749" w:rsidP="004D2A38">
            <w:pPr>
              <w:tabs>
                <w:tab w:val="left" w:pos="0"/>
              </w:tabs>
              <w:ind w:firstLine="0"/>
              <w:jc w:val="left"/>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AD4260">
              <w:rPr>
                <w:rFonts w:cs="Times New Roman"/>
                <w:sz w:val="20"/>
                <w:szCs w:val="20"/>
              </w:rPr>
              <w:t xml:space="preserve"> Name</w:t>
            </w:r>
          </w:p>
        </w:tc>
        <w:tc>
          <w:tcPr>
            <w:tcW w:w="3328" w:type="pct"/>
            <w:tcBorders>
              <w:bottom w:val="none" w:sz="0" w:space="0" w:color="auto"/>
            </w:tcBorders>
            <w:shd w:val="clear" w:color="auto" w:fill="auto"/>
          </w:tcPr>
          <w:p w14:paraId="6EF722FA" w14:textId="77777777" w:rsidR="00474749" w:rsidRPr="00AD4260" w:rsidRDefault="00474749" w:rsidP="004D2A38">
            <w:pPr>
              <w:tabs>
                <w:tab w:val="left" w:pos="0"/>
              </w:tabs>
              <w:ind w:firstLine="0"/>
              <w:jc w:val="left"/>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AD4260">
              <w:rPr>
                <w:rFonts w:cs="Times New Roman"/>
                <w:sz w:val="20"/>
                <w:szCs w:val="20"/>
              </w:rPr>
              <w:t>Proxy</w:t>
            </w:r>
          </w:p>
        </w:tc>
      </w:tr>
      <w:tr w:rsidR="00474749" w:rsidRPr="00AD4260" w14:paraId="7983B0BD" w14:textId="77777777" w:rsidTr="00E25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pct"/>
            <w:tcBorders>
              <w:top w:val="none" w:sz="0" w:space="0" w:color="auto"/>
              <w:bottom w:val="none" w:sz="0" w:space="0" w:color="auto"/>
            </w:tcBorders>
            <w:vAlign w:val="center"/>
          </w:tcPr>
          <w:p w14:paraId="692B67CA" w14:textId="77777777" w:rsidR="00474749" w:rsidRPr="00AD4260" w:rsidRDefault="00474749" w:rsidP="004D2A38">
            <w:pPr>
              <w:tabs>
                <w:tab w:val="left" w:pos="0"/>
              </w:tabs>
              <w:ind w:firstLine="0"/>
              <w:jc w:val="left"/>
              <w:rPr>
                <w:rFonts w:cs="Times New Roman"/>
                <w:b w:val="0"/>
                <w:sz w:val="20"/>
                <w:szCs w:val="20"/>
              </w:rPr>
            </w:pPr>
            <w:r w:rsidRPr="00AD4260">
              <w:rPr>
                <w:rFonts w:cs="Times New Roman"/>
                <w:b w:val="0"/>
                <w:sz w:val="20"/>
                <w:szCs w:val="20"/>
              </w:rPr>
              <w:t>CTQ</w:t>
            </w:r>
            <w:r w:rsidRPr="00AD4260">
              <w:rPr>
                <w:rFonts w:cs="Times New Roman"/>
                <w:b w:val="0"/>
                <w:sz w:val="20"/>
                <w:szCs w:val="20"/>
                <w:vertAlign w:val="subscript"/>
              </w:rPr>
              <w:t>(</w:t>
            </w:r>
            <w:proofErr w:type="spellStart"/>
            <w:r w:rsidRPr="00AD4260">
              <w:rPr>
                <w:rFonts w:cs="Times New Roman"/>
                <w:b w:val="0"/>
                <w:sz w:val="20"/>
                <w:szCs w:val="20"/>
                <w:vertAlign w:val="subscript"/>
              </w:rPr>
              <w:t>t+i</w:t>
            </w:r>
            <w:proofErr w:type="spellEnd"/>
            <w:r w:rsidRPr="00AD4260">
              <w:rPr>
                <w:rFonts w:cs="Times New Roman"/>
                <w:b w:val="0"/>
                <w:sz w:val="20"/>
                <w:szCs w:val="20"/>
                <w:vertAlign w:val="subscript"/>
              </w:rPr>
              <w:t>)</w:t>
            </w:r>
          </w:p>
        </w:tc>
        <w:tc>
          <w:tcPr>
            <w:tcW w:w="1096" w:type="pct"/>
            <w:tcBorders>
              <w:top w:val="none" w:sz="0" w:space="0" w:color="auto"/>
              <w:bottom w:val="none" w:sz="0" w:space="0" w:color="auto"/>
            </w:tcBorders>
            <w:vAlign w:val="center"/>
          </w:tcPr>
          <w:p w14:paraId="413993BD" w14:textId="77777777" w:rsidR="00474749" w:rsidRPr="00AD4260" w:rsidRDefault="00474749" w:rsidP="004D2A38">
            <w:pPr>
              <w:tabs>
                <w:tab w:val="left" w:pos="0"/>
              </w:tabs>
              <w:ind w:firstLin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AD4260">
              <w:rPr>
                <w:rFonts w:cs="Times New Roman"/>
                <w:sz w:val="20"/>
                <w:szCs w:val="20"/>
              </w:rPr>
              <w:t>Change in Tobin’s Q ratio</w:t>
            </w:r>
          </w:p>
        </w:tc>
        <w:tc>
          <w:tcPr>
            <w:tcW w:w="3328" w:type="pct"/>
            <w:tcBorders>
              <w:top w:val="none" w:sz="0" w:space="0" w:color="auto"/>
              <w:bottom w:val="none" w:sz="0" w:space="0" w:color="auto"/>
            </w:tcBorders>
            <w:vAlign w:val="center"/>
          </w:tcPr>
          <w:p w14:paraId="58E58DF4" w14:textId="77777777" w:rsidR="00474749" w:rsidRPr="00AD4260" w:rsidRDefault="00F83847" w:rsidP="004D2A38">
            <w:pPr>
              <w:tabs>
                <w:tab w:val="left" w:pos="0"/>
              </w:tabs>
              <w:ind w:firstLin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m:oMathPara>
              <m:oMathParaPr>
                <m:jc m:val="left"/>
              </m:oMathParaPr>
              <m:oMath>
                <m:d>
                  <m:dPr>
                    <m:ctrlPr>
                      <w:rPr>
                        <w:rFonts w:ascii="Cambria Math" w:hAnsi="Cambria Math" w:cs="Times New Roman"/>
                        <w:sz w:val="20"/>
                        <w:szCs w:val="20"/>
                      </w:rPr>
                    </m:ctrlPr>
                  </m:dPr>
                  <m:e>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Market capitalization</m:t>
                            </m:r>
                          </m:e>
                          <m:sub>
                            <m:d>
                              <m:dPr>
                                <m:ctrlPr>
                                  <w:rPr>
                                    <w:rFonts w:ascii="Cambria Math" w:hAnsi="Cambria Math" w:cs="Times New Roman"/>
                                    <w:sz w:val="20"/>
                                    <w:szCs w:val="20"/>
                                  </w:rPr>
                                </m:ctrlPr>
                              </m:dPr>
                              <m:e>
                                <m:r>
                                  <m:rPr>
                                    <m:sty m:val="p"/>
                                  </m:rPr>
                                  <w:rPr>
                                    <w:rFonts w:ascii="Cambria Math" w:hAnsi="Cambria Math" w:cs="Times New Roman"/>
                                    <w:sz w:val="20"/>
                                    <w:szCs w:val="20"/>
                                  </w:rPr>
                                  <m:t>t+i</m:t>
                                </m:r>
                              </m:e>
                            </m:d>
                          </m:sub>
                        </m:sSub>
                      </m:num>
                      <m:den>
                        <m:sSub>
                          <m:sSubPr>
                            <m:ctrlPr>
                              <w:rPr>
                                <w:rFonts w:ascii="Cambria Math" w:hAnsi="Cambria Math" w:cs="Times New Roman"/>
                                <w:sz w:val="20"/>
                                <w:szCs w:val="20"/>
                              </w:rPr>
                            </m:ctrlPr>
                          </m:sSubPr>
                          <m:e>
                            <m:r>
                              <m:rPr>
                                <m:sty m:val="p"/>
                              </m:rPr>
                              <w:rPr>
                                <w:rFonts w:ascii="Cambria Math" w:hAnsi="Cambria Math" w:cs="Times New Roman"/>
                                <w:sz w:val="20"/>
                                <w:szCs w:val="20"/>
                              </w:rPr>
                              <m:t>Total assets</m:t>
                            </m:r>
                          </m:e>
                          <m:sub>
                            <m:d>
                              <m:dPr>
                                <m:ctrlPr>
                                  <w:rPr>
                                    <w:rFonts w:ascii="Cambria Math" w:hAnsi="Cambria Math" w:cs="Times New Roman"/>
                                    <w:sz w:val="20"/>
                                    <w:szCs w:val="20"/>
                                  </w:rPr>
                                </m:ctrlPr>
                              </m:dPr>
                              <m:e>
                                <m:r>
                                  <m:rPr>
                                    <m:sty m:val="p"/>
                                  </m:rPr>
                                  <w:rPr>
                                    <w:rFonts w:ascii="Cambria Math" w:hAnsi="Cambria Math" w:cs="Times New Roman"/>
                                    <w:sz w:val="20"/>
                                    <w:szCs w:val="20"/>
                                  </w:rPr>
                                  <m:t>t+i</m:t>
                                </m:r>
                              </m:e>
                            </m:d>
                          </m:sub>
                        </m:sSub>
                      </m:den>
                    </m:f>
                    <m:r>
                      <m:rPr>
                        <m:sty m:val="p"/>
                      </m:rPr>
                      <w:rPr>
                        <w:rFonts w:ascii="Cambria Math" w:hAnsi="Cambria Math" w:cs="Times New Roman"/>
                        <w:sz w:val="20"/>
                        <w:szCs w:val="20"/>
                      </w:rPr>
                      <m:t xml:space="preserve"> ÷ </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Market capitalization</m:t>
                            </m:r>
                          </m:e>
                          <m:sub>
                            <m:d>
                              <m:dPr>
                                <m:ctrlPr>
                                  <w:rPr>
                                    <w:rFonts w:ascii="Cambria Math" w:hAnsi="Cambria Math" w:cs="Times New Roman"/>
                                    <w:sz w:val="20"/>
                                    <w:szCs w:val="20"/>
                                  </w:rPr>
                                </m:ctrlPr>
                              </m:dPr>
                              <m:e>
                                <m:r>
                                  <m:rPr>
                                    <m:sty m:val="p"/>
                                  </m:rPr>
                                  <w:rPr>
                                    <w:rFonts w:ascii="Cambria Math" w:hAnsi="Cambria Math" w:cs="Times New Roman"/>
                                    <w:sz w:val="20"/>
                                    <w:szCs w:val="20"/>
                                  </w:rPr>
                                  <m:t>t-1</m:t>
                                </m:r>
                              </m:e>
                            </m:d>
                          </m:sub>
                        </m:sSub>
                      </m:num>
                      <m:den>
                        <m:sSub>
                          <m:sSubPr>
                            <m:ctrlPr>
                              <w:rPr>
                                <w:rFonts w:ascii="Cambria Math" w:hAnsi="Cambria Math" w:cs="Times New Roman"/>
                                <w:sz w:val="20"/>
                                <w:szCs w:val="20"/>
                              </w:rPr>
                            </m:ctrlPr>
                          </m:sSubPr>
                          <m:e>
                            <m:r>
                              <m:rPr>
                                <m:sty m:val="p"/>
                              </m:rPr>
                              <w:rPr>
                                <w:rFonts w:ascii="Cambria Math" w:hAnsi="Cambria Math" w:cs="Times New Roman"/>
                                <w:sz w:val="20"/>
                                <w:szCs w:val="20"/>
                              </w:rPr>
                              <m:t>Total assets</m:t>
                            </m:r>
                          </m:e>
                          <m:sub>
                            <m:d>
                              <m:dPr>
                                <m:ctrlPr>
                                  <w:rPr>
                                    <w:rFonts w:ascii="Cambria Math" w:hAnsi="Cambria Math" w:cs="Times New Roman"/>
                                    <w:sz w:val="20"/>
                                    <w:szCs w:val="20"/>
                                  </w:rPr>
                                </m:ctrlPr>
                              </m:dPr>
                              <m:e>
                                <m:r>
                                  <m:rPr>
                                    <m:sty m:val="p"/>
                                  </m:rPr>
                                  <w:rPr>
                                    <w:rFonts w:ascii="Cambria Math" w:hAnsi="Cambria Math" w:cs="Times New Roman"/>
                                    <w:sz w:val="20"/>
                                    <w:szCs w:val="20"/>
                                  </w:rPr>
                                  <m:t>t-1</m:t>
                                </m:r>
                              </m:e>
                            </m:d>
                          </m:sub>
                        </m:sSub>
                      </m:den>
                    </m:f>
                    <m:r>
                      <m:rPr>
                        <m:sty m:val="p"/>
                      </m:rPr>
                      <w:rPr>
                        <w:rFonts w:ascii="Cambria Math" w:hAnsi="Cambria Math" w:cs="Times New Roman"/>
                        <w:sz w:val="20"/>
                        <w:szCs w:val="20"/>
                      </w:rPr>
                      <m:t>-1</m:t>
                    </m:r>
                  </m:e>
                </m:d>
                <m:r>
                  <m:rPr>
                    <m:sty m:val="p"/>
                  </m:rPr>
                  <w:rPr>
                    <w:rFonts w:ascii="Cambria Math" w:hAnsi="Cambria Math" w:cs="Times New Roman"/>
                    <w:sz w:val="20"/>
                    <w:szCs w:val="20"/>
                  </w:rPr>
                  <m:t>×100</m:t>
                </m:r>
              </m:oMath>
            </m:oMathPara>
          </w:p>
        </w:tc>
      </w:tr>
      <w:tr w:rsidR="00474749" w:rsidRPr="00AD4260" w14:paraId="03EE9553" w14:textId="77777777" w:rsidTr="00E256DB">
        <w:tc>
          <w:tcPr>
            <w:cnfStyle w:val="001000000000" w:firstRow="0" w:lastRow="0" w:firstColumn="1" w:lastColumn="0" w:oddVBand="0" w:evenVBand="0" w:oddHBand="0" w:evenHBand="0" w:firstRowFirstColumn="0" w:firstRowLastColumn="0" w:lastRowFirstColumn="0" w:lastRowLastColumn="0"/>
            <w:tcW w:w="576" w:type="pct"/>
            <w:vAlign w:val="center"/>
          </w:tcPr>
          <w:p w14:paraId="4C204077" w14:textId="66B38212" w:rsidR="00474749" w:rsidRPr="00AD4260" w:rsidRDefault="00156FEE" w:rsidP="004D2A38">
            <w:pPr>
              <w:tabs>
                <w:tab w:val="left" w:pos="0"/>
              </w:tabs>
              <w:ind w:firstLine="0"/>
              <w:jc w:val="left"/>
              <w:rPr>
                <w:rFonts w:cs="Times New Roman"/>
                <w:b w:val="0"/>
                <w:sz w:val="20"/>
                <w:szCs w:val="20"/>
              </w:rPr>
            </w:pPr>
            <w:r>
              <w:rPr>
                <w:rFonts w:cs="Times New Roman"/>
                <w:b w:val="0"/>
                <w:sz w:val="20"/>
                <w:szCs w:val="20"/>
              </w:rPr>
              <w:t>WCD</w:t>
            </w:r>
            <w:r w:rsidR="00474749" w:rsidRPr="00AD4260">
              <w:rPr>
                <w:rFonts w:cs="Times New Roman"/>
                <w:b w:val="0"/>
                <w:sz w:val="20"/>
                <w:szCs w:val="20"/>
                <w:vertAlign w:val="subscript"/>
              </w:rPr>
              <w:t>(</w:t>
            </w:r>
            <w:proofErr w:type="spellStart"/>
            <w:r w:rsidR="00474749" w:rsidRPr="00AD4260">
              <w:rPr>
                <w:rFonts w:cs="Times New Roman"/>
                <w:b w:val="0"/>
                <w:sz w:val="20"/>
                <w:szCs w:val="20"/>
                <w:vertAlign w:val="subscript"/>
              </w:rPr>
              <w:t>t+i</w:t>
            </w:r>
            <w:proofErr w:type="spellEnd"/>
            <w:r w:rsidR="00474749" w:rsidRPr="00AD4260">
              <w:rPr>
                <w:rFonts w:cs="Times New Roman"/>
                <w:b w:val="0"/>
                <w:sz w:val="20"/>
                <w:szCs w:val="20"/>
                <w:vertAlign w:val="subscript"/>
              </w:rPr>
              <w:t>)</w:t>
            </w:r>
          </w:p>
        </w:tc>
        <w:tc>
          <w:tcPr>
            <w:tcW w:w="1096" w:type="pct"/>
            <w:vAlign w:val="center"/>
          </w:tcPr>
          <w:p w14:paraId="0C55EE2D" w14:textId="52367347" w:rsidR="00474749" w:rsidRPr="00AD4260" w:rsidRDefault="00156FEE" w:rsidP="004D2A38">
            <w:pPr>
              <w:tabs>
                <w:tab w:val="left" w:pos="0"/>
              </w:tabs>
              <w:ind w:firstLin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Working capital deficit</w:t>
            </w:r>
          </w:p>
        </w:tc>
        <w:tc>
          <w:tcPr>
            <w:tcW w:w="3328" w:type="pct"/>
            <w:vAlign w:val="center"/>
          </w:tcPr>
          <w:p w14:paraId="579ED8C3" w14:textId="12B25B9B" w:rsidR="00474749" w:rsidRPr="00AD4260" w:rsidRDefault="00F83847" w:rsidP="004D2A38">
            <w:pPr>
              <w:tabs>
                <w:tab w:val="left" w:pos="0"/>
              </w:tabs>
              <w:ind w:firstLin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m:oMathPara>
              <m:oMathParaPr>
                <m:jc m:val="left"/>
              </m:oMathParaPr>
              <m:oMath>
                <m:d>
                  <m:dPr>
                    <m:ctrlPr>
                      <w:rPr>
                        <w:rFonts w:ascii="Cambria Math" w:hAnsi="Cambria Math" w:cs="Times New Roman"/>
                        <w:sz w:val="20"/>
                        <w:szCs w:val="20"/>
                      </w:rPr>
                    </m:ctrlPr>
                  </m:dPr>
                  <m:e>
                    <m:d>
                      <m:dPr>
                        <m:ctrlPr>
                          <w:rPr>
                            <w:rFonts w:ascii="Cambria Math" w:hAnsi="Cambria Math" w:cs="Times New Roman"/>
                            <w:sz w:val="20"/>
                            <w:szCs w:val="20"/>
                          </w:rPr>
                        </m:ctrlPr>
                      </m:dPr>
                      <m:e>
                        <m:r>
                          <w:rPr>
                            <w:rFonts w:ascii="Cambria Math" w:hAnsi="Cambria Math" w:cs="Times New Roman"/>
                            <w:sz w:val="20"/>
                            <w:szCs w:val="20"/>
                          </w:rPr>
                          <m:t>T_WC-</m:t>
                        </m:r>
                        <m:d>
                          <m:dPr>
                            <m:begChr m:val=""/>
                            <m:endChr m:val=""/>
                            <m:ctrlPr>
                              <w:rPr>
                                <w:rFonts w:ascii="Cambria Math" w:hAnsi="Cambria Math" w:cs="Times New Roman"/>
                                <w:sz w:val="20"/>
                                <w:szCs w:val="20"/>
                              </w:rPr>
                            </m:ctrlPr>
                          </m:dPr>
                          <m:e>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Current assets</m:t>
                                    </m:r>
                                  </m:e>
                                  <m:sub>
                                    <m:d>
                                      <m:dPr>
                                        <m:ctrlPr>
                                          <w:rPr>
                                            <w:rFonts w:ascii="Cambria Math" w:hAnsi="Cambria Math" w:cs="Times New Roman"/>
                                            <w:sz w:val="20"/>
                                            <w:szCs w:val="20"/>
                                          </w:rPr>
                                        </m:ctrlPr>
                                      </m:dPr>
                                      <m:e>
                                        <m:r>
                                          <m:rPr>
                                            <m:sty m:val="p"/>
                                          </m:rPr>
                                          <w:rPr>
                                            <w:rFonts w:ascii="Cambria Math" w:hAnsi="Cambria Math" w:cs="Times New Roman"/>
                                            <w:sz w:val="20"/>
                                            <w:szCs w:val="20"/>
                                          </w:rPr>
                                          <m:t>t+i</m:t>
                                        </m:r>
                                      </m:e>
                                    </m:d>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Current liabilities</m:t>
                                    </m:r>
                                  </m:e>
                                  <m:sub>
                                    <m:r>
                                      <m:rPr>
                                        <m:sty m:val="p"/>
                                      </m:rPr>
                                      <w:rPr>
                                        <w:rFonts w:ascii="Cambria Math" w:hAnsi="Cambria Math" w:cs="Times New Roman"/>
                                        <w:sz w:val="20"/>
                                        <w:szCs w:val="20"/>
                                      </w:rPr>
                                      <m:t>(t+i)</m:t>
                                    </m:r>
                                  </m:sub>
                                </m:sSub>
                              </m:num>
                              <m:den>
                                <m:sSub>
                                  <m:sSubPr>
                                    <m:ctrlPr>
                                      <w:rPr>
                                        <w:rFonts w:ascii="Cambria Math" w:hAnsi="Cambria Math" w:cs="Times New Roman"/>
                                        <w:sz w:val="20"/>
                                        <w:szCs w:val="20"/>
                                      </w:rPr>
                                    </m:ctrlPr>
                                  </m:sSubPr>
                                  <m:e>
                                    <m:r>
                                      <m:rPr>
                                        <m:sty m:val="p"/>
                                      </m:rPr>
                                      <w:rPr>
                                        <w:rFonts w:ascii="Cambria Math" w:hAnsi="Cambria Math" w:cs="Times New Roman"/>
                                        <w:sz w:val="20"/>
                                        <w:szCs w:val="20"/>
                                      </w:rPr>
                                      <m:t>Total assets</m:t>
                                    </m:r>
                                  </m:e>
                                  <m:sub>
                                    <m:d>
                                      <m:dPr>
                                        <m:ctrlPr>
                                          <w:rPr>
                                            <w:rFonts w:ascii="Cambria Math" w:hAnsi="Cambria Math" w:cs="Times New Roman"/>
                                            <w:sz w:val="20"/>
                                            <w:szCs w:val="20"/>
                                          </w:rPr>
                                        </m:ctrlPr>
                                      </m:dPr>
                                      <m:e>
                                        <m:r>
                                          <m:rPr>
                                            <m:sty m:val="p"/>
                                          </m:rPr>
                                          <w:rPr>
                                            <w:rFonts w:ascii="Cambria Math" w:hAnsi="Cambria Math" w:cs="Times New Roman"/>
                                            <w:sz w:val="20"/>
                                            <w:szCs w:val="20"/>
                                          </w:rPr>
                                          <m:t>t+i</m:t>
                                        </m:r>
                                      </m:e>
                                    </m:d>
                                  </m:sub>
                                </m:sSub>
                              </m:den>
                            </m:f>
                            <m:r>
                              <m:rPr>
                                <m:sty m:val="p"/>
                              </m:rPr>
                              <w:rPr>
                                <w:rFonts w:ascii="Cambria Math" w:hAnsi="Cambria Math" w:cs="Times New Roman"/>
                                <w:sz w:val="20"/>
                                <w:szCs w:val="20"/>
                              </w:rPr>
                              <m:t xml:space="preserve"> ×100</m:t>
                            </m:r>
                          </m:e>
                        </m:d>
                      </m:e>
                    </m:d>
                    <m:r>
                      <w:rPr>
                        <w:rFonts w:ascii="Cambria Math" w:hAnsi="Cambria Math" w:cs="Times New Roman"/>
                        <w:sz w:val="20"/>
                        <w:szCs w:val="20"/>
                      </w:rPr>
                      <m:t>÷T_WC</m:t>
                    </m:r>
                  </m:e>
                </m:d>
                <m:r>
                  <w:rPr>
                    <w:rFonts w:ascii="Cambria Math" w:hAnsi="Cambria Math" w:cs="Times New Roman"/>
                    <w:sz w:val="20"/>
                    <w:szCs w:val="20"/>
                  </w:rPr>
                  <m:t>×100</m:t>
                </m:r>
              </m:oMath>
            </m:oMathPara>
          </w:p>
        </w:tc>
      </w:tr>
      <w:tr w:rsidR="00474749" w:rsidRPr="00AD4260" w14:paraId="79D9DF04" w14:textId="77777777" w:rsidTr="00E25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pct"/>
            <w:tcBorders>
              <w:top w:val="none" w:sz="0" w:space="0" w:color="auto"/>
              <w:bottom w:val="none" w:sz="0" w:space="0" w:color="auto"/>
            </w:tcBorders>
            <w:vAlign w:val="center"/>
          </w:tcPr>
          <w:p w14:paraId="72E33484" w14:textId="77777777" w:rsidR="00474749" w:rsidRPr="00AD4260" w:rsidRDefault="00474749" w:rsidP="004D2A38">
            <w:pPr>
              <w:tabs>
                <w:tab w:val="left" w:pos="0"/>
              </w:tabs>
              <w:ind w:firstLine="0"/>
              <w:jc w:val="left"/>
              <w:rPr>
                <w:rFonts w:cs="Times New Roman"/>
                <w:b w:val="0"/>
                <w:sz w:val="20"/>
                <w:szCs w:val="20"/>
              </w:rPr>
            </w:pPr>
            <w:r w:rsidRPr="00AD4260">
              <w:rPr>
                <w:rFonts w:cs="Times New Roman"/>
                <w:b w:val="0"/>
                <w:sz w:val="20"/>
                <w:szCs w:val="20"/>
              </w:rPr>
              <w:t>DS</w:t>
            </w:r>
            <w:r w:rsidRPr="00AD4260">
              <w:rPr>
                <w:rFonts w:cs="Times New Roman"/>
                <w:b w:val="0"/>
                <w:sz w:val="20"/>
                <w:szCs w:val="20"/>
                <w:vertAlign w:val="subscript"/>
              </w:rPr>
              <w:t>(t-1)</w:t>
            </w:r>
            <w:r w:rsidRPr="00AD4260">
              <w:rPr>
                <w:rFonts w:cs="Times New Roman"/>
                <w:b w:val="0"/>
                <w:sz w:val="20"/>
                <w:szCs w:val="20"/>
              </w:rPr>
              <w:t xml:space="preserve">  </w:t>
            </w:r>
          </w:p>
        </w:tc>
        <w:tc>
          <w:tcPr>
            <w:tcW w:w="1096" w:type="pct"/>
            <w:tcBorders>
              <w:top w:val="none" w:sz="0" w:space="0" w:color="auto"/>
              <w:bottom w:val="none" w:sz="0" w:space="0" w:color="auto"/>
            </w:tcBorders>
            <w:vAlign w:val="center"/>
          </w:tcPr>
          <w:p w14:paraId="1162A1F8" w14:textId="77777777" w:rsidR="00474749" w:rsidRPr="00AD4260" w:rsidRDefault="00474749" w:rsidP="004D2A38">
            <w:pPr>
              <w:tabs>
                <w:tab w:val="left" w:pos="0"/>
              </w:tabs>
              <w:ind w:firstLin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AD4260">
              <w:rPr>
                <w:rFonts w:cs="Times New Roman"/>
                <w:sz w:val="20"/>
                <w:szCs w:val="20"/>
              </w:rPr>
              <w:t>Deal size</w:t>
            </w:r>
          </w:p>
        </w:tc>
        <w:tc>
          <w:tcPr>
            <w:tcW w:w="3328" w:type="pct"/>
            <w:tcBorders>
              <w:top w:val="none" w:sz="0" w:space="0" w:color="auto"/>
              <w:bottom w:val="none" w:sz="0" w:space="0" w:color="auto"/>
            </w:tcBorders>
            <w:vAlign w:val="center"/>
          </w:tcPr>
          <w:p w14:paraId="0FEC5DDF" w14:textId="77777777" w:rsidR="00474749" w:rsidRPr="00AD4260" w:rsidRDefault="00F83847" w:rsidP="004D2A38">
            <w:pPr>
              <w:tabs>
                <w:tab w:val="left" w:pos="0"/>
              </w:tabs>
              <w:ind w:firstLin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m:oMathPara>
              <m:oMathParaPr>
                <m:jc m:val="left"/>
              </m:oMathParaPr>
              <m:oMath>
                <m:func>
                  <m:funcPr>
                    <m:ctrlPr>
                      <w:rPr>
                        <w:rFonts w:ascii="Cambria Math" w:hAnsi="Cambria Math" w:cs="Times New Roman"/>
                        <w:sz w:val="20"/>
                        <w:szCs w:val="20"/>
                      </w:rPr>
                    </m:ctrlPr>
                  </m:funcPr>
                  <m:fName>
                    <m:r>
                      <m:rPr>
                        <m:sty m:val="p"/>
                      </m:rPr>
                      <w:rPr>
                        <w:rFonts w:ascii="Cambria Math" w:hAnsi="Cambria Math" w:cs="Times New Roman"/>
                        <w:sz w:val="20"/>
                        <w:szCs w:val="20"/>
                      </w:rPr>
                      <m:t>ln</m:t>
                    </m:r>
                  </m:fName>
                  <m:e>
                    <m:r>
                      <m:rPr>
                        <m:sty m:val="p"/>
                      </m:rPr>
                      <w:rPr>
                        <w:rFonts w:ascii="Cambria Math" w:hAnsi="Cambria Math" w:cs="Times New Roman"/>
                        <w:sz w:val="20"/>
                        <w:szCs w:val="20"/>
                      </w:rPr>
                      <m:t>(Deal value in USD)</m:t>
                    </m:r>
                  </m:e>
                </m:func>
              </m:oMath>
            </m:oMathPara>
          </w:p>
        </w:tc>
      </w:tr>
      <w:tr w:rsidR="00474749" w:rsidRPr="00AD4260" w14:paraId="2EC4EFF2" w14:textId="77777777" w:rsidTr="00E256DB">
        <w:tc>
          <w:tcPr>
            <w:cnfStyle w:val="001000000000" w:firstRow="0" w:lastRow="0" w:firstColumn="1" w:lastColumn="0" w:oddVBand="0" w:evenVBand="0" w:oddHBand="0" w:evenHBand="0" w:firstRowFirstColumn="0" w:firstRowLastColumn="0" w:lastRowFirstColumn="0" w:lastRowLastColumn="0"/>
            <w:tcW w:w="576" w:type="pct"/>
            <w:vAlign w:val="center"/>
          </w:tcPr>
          <w:p w14:paraId="364DA6B2" w14:textId="77777777" w:rsidR="00474749" w:rsidRPr="00AD4260" w:rsidRDefault="00474749" w:rsidP="004D2A38">
            <w:pPr>
              <w:tabs>
                <w:tab w:val="left" w:pos="0"/>
              </w:tabs>
              <w:ind w:firstLine="0"/>
              <w:jc w:val="left"/>
              <w:rPr>
                <w:rFonts w:cs="Times New Roman"/>
                <w:b w:val="0"/>
                <w:sz w:val="20"/>
                <w:szCs w:val="20"/>
              </w:rPr>
            </w:pPr>
            <w:r w:rsidRPr="00AD4260">
              <w:rPr>
                <w:rFonts w:cs="Times New Roman"/>
                <w:b w:val="0"/>
                <w:sz w:val="20"/>
                <w:szCs w:val="20"/>
              </w:rPr>
              <w:t>IS</w:t>
            </w:r>
            <w:r w:rsidRPr="00AD4260">
              <w:rPr>
                <w:rFonts w:cs="Times New Roman"/>
                <w:b w:val="0"/>
                <w:sz w:val="20"/>
                <w:szCs w:val="20"/>
                <w:vertAlign w:val="subscript"/>
              </w:rPr>
              <w:t>(t-1)</w:t>
            </w:r>
            <w:r w:rsidRPr="00AD4260">
              <w:rPr>
                <w:rFonts w:cs="Times New Roman"/>
                <w:b w:val="0"/>
                <w:sz w:val="20"/>
                <w:szCs w:val="20"/>
              </w:rPr>
              <w:t xml:space="preserve">  </w:t>
            </w:r>
          </w:p>
        </w:tc>
        <w:tc>
          <w:tcPr>
            <w:tcW w:w="1096" w:type="pct"/>
            <w:vAlign w:val="center"/>
          </w:tcPr>
          <w:p w14:paraId="5C00D972" w14:textId="77777777" w:rsidR="00474749" w:rsidRPr="00AD4260" w:rsidRDefault="00474749" w:rsidP="004D2A38">
            <w:pPr>
              <w:tabs>
                <w:tab w:val="left" w:pos="0"/>
              </w:tabs>
              <w:ind w:firstLin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D4260">
              <w:rPr>
                <w:rFonts w:cs="Times New Roman"/>
                <w:sz w:val="20"/>
                <w:szCs w:val="20"/>
              </w:rPr>
              <w:t>Industry similarity</w:t>
            </w:r>
          </w:p>
        </w:tc>
        <w:tc>
          <w:tcPr>
            <w:tcW w:w="3328" w:type="pct"/>
            <w:vAlign w:val="center"/>
          </w:tcPr>
          <w:p w14:paraId="27A2E200" w14:textId="77777777" w:rsidR="00474749" w:rsidRPr="00AD4260" w:rsidRDefault="00474749" w:rsidP="004D2A38">
            <w:pPr>
              <w:tabs>
                <w:tab w:val="left" w:pos="0"/>
              </w:tabs>
              <w:ind w:firstLin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D4260">
              <w:rPr>
                <w:rFonts w:cs="Times New Roman"/>
                <w:sz w:val="20"/>
                <w:szCs w:val="20"/>
              </w:rPr>
              <w:t>First two digits of NAICS 2017 code: 1 – first two digits are the same, 0 – for unequal digits.</w:t>
            </w:r>
          </w:p>
        </w:tc>
      </w:tr>
      <w:tr w:rsidR="00474749" w:rsidRPr="00AD4260" w14:paraId="42EF230A" w14:textId="77777777" w:rsidTr="00E25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pct"/>
            <w:tcBorders>
              <w:top w:val="none" w:sz="0" w:space="0" w:color="auto"/>
              <w:bottom w:val="none" w:sz="0" w:space="0" w:color="auto"/>
            </w:tcBorders>
            <w:vAlign w:val="center"/>
          </w:tcPr>
          <w:p w14:paraId="5435D780" w14:textId="77777777" w:rsidR="00474749" w:rsidRPr="00AD4260" w:rsidRDefault="00474749" w:rsidP="004D2A38">
            <w:pPr>
              <w:tabs>
                <w:tab w:val="left" w:pos="0"/>
              </w:tabs>
              <w:ind w:firstLine="0"/>
              <w:jc w:val="left"/>
              <w:rPr>
                <w:rFonts w:cs="Times New Roman"/>
                <w:b w:val="0"/>
                <w:sz w:val="20"/>
                <w:szCs w:val="20"/>
              </w:rPr>
            </w:pPr>
            <w:r w:rsidRPr="00AD4260">
              <w:rPr>
                <w:rFonts w:cs="Times New Roman"/>
                <w:b w:val="0"/>
                <w:sz w:val="20"/>
                <w:szCs w:val="20"/>
              </w:rPr>
              <w:t>FT</w:t>
            </w:r>
            <w:r w:rsidRPr="00AD4260">
              <w:rPr>
                <w:rFonts w:cs="Times New Roman"/>
                <w:b w:val="0"/>
                <w:sz w:val="20"/>
                <w:szCs w:val="20"/>
                <w:vertAlign w:val="subscript"/>
              </w:rPr>
              <w:t>(t-1)</w:t>
            </w:r>
            <w:r w:rsidRPr="00AD4260">
              <w:rPr>
                <w:rFonts w:cs="Times New Roman"/>
                <w:b w:val="0"/>
                <w:sz w:val="20"/>
                <w:szCs w:val="20"/>
              </w:rPr>
              <w:t xml:space="preserve">  </w:t>
            </w:r>
          </w:p>
        </w:tc>
        <w:tc>
          <w:tcPr>
            <w:tcW w:w="1096" w:type="pct"/>
            <w:tcBorders>
              <w:top w:val="none" w:sz="0" w:space="0" w:color="auto"/>
              <w:bottom w:val="none" w:sz="0" w:space="0" w:color="auto"/>
            </w:tcBorders>
            <w:vAlign w:val="center"/>
          </w:tcPr>
          <w:p w14:paraId="3099395F" w14:textId="77777777" w:rsidR="00474749" w:rsidRPr="00AD4260" w:rsidRDefault="00474749" w:rsidP="004D2A38">
            <w:pPr>
              <w:tabs>
                <w:tab w:val="left" w:pos="0"/>
              </w:tabs>
              <w:ind w:firstLine="0"/>
              <w:jc w:val="left"/>
              <w:cnfStyle w:val="000000100000" w:firstRow="0" w:lastRow="0" w:firstColumn="0" w:lastColumn="0" w:oddVBand="0" w:evenVBand="0" w:oddHBand="1" w:evenHBand="0" w:firstRowFirstColumn="0" w:firstRowLastColumn="0" w:lastRowFirstColumn="0" w:lastRowLastColumn="0"/>
              <w:rPr>
                <w:rFonts w:cs="Times New Roman"/>
                <w:bCs/>
                <w:sz w:val="20"/>
                <w:szCs w:val="20"/>
              </w:rPr>
            </w:pPr>
            <w:r w:rsidRPr="00AD4260">
              <w:rPr>
                <w:rFonts w:cs="Times New Roman"/>
                <w:sz w:val="20"/>
                <w:szCs w:val="20"/>
              </w:rPr>
              <w:t>Financing type</w:t>
            </w:r>
          </w:p>
        </w:tc>
        <w:tc>
          <w:tcPr>
            <w:tcW w:w="3328" w:type="pct"/>
            <w:tcBorders>
              <w:top w:val="none" w:sz="0" w:space="0" w:color="auto"/>
              <w:bottom w:val="none" w:sz="0" w:space="0" w:color="auto"/>
            </w:tcBorders>
            <w:vAlign w:val="center"/>
          </w:tcPr>
          <w:p w14:paraId="013AAC42" w14:textId="77777777" w:rsidR="00474749" w:rsidRPr="00AD4260" w:rsidRDefault="00474749" w:rsidP="004D2A38">
            <w:pPr>
              <w:tabs>
                <w:tab w:val="left" w:pos="0"/>
              </w:tabs>
              <w:ind w:firstLin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AD4260">
              <w:rPr>
                <w:rFonts w:cs="Times New Roman"/>
                <w:sz w:val="20"/>
                <w:szCs w:val="20"/>
              </w:rPr>
              <w:t>1 – for cash; 2 – for stock; 3 – for mix</w:t>
            </w:r>
          </w:p>
        </w:tc>
      </w:tr>
      <w:tr w:rsidR="00474749" w:rsidRPr="00AD4260" w14:paraId="49A0E22A" w14:textId="77777777" w:rsidTr="00E256DB">
        <w:tc>
          <w:tcPr>
            <w:cnfStyle w:val="001000000000" w:firstRow="0" w:lastRow="0" w:firstColumn="1" w:lastColumn="0" w:oddVBand="0" w:evenVBand="0" w:oddHBand="0" w:evenHBand="0" w:firstRowFirstColumn="0" w:firstRowLastColumn="0" w:lastRowFirstColumn="0" w:lastRowLastColumn="0"/>
            <w:tcW w:w="576" w:type="pct"/>
            <w:vAlign w:val="center"/>
          </w:tcPr>
          <w:p w14:paraId="6B1FFFE9" w14:textId="77777777" w:rsidR="00474749" w:rsidRPr="00AD4260" w:rsidRDefault="00474749" w:rsidP="004D2A38">
            <w:pPr>
              <w:tabs>
                <w:tab w:val="left" w:pos="0"/>
              </w:tabs>
              <w:ind w:firstLine="0"/>
              <w:jc w:val="left"/>
              <w:rPr>
                <w:rFonts w:cs="Times New Roman"/>
                <w:b w:val="0"/>
                <w:sz w:val="20"/>
                <w:szCs w:val="20"/>
              </w:rPr>
            </w:pPr>
            <w:r w:rsidRPr="00AD4260">
              <w:rPr>
                <w:rFonts w:cs="Times New Roman"/>
                <w:b w:val="0"/>
                <w:sz w:val="20"/>
                <w:szCs w:val="20"/>
              </w:rPr>
              <w:t>CLR</w:t>
            </w:r>
            <w:r w:rsidRPr="00AD4260">
              <w:rPr>
                <w:rFonts w:cs="Times New Roman"/>
                <w:b w:val="0"/>
                <w:sz w:val="20"/>
                <w:szCs w:val="20"/>
                <w:vertAlign w:val="subscript"/>
              </w:rPr>
              <w:t>(</w:t>
            </w:r>
            <w:proofErr w:type="spellStart"/>
            <w:r w:rsidRPr="00AD4260">
              <w:rPr>
                <w:rFonts w:cs="Times New Roman"/>
                <w:b w:val="0"/>
                <w:sz w:val="20"/>
                <w:szCs w:val="20"/>
                <w:vertAlign w:val="subscript"/>
              </w:rPr>
              <w:t>t+i</w:t>
            </w:r>
            <w:proofErr w:type="spellEnd"/>
            <w:r w:rsidRPr="00AD4260">
              <w:rPr>
                <w:rFonts w:cs="Times New Roman"/>
                <w:b w:val="0"/>
                <w:sz w:val="20"/>
                <w:szCs w:val="20"/>
                <w:vertAlign w:val="subscript"/>
              </w:rPr>
              <w:t>)</w:t>
            </w:r>
          </w:p>
        </w:tc>
        <w:tc>
          <w:tcPr>
            <w:tcW w:w="1096" w:type="pct"/>
            <w:vAlign w:val="center"/>
          </w:tcPr>
          <w:p w14:paraId="45A98BAD" w14:textId="77777777" w:rsidR="00474749" w:rsidRPr="00AD4260" w:rsidRDefault="00474749" w:rsidP="004D2A38">
            <w:pPr>
              <w:tabs>
                <w:tab w:val="left" w:pos="0"/>
              </w:tabs>
              <w:ind w:firstLin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D4260">
              <w:rPr>
                <w:rFonts w:cs="Times New Roman"/>
                <w:sz w:val="20"/>
                <w:szCs w:val="20"/>
              </w:rPr>
              <w:t>Change in Leverage ratio</w:t>
            </w:r>
          </w:p>
        </w:tc>
        <w:tc>
          <w:tcPr>
            <w:tcW w:w="3328" w:type="pct"/>
            <w:vAlign w:val="center"/>
          </w:tcPr>
          <w:p w14:paraId="14603368" w14:textId="127147FD" w:rsidR="00474749" w:rsidRPr="00AD4260" w:rsidRDefault="00F83847" w:rsidP="004D2A38">
            <w:pPr>
              <w:tabs>
                <w:tab w:val="left" w:pos="0"/>
              </w:tabs>
              <w:ind w:firstLin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m:oMathPara>
              <m:oMathParaPr>
                <m:jc m:val="left"/>
              </m:oMathParaPr>
              <m:oMath>
                <m:d>
                  <m:dPr>
                    <m:ctrlPr>
                      <w:rPr>
                        <w:rFonts w:ascii="Cambria Math" w:hAnsi="Cambria Math" w:cs="Times New Roman"/>
                        <w:sz w:val="20"/>
                        <w:szCs w:val="20"/>
                      </w:rPr>
                    </m:ctrlPr>
                  </m:dPr>
                  <m:e>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Debt</m:t>
                            </m:r>
                          </m:e>
                          <m:sub>
                            <m:d>
                              <m:dPr>
                                <m:ctrlPr>
                                  <w:rPr>
                                    <w:rFonts w:ascii="Cambria Math" w:hAnsi="Cambria Math" w:cs="Times New Roman"/>
                                    <w:sz w:val="20"/>
                                    <w:szCs w:val="20"/>
                                  </w:rPr>
                                </m:ctrlPr>
                              </m:dPr>
                              <m:e>
                                <m:r>
                                  <m:rPr>
                                    <m:sty m:val="p"/>
                                  </m:rPr>
                                  <w:rPr>
                                    <w:rFonts w:ascii="Cambria Math" w:hAnsi="Cambria Math" w:cs="Times New Roman"/>
                                    <w:sz w:val="20"/>
                                    <w:szCs w:val="20"/>
                                  </w:rPr>
                                  <m:t>t+i</m:t>
                                </m:r>
                              </m:e>
                            </m:d>
                          </m:sub>
                        </m:sSub>
                      </m:num>
                      <m:den>
                        <m:sSub>
                          <m:sSubPr>
                            <m:ctrlPr>
                              <w:rPr>
                                <w:rFonts w:ascii="Cambria Math" w:hAnsi="Cambria Math" w:cs="Times New Roman"/>
                                <w:sz w:val="20"/>
                                <w:szCs w:val="20"/>
                              </w:rPr>
                            </m:ctrlPr>
                          </m:sSubPr>
                          <m:e>
                            <m:r>
                              <m:rPr>
                                <m:sty m:val="p"/>
                              </m:rPr>
                              <w:rPr>
                                <w:rFonts w:ascii="Cambria Math" w:hAnsi="Cambria Math" w:cs="Times New Roman"/>
                                <w:sz w:val="20"/>
                                <w:szCs w:val="20"/>
                              </w:rPr>
                              <m:t>Equity</m:t>
                            </m:r>
                          </m:e>
                          <m:sub>
                            <m:d>
                              <m:dPr>
                                <m:ctrlPr>
                                  <w:rPr>
                                    <w:rFonts w:ascii="Cambria Math" w:hAnsi="Cambria Math" w:cs="Times New Roman"/>
                                    <w:sz w:val="20"/>
                                    <w:szCs w:val="20"/>
                                  </w:rPr>
                                </m:ctrlPr>
                              </m:dPr>
                              <m:e>
                                <m:r>
                                  <m:rPr>
                                    <m:sty m:val="p"/>
                                  </m:rPr>
                                  <w:rPr>
                                    <w:rFonts w:ascii="Cambria Math" w:hAnsi="Cambria Math" w:cs="Times New Roman"/>
                                    <w:sz w:val="20"/>
                                    <w:szCs w:val="20"/>
                                  </w:rPr>
                                  <m:t>t+i</m:t>
                                </m:r>
                              </m:e>
                            </m:d>
                          </m:sub>
                        </m:sSub>
                      </m:den>
                    </m:f>
                    <m:r>
                      <m:rPr>
                        <m:sty m:val="p"/>
                      </m:rPr>
                      <w:rPr>
                        <w:rFonts w:ascii="Cambria Math" w:hAnsi="Cambria Math" w:cs="Times New Roman"/>
                        <w:sz w:val="20"/>
                        <w:szCs w:val="20"/>
                      </w:rPr>
                      <m:t xml:space="preserve"> ÷ </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Debt</m:t>
                            </m:r>
                          </m:e>
                          <m:sub>
                            <m:d>
                              <m:dPr>
                                <m:ctrlPr>
                                  <w:rPr>
                                    <w:rFonts w:ascii="Cambria Math" w:hAnsi="Cambria Math" w:cs="Times New Roman"/>
                                    <w:sz w:val="20"/>
                                    <w:szCs w:val="20"/>
                                  </w:rPr>
                                </m:ctrlPr>
                              </m:dPr>
                              <m:e>
                                <m:r>
                                  <m:rPr>
                                    <m:sty m:val="p"/>
                                  </m:rPr>
                                  <w:rPr>
                                    <w:rFonts w:ascii="Cambria Math" w:hAnsi="Cambria Math" w:cs="Times New Roman"/>
                                    <w:sz w:val="20"/>
                                    <w:szCs w:val="20"/>
                                  </w:rPr>
                                  <m:t>t-1</m:t>
                                </m:r>
                              </m:e>
                            </m:d>
                          </m:sub>
                        </m:sSub>
                      </m:num>
                      <m:den>
                        <m:sSub>
                          <m:sSubPr>
                            <m:ctrlPr>
                              <w:rPr>
                                <w:rFonts w:ascii="Cambria Math" w:hAnsi="Cambria Math" w:cs="Times New Roman"/>
                                <w:sz w:val="20"/>
                                <w:szCs w:val="20"/>
                              </w:rPr>
                            </m:ctrlPr>
                          </m:sSubPr>
                          <m:e>
                            <m:r>
                              <m:rPr>
                                <m:sty m:val="p"/>
                              </m:rPr>
                              <w:rPr>
                                <w:rFonts w:ascii="Cambria Math" w:hAnsi="Cambria Math" w:cs="Times New Roman"/>
                                <w:sz w:val="20"/>
                                <w:szCs w:val="20"/>
                              </w:rPr>
                              <m:t>Equity</m:t>
                            </m:r>
                          </m:e>
                          <m:sub>
                            <m:d>
                              <m:dPr>
                                <m:ctrlPr>
                                  <w:rPr>
                                    <w:rFonts w:ascii="Cambria Math" w:hAnsi="Cambria Math" w:cs="Times New Roman"/>
                                    <w:sz w:val="20"/>
                                    <w:szCs w:val="20"/>
                                  </w:rPr>
                                </m:ctrlPr>
                              </m:dPr>
                              <m:e>
                                <m:r>
                                  <m:rPr>
                                    <m:sty m:val="p"/>
                                  </m:rPr>
                                  <w:rPr>
                                    <w:rFonts w:ascii="Cambria Math" w:hAnsi="Cambria Math" w:cs="Times New Roman"/>
                                    <w:sz w:val="20"/>
                                    <w:szCs w:val="20"/>
                                  </w:rPr>
                                  <m:t>t-1</m:t>
                                </m:r>
                              </m:e>
                            </m:d>
                          </m:sub>
                        </m:sSub>
                      </m:den>
                    </m:f>
                    <m:r>
                      <m:rPr>
                        <m:sty m:val="p"/>
                      </m:rPr>
                      <w:rPr>
                        <w:rFonts w:ascii="Cambria Math" w:hAnsi="Cambria Math" w:cs="Times New Roman"/>
                        <w:sz w:val="20"/>
                        <w:szCs w:val="20"/>
                      </w:rPr>
                      <m:t>-1</m:t>
                    </m:r>
                  </m:e>
                </m:d>
                <m:r>
                  <m:rPr>
                    <m:sty m:val="p"/>
                  </m:rPr>
                  <w:rPr>
                    <w:rFonts w:ascii="Cambria Math" w:hAnsi="Cambria Math" w:cs="Times New Roman"/>
                    <w:sz w:val="20"/>
                    <w:szCs w:val="20"/>
                  </w:rPr>
                  <m:t>×100</m:t>
                </m:r>
              </m:oMath>
            </m:oMathPara>
          </w:p>
        </w:tc>
      </w:tr>
      <w:tr w:rsidR="00474749" w:rsidRPr="00AD4260" w14:paraId="79D1F3D8" w14:textId="77777777" w:rsidTr="00E25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pct"/>
            <w:tcBorders>
              <w:top w:val="none" w:sz="0" w:space="0" w:color="auto"/>
              <w:bottom w:val="none" w:sz="0" w:space="0" w:color="auto"/>
            </w:tcBorders>
            <w:vAlign w:val="center"/>
          </w:tcPr>
          <w:p w14:paraId="3C1146BD" w14:textId="77777777" w:rsidR="00474749" w:rsidRPr="00AD4260" w:rsidRDefault="00474749" w:rsidP="004D2A38">
            <w:pPr>
              <w:tabs>
                <w:tab w:val="left" w:pos="0"/>
              </w:tabs>
              <w:ind w:firstLine="0"/>
              <w:jc w:val="left"/>
              <w:rPr>
                <w:rFonts w:cs="Times New Roman"/>
                <w:b w:val="0"/>
                <w:sz w:val="20"/>
                <w:szCs w:val="20"/>
              </w:rPr>
            </w:pPr>
            <w:r w:rsidRPr="00AD4260">
              <w:rPr>
                <w:rFonts w:cs="Times New Roman"/>
                <w:b w:val="0"/>
                <w:sz w:val="20"/>
                <w:szCs w:val="20"/>
              </w:rPr>
              <w:t>GDP</w:t>
            </w:r>
            <w:r w:rsidRPr="00AD4260">
              <w:rPr>
                <w:rFonts w:cs="Times New Roman"/>
                <w:b w:val="0"/>
                <w:sz w:val="20"/>
                <w:szCs w:val="20"/>
                <w:vertAlign w:val="subscript"/>
              </w:rPr>
              <w:t>(</w:t>
            </w:r>
            <w:proofErr w:type="spellStart"/>
            <w:r w:rsidRPr="00AD4260">
              <w:rPr>
                <w:rFonts w:cs="Times New Roman"/>
                <w:b w:val="0"/>
                <w:sz w:val="20"/>
                <w:szCs w:val="20"/>
                <w:vertAlign w:val="subscript"/>
              </w:rPr>
              <w:t>t+i</w:t>
            </w:r>
            <w:proofErr w:type="spellEnd"/>
            <w:r w:rsidRPr="00AD4260">
              <w:rPr>
                <w:rFonts w:cs="Times New Roman"/>
                <w:b w:val="0"/>
                <w:sz w:val="20"/>
                <w:szCs w:val="20"/>
                <w:vertAlign w:val="subscript"/>
              </w:rPr>
              <w:t>)</w:t>
            </w:r>
          </w:p>
        </w:tc>
        <w:tc>
          <w:tcPr>
            <w:tcW w:w="1096" w:type="pct"/>
            <w:tcBorders>
              <w:top w:val="none" w:sz="0" w:space="0" w:color="auto"/>
              <w:bottom w:val="none" w:sz="0" w:space="0" w:color="auto"/>
            </w:tcBorders>
            <w:vAlign w:val="center"/>
          </w:tcPr>
          <w:p w14:paraId="7DD3A68F" w14:textId="77777777" w:rsidR="00474749" w:rsidRPr="00AD4260" w:rsidRDefault="00474749" w:rsidP="004D2A38">
            <w:pPr>
              <w:tabs>
                <w:tab w:val="left" w:pos="0"/>
              </w:tabs>
              <w:ind w:firstLin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AD4260">
              <w:rPr>
                <w:rFonts w:cs="Times New Roman"/>
                <w:sz w:val="20"/>
                <w:szCs w:val="20"/>
              </w:rPr>
              <w:t>GDP growth</w:t>
            </w:r>
          </w:p>
        </w:tc>
        <w:tc>
          <w:tcPr>
            <w:tcW w:w="3328" w:type="pct"/>
            <w:tcBorders>
              <w:top w:val="none" w:sz="0" w:space="0" w:color="auto"/>
              <w:bottom w:val="none" w:sz="0" w:space="0" w:color="auto"/>
            </w:tcBorders>
            <w:vAlign w:val="center"/>
          </w:tcPr>
          <w:p w14:paraId="3BA9BD5A" w14:textId="77777777" w:rsidR="00474749" w:rsidRPr="00AD4260" w:rsidRDefault="00F83847" w:rsidP="004D2A38">
            <w:pPr>
              <w:tabs>
                <w:tab w:val="left" w:pos="0"/>
              </w:tabs>
              <w:ind w:firstLin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m:oMathPara>
              <m:oMathParaPr>
                <m:jc m:val="left"/>
              </m:oMathParaPr>
              <m:oMath>
                <m:d>
                  <m:dPr>
                    <m:ctrlPr>
                      <w:rPr>
                        <w:rFonts w:ascii="Cambria Math" w:hAnsi="Cambria Math" w:cs="Times New Roman"/>
                        <w:sz w:val="20"/>
                        <w:szCs w:val="20"/>
                      </w:rPr>
                    </m:ctrlPr>
                  </m:dPr>
                  <m:e>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GDP</m:t>
                            </m:r>
                          </m:e>
                          <m:sub>
                            <m:d>
                              <m:dPr>
                                <m:ctrlPr>
                                  <w:rPr>
                                    <w:rFonts w:ascii="Cambria Math" w:hAnsi="Cambria Math" w:cs="Times New Roman"/>
                                    <w:sz w:val="20"/>
                                    <w:szCs w:val="20"/>
                                  </w:rPr>
                                </m:ctrlPr>
                              </m:dPr>
                              <m:e>
                                <m:r>
                                  <m:rPr>
                                    <m:sty m:val="p"/>
                                  </m:rPr>
                                  <w:rPr>
                                    <w:rFonts w:ascii="Cambria Math" w:hAnsi="Cambria Math" w:cs="Times New Roman"/>
                                    <w:sz w:val="20"/>
                                    <w:szCs w:val="20"/>
                                  </w:rPr>
                                  <m:t>t+i</m:t>
                                </m:r>
                              </m:e>
                            </m:d>
                          </m:sub>
                        </m:sSub>
                      </m:num>
                      <m:den>
                        <m:sSub>
                          <m:sSubPr>
                            <m:ctrlPr>
                              <w:rPr>
                                <w:rFonts w:ascii="Cambria Math" w:hAnsi="Cambria Math" w:cs="Times New Roman"/>
                                <w:sz w:val="20"/>
                                <w:szCs w:val="20"/>
                              </w:rPr>
                            </m:ctrlPr>
                          </m:sSubPr>
                          <m:e>
                            <m:r>
                              <m:rPr>
                                <m:sty m:val="p"/>
                              </m:rPr>
                              <w:rPr>
                                <w:rFonts w:ascii="Cambria Math" w:hAnsi="Cambria Math" w:cs="Times New Roman"/>
                                <w:sz w:val="20"/>
                                <w:szCs w:val="20"/>
                              </w:rPr>
                              <m:t>GDP</m:t>
                            </m:r>
                          </m:e>
                          <m:sub>
                            <m:d>
                              <m:dPr>
                                <m:ctrlPr>
                                  <w:rPr>
                                    <w:rFonts w:ascii="Cambria Math" w:hAnsi="Cambria Math" w:cs="Times New Roman"/>
                                    <w:sz w:val="20"/>
                                    <w:szCs w:val="20"/>
                                  </w:rPr>
                                </m:ctrlPr>
                              </m:dPr>
                              <m:e>
                                <m:r>
                                  <m:rPr>
                                    <m:sty m:val="p"/>
                                  </m:rPr>
                                  <w:rPr>
                                    <w:rFonts w:ascii="Cambria Math" w:hAnsi="Cambria Math" w:cs="Times New Roman"/>
                                    <w:sz w:val="20"/>
                                    <w:szCs w:val="20"/>
                                  </w:rPr>
                                  <m:t>t-1</m:t>
                                </m:r>
                              </m:e>
                            </m:d>
                          </m:sub>
                        </m:sSub>
                      </m:den>
                    </m:f>
                    <m:r>
                      <m:rPr>
                        <m:sty m:val="p"/>
                      </m:rPr>
                      <w:rPr>
                        <w:rFonts w:ascii="Cambria Math" w:hAnsi="Cambria Math" w:cs="Times New Roman"/>
                        <w:sz w:val="20"/>
                        <w:szCs w:val="20"/>
                      </w:rPr>
                      <m:t>-1</m:t>
                    </m:r>
                  </m:e>
                </m:d>
                <m:r>
                  <m:rPr>
                    <m:sty m:val="p"/>
                  </m:rPr>
                  <w:rPr>
                    <w:rFonts w:ascii="Cambria Math" w:hAnsi="Cambria Math" w:cs="Times New Roman"/>
                    <w:sz w:val="20"/>
                    <w:szCs w:val="20"/>
                  </w:rPr>
                  <m:t>×100</m:t>
                </m:r>
              </m:oMath>
            </m:oMathPara>
          </w:p>
        </w:tc>
      </w:tr>
      <w:tr w:rsidR="00474749" w:rsidRPr="00AD4260" w14:paraId="72BFA2C3" w14:textId="77777777" w:rsidTr="00E256DB">
        <w:tc>
          <w:tcPr>
            <w:cnfStyle w:val="001000000000" w:firstRow="0" w:lastRow="0" w:firstColumn="1" w:lastColumn="0" w:oddVBand="0" w:evenVBand="0" w:oddHBand="0" w:evenHBand="0" w:firstRowFirstColumn="0" w:firstRowLastColumn="0" w:lastRowFirstColumn="0" w:lastRowLastColumn="0"/>
            <w:tcW w:w="576" w:type="pct"/>
            <w:vAlign w:val="center"/>
          </w:tcPr>
          <w:p w14:paraId="0684909F" w14:textId="77777777" w:rsidR="00474749" w:rsidRPr="00AD4260" w:rsidRDefault="00474749" w:rsidP="004D2A38">
            <w:pPr>
              <w:tabs>
                <w:tab w:val="left" w:pos="0"/>
              </w:tabs>
              <w:ind w:firstLine="0"/>
              <w:jc w:val="left"/>
              <w:rPr>
                <w:rFonts w:cs="Times New Roman"/>
                <w:b w:val="0"/>
                <w:sz w:val="20"/>
                <w:szCs w:val="20"/>
              </w:rPr>
            </w:pPr>
            <w:r w:rsidRPr="00AD4260">
              <w:rPr>
                <w:rFonts w:cs="Times New Roman"/>
                <w:b w:val="0"/>
                <w:sz w:val="20"/>
                <w:szCs w:val="20"/>
              </w:rPr>
              <w:t>OPR</w:t>
            </w:r>
            <w:r w:rsidRPr="00AD4260">
              <w:rPr>
                <w:rFonts w:cs="Times New Roman"/>
                <w:b w:val="0"/>
                <w:sz w:val="20"/>
                <w:szCs w:val="20"/>
                <w:vertAlign w:val="subscript"/>
              </w:rPr>
              <w:t>(</w:t>
            </w:r>
            <w:proofErr w:type="spellStart"/>
            <w:r w:rsidRPr="00AD4260">
              <w:rPr>
                <w:rFonts w:cs="Times New Roman"/>
                <w:b w:val="0"/>
                <w:sz w:val="20"/>
                <w:szCs w:val="20"/>
                <w:vertAlign w:val="subscript"/>
              </w:rPr>
              <w:t>t+i</w:t>
            </w:r>
            <w:proofErr w:type="spellEnd"/>
            <w:r w:rsidRPr="00AD4260">
              <w:rPr>
                <w:rFonts w:cs="Times New Roman"/>
                <w:b w:val="0"/>
                <w:sz w:val="20"/>
                <w:szCs w:val="20"/>
                <w:vertAlign w:val="subscript"/>
              </w:rPr>
              <w:t>)</w:t>
            </w:r>
          </w:p>
        </w:tc>
        <w:tc>
          <w:tcPr>
            <w:tcW w:w="1096" w:type="pct"/>
            <w:vAlign w:val="center"/>
          </w:tcPr>
          <w:p w14:paraId="26ACCDA6" w14:textId="77777777" w:rsidR="00474749" w:rsidRPr="00AD4260" w:rsidRDefault="00474749" w:rsidP="004D2A38">
            <w:pPr>
              <w:tabs>
                <w:tab w:val="left" w:pos="0"/>
              </w:tabs>
              <w:ind w:firstLin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AD4260">
              <w:rPr>
                <w:rFonts w:cs="Times New Roman"/>
                <w:sz w:val="20"/>
                <w:szCs w:val="20"/>
              </w:rPr>
              <w:t>Change in Oil prices</w:t>
            </w:r>
          </w:p>
        </w:tc>
        <w:tc>
          <w:tcPr>
            <w:tcW w:w="3328" w:type="pct"/>
            <w:vAlign w:val="center"/>
          </w:tcPr>
          <w:p w14:paraId="4E5A2163" w14:textId="77777777" w:rsidR="00474749" w:rsidRPr="00AD4260" w:rsidRDefault="00F83847" w:rsidP="004D2A38">
            <w:pPr>
              <w:tabs>
                <w:tab w:val="left" w:pos="0"/>
              </w:tabs>
              <w:ind w:firstLin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m:oMathPara>
              <m:oMathParaPr>
                <m:jc m:val="left"/>
              </m:oMathParaPr>
              <m:oMath>
                <m:d>
                  <m:dPr>
                    <m:ctrlPr>
                      <w:rPr>
                        <w:rFonts w:ascii="Cambria Math" w:hAnsi="Cambria Math" w:cs="Times New Roman"/>
                        <w:sz w:val="20"/>
                        <w:szCs w:val="20"/>
                      </w:rPr>
                    </m:ctrlPr>
                  </m:dPr>
                  <m:e>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Average oil price</m:t>
                            </m:r>
                          </m:e>
                          <m:sub>
                            <m:d>
                              <m:dPr>
                                <m:ctrlPr>
                                  <w:rPr>
                                    <w:rFonts w:ascii="Cambria Math" w:hAnsi="Cambria Math" w:cs="Times New Roman"/>
                                    <w:sz w:val="20"/>
                                    <w:szCs w:val="20"/>
                                  </w:rPr>
                                </m:ctrlPr>
                              </m:dPr>
                              <m:e>
                                <m:r>
                                  <m:rPr>
                                    <m:sty m:val="p"/>
                                  </m:rPr>
                                  <w:rPr>
                                    <w:rFonts w:ascii="Cambria Math" w:hAnsi="Cambria Math" w:cs="Times New Roman"/>
                                    <w:sz w:val="20"/>
                                    <w:szCs w:val="20"/>
                                  </w:rPr>
                                  <m:t>t+i</m:t>
                                </m:r>
                              </m:e>
                            </m:d>
                          </m:sub>
                        </m:sSub>
                      </m:num>
                      <m:den>
                        <m:sSub>
                          <m:sSubPr>
                            <m:ctrlPr>
                              <w:rPr>
                                <w:rFonts w:ascii="Cambria Math" w:hAnsi="Cambria Math" w:cs="Times New Roman"/>
                                <w:sz w:val="20"/>
                                <w:szCs w:val="20"/>
                              </w:rPr>
                            </m:ctrlPr>
                          </m:sSubPr>
                          <m:e>
                            <m:r>
                              <m:rPr>
                                <m:sty m:val="p"/>
                              </m:rPr>
                              <w:rPr>
                                <w:rFonts w:ascii="Cambria Math" w:hAnsi="Cambria Math" w:cs="Times New Roman"/>
                                <w:sz w:val="20"/>
                                <w:szCs w:val="20"/>
                              </w:rPr>
                              <m:t>Average oil price</m:t>
                            </m:r>
                          </m:e>
                          <m:sub>
                            <m:d>
                              <m:dPr>
                                <m:ctrlPr>
                                  <w:rPr>
                                    <w:rFonts w:ascii="Cambria Math" w:hAnsi="Cambria Math" w:cs="Times New Roman"/>
                                    <w:sz w:val="20"/>
                                    <w:szCs w:val="20"/>
                                  </w:rPr>
                                </m:ctrlPr>
                              </m:dPr>
                              <m:e>
                                <m:r>
                                  <m:rPr>
                                    <m:sty m:val="p"/>
                                  </m:rPr>
                                  <w:rPr>
                                    <w:rFonts w:ascii="Cambria Math" w:hAnsi="Cambria Math" w:cs="Times New Roman"/>
                                    <w:sz w:val="20"/>
                                    <w:szCs w:val="20"/>
                                  </w:rPr>
                                  <m:t>t-1</m:t>
                                </m:r>
                              </m:e>
                            </m:d>
                          </m:sub>
                        </m:sSub>
                      </m:den>
                    </m:f>
                    <m:r>
                      <m:rPr>
                        <m:sty m:val="p"/>
                      </m:rPr>
                      <w:rPr>
                        <w:rFonts w:ascii="Cambria Math" w:hAnsi="Cambria Math" w:cs="Times New Roman"/>
                        <w:sz w:val="20"/>
                        <w:szCs w:val="20"/>
                      </w:rPr>
                      <m:t>-1</m:t>
                    </m:r>
                  </m:e>
                </m:d>
                <m:r>
                  <m:rPr>
                    <m:sty m:val="p"/>
                  </m:rPr>
                  <w:rPr>
                    <w:rFonts w:ascii="Cambria Math" w:hAnsi="Cambria Math" w:cs="Times New Roman"/>
                    <w:sz w:val="20"/>
                    <w:szCs w:val="20"/>
                  </w:rPr>
                  <m:t>×100</m:t>
                </m:r>
              </m:oMath>
            </m:oMathPara>
          </w:p>
        </w:tc>
      </w:tr>
    </w:tbl>
    <w:p w14:paraId="51842048" w14:textId="77777777" w:rsidR="0055387F" w:rsidRDefault="0055387F" w:rsidP="004D2A38">
      <w:pPr>
        <w:tabs>
          <w:tab w:val="left" w:pos="0"/>
        </w:tabs>
      </w:pPr>
    </w:p>
    <w:p w14:paraId="6651FD8B" w14:textId="601FE592" w:rsidR="00785E9B" w:rsidRDefault="0055387F" w:rsidP="004D2A38">
      <w:pPr>
        <w:tabs>
          <w:tab w:val="left" w:pos="0"/>
        </w:tabs>
      </w:pPr>
      <w:r>
        <w:t xml:space="preserve">This model is identical to first one that was used to assess the impact of working capital structure onto the company performance. This time we use the same </w:t>
      </w:r>
      <w:r w:rsidR="00EC519A">
        <w:t>model</w:t>
      </w:r>
      <w:r>
        <w:t xml:space="preserve"> since the nature of the effect that we try to predict is approximately the same. </w:t>
      </w:r>
      <w:r w:rsidR="00EC519A">
        <w:t xml:space="preserve">In order to do that we introduced special independent variable called Working Capital Deficit (WCD). Basically, this variable tries to value the relationship between the company performance and the deviations of working capital amount from the modelled optimal working capital structure. </w:t>
      </w:r>
      <w:r w:rsidR="00785E9B">
        <w:t>In addition, working capital deficit controls for the relevance of the target working capital in explaining the performance of the firms. So that if Working Capital Deficit proves to be statistically significant, this can mean that target working capital ratio can be in theory used to define the appropriate level of working capital in the firm relatively to its assets in order to maximize the after-deal performance. Since the nature of this effect is the same we use again the previously defined set of independent variables and industry specific control variables.</w:t>
      </w:r>
    </w:p>
    <w:p w14:paraId="3B5FC11E" w14:textId="6D4CAD29" w:rsidR="006A637E" w:rsidRDefault="006A637E" w:rsidP="004D2A38">
      <w:pPr>
        <w:tabs>
          <w:tab w:val="left" w:pos="0"/>
        </w:tabs>
        <w:spacing w:after="160" w:line="259" w:lineRule="auto"/>
        <w:ind w:firstLine="0"/>
        <w:contextualSpacing w:val="0"/>
        <w:jc w:val="left"/>
      </w:pPr>
      <w:r>
        <w:br w:type="page"/>
      </w:r>
    </w:p>
    <w:p w14:paraId="7F15AA60" w14:textId="51874DBC" w:rsidR="00E346F5" w:rsidRDefault="00E346F5" w:rsidP="004D2A38">
      <w:pPr>
        <w:pStyle w:val="1"/>
        <w:tabs>
          <w:tab w:val="left" w:pos="0"/>
        </w:tabs>
      </w:pPr>
      <w:bookmarkStart w:id="26" w:name="_Toc514964136"/>
      <w:r w:rsidRPr="00E346F5">
        <w:lastRenderedPageBreak/>
        <w:t>Chapter 3. Empirical analysis and results</w:t>
      </w:r>
      <w:bookmarkEnd w:id="26"/>
    </w:p>
    <w:p w14:paraId="4EBE01C2" w14:textId="2B18B1B4" w:rsidR="00E346F5" w:rsidRDefault="00485F0E" w:rsidP="004D2A38">
      <w:pPr>
        <w:pStyle w:val="2"/>
        <w:tabs>
          <w:tab w:val="left" w:pos="0"/>
        </w:tabs>
      </w:pPr>
      <w:bookmarkStart w:id="27" w:name="_Toc514964137"/>
      <w:r>
        <w:t>Influence of working capital structure estimation</w:t>
      </w:r>
      <w:bookmarkEnd w:id="27"/>
    </w:p>
    <w:p w14:paraId="33B79FC7" w14:textId="20B3F205" w:rsidR="00511284" w:rsidRDefault="00511284" w:rsidP="004D2A38">
      <w:pPr>
        <w:tabs>
          <w:tab w:val="left" w:pos="0"/>
        </w:tabs>
      </w:pPr>
      <w:r>
        <w:t xml:space="preserve">Based on the predefined research methodology there were performed several steps in order to answer the research question of this work. First of all, in order to identify possible influence of working capital structure onto companies’ performance </w:t>
      </w:r>
      <w:r w:rsidR="00494841">
        <w:t>and answer the first set of stated hypothese</w:t>
      </w:r>
      <w:r w:rsidR="00A034B1">
        <w:t xml:space="preserve">s, the model expressed in </w:t>
      </w:r>
      <w:r w:rsidR="00971A38" w:rsidRPr="005223FD">
        <w:t>Formula 3</w:t>
      </w:r>
      <w:r w:rsidR="00A034B1">
        <w:t xml:space="preserve"> was run. But first of </w:t>
      </w:r>
      <w:r w:rsidR="00070207">
        <w:t>all,</w:t>
      </w:r>
      <w:r w:rsidR="00A034B1">
        <w:t xml:space="preserve"> the data sample was studied thoroughly and prepared. Below we can see summarized descriptive statistics and correlation matrixes for the data (</w:t>
      </w:r>
      <w:r w:rsidR="00971A38" w:rsidRPr="005223FD">
        <w:fldChar w:fldCharType="begin"/>
      </w:r>
      <w:r w:rsidR="00971A38" w:rsidRPr="005223FD">
        <w:instrText xml:space="preserve"> REF _Ref514671548 \r \h  \* MERGEFORMAT </w:instrText>
      </w:r>
      <w:r w:rsidR="00971A38" w:rsidRPr="005223FD">
        <w:fldChar w:fldCharType="separate"/>
      </w:r>
      <w:r w:rsidR="00154E78">
        <w:t>Table 8</w:t>
      </w:r>
      <w:r w:rsidR="00971A38" w:rsidRPr="005223FD">
        <w:fldChar w:fldCharType="end"/>
      </w:r>
      <w:r w:rsidR="00A034B1">
        <w:t>)</w:t>
      </w:r>
      <w:r w:rsidR="00A034B1">
        <w:rPr>
          <w:i/>
        </w:rPr>
        <w:t>.</w:t>
      </w:r>
    </w:p>
    <w:p w14:paraId="235BA653" w14:textId="06D58FA9" w:rsidR="00D32102" w:rsidRDefault="00D32102" w:rsidP="00E249F5">
      <w:pPr>
        <w:pStyle w:val="a0"/>
        <w:tabs>
          <w:tab w:val="left" w:pos="0"/>
        </w:tabs>
        <w:ind w:left="0"/>
      </w:pPr>
      <w:bookmarkStart w:id="28" w:name="_Ref514671548"/>
      <w:r>
        <w:t>Descriptive statistics of working capital influence model data</w:t>
      </w:r>
      <w:bookmarkEnd w:id="28"/>
    </w:p>
    <w:tbl>
      <w:tblPr>
        <w:tblW w:w="5000" w:type="pct"/>
        <w:tblLook w:val="04A0" w:firstRow="1" w:lastRow="0" w:firstColumn="1" w:lastColumn="0" w:noHBand="0" w:noVBand="1"/>
      </w:tblPr>
      <w:tblGrid>
        <w:gridCol w:w="2164"/>
        <w:gridCol w:w="666"/>
        <w:gridCol w:w="733"/>
        <w:gridCol w:w="666"/>
        <w:gridCol w:w="733"/>
        <w:gridCol w:w="883"/>
        <w:gridCol w:w="566"/>
        <w:gridCol w:w="466"/>
        <w:gridCol w:w="651"/>
        <w:gridCol w:w="816"/>
        <w:gridCol w:w="639"/>
        <w:gridCol w:w="696"/>
      </w:tblGrid>
      <w:tr w:rsidR="00662974" w:rsidRPr="00662974" w14:paraId="1EBE5C1C" w14:textId="77777777" w:rsidTr="00662974">
        <w:trPr>
          <w:trHeight w:val="255"/>
        </w:trPr>
        <w:tc>
          <w:tcPr>
            <w:tcW w:w="814" w:type="pct"/>
            <w:tcBorders>
              <w:top w:val="single" w:sz="4" w:space="0" w:color="auto"/>
              <w:left w:val="single" w:sz="4" w:space="0" w:color="auto"/>
              <w:bottom w:val="single" w:sz="4" w:space="0" w:color="auto"/>
              <w:right w:val="nil"/>
            </w:tcBorders>
            <w:shd w:val="clear" w:color="auto" w:fill="auto"/>
            <w:noWrap/>
            <w:vAlign w:val="center"/>
            <w:hideMark/>
          </w:tcPr>
          <w:p w14:paraId="3C9B12BB" w14:textId="77777777" w:rsidR="00662974" w:rsidRPr="00662974" w:rsidRDefault="00662974" w:rsidP="00662974">
            <w:pPr>
              <w:spacing w:after="0" w:line="240" w:lineRule="auto"/>
              <w:ind w:firstLine="0"/>
              <w:contextualSpacing w:val="0"/>
              <w:jc w:val="left"/>
              <w:rPr>
                <w:rFonts w:eastAsia="Times New Roman" w:cs="Times New Roman"/>
                <w:b/>
                <w:bCs/>
                <w:color w:val="000000"/>
                <w:sz w:val="20"/>
                <w:szCs w:val="20"/>
                <w:lang w:val="ru-RU" w:eastAsia="ru-RU"/>
              </w:rPr>
            </w:pPr>
            <w:r w:rsidRPr="00662974">
              <w:rPr>
                <w:rFonts w:eastAsia="Times New Roman" w:cs="Times New Roman"/>
                <w:b/>
                <w:bCs/>
                <w:color w:val="000000"/>
                <w:sz w:val="20"/>
                <w:szCs w:val="20"/>
                <w:lang w:val="ru-RU" w:eastAsia="ru-RU"/>
              </w:rPr>
              <w:t>Total sample (N = 123)</w:t>
            </w:r>
          </w:p>
        </w:tc>
        <w:tc>
          <w:tcPr>
            <w:tcW w:w="354" w:type="pct"/>
            <w:tcBorders>
              <w:top w:val="single" w:sz="4" w:space="0" w:color="auto"/>
              <w:left w:val="single" w:sz="4" w:space="0" w:color="auto"/>
              <w:bottom w:val="single" w:sz="4" w:space="0" w:color="auto"/>
              <w:right w:val="nil"/>
            </w:tcBorders>
            <w:shd w:val="clear" w:color="auto" w:fill="auto"/>
            <w:noWrap/>
            <w:vAlign w:val="bottom"/>
            <w:hideMark/>
          </w:tcPr>
          <w:p w14:paraId="242A70E5" w14:textId="77777777" w:rsidR="00662974" w:rsidRPr="00662974" w:rsidRDefault="00662974" w:rsidP="00662974">
            <w:pPr>
              <w:spacing w:after="0" w:line="240" w:lineRule="auto"/>
              <w:ind w:firstLine="0"/>
              <w:contextualSpacing w:val="0"/>
              <w:jc w:val="center"/>
              <w:rPr>
                <w:rFonts w:eastAsia="Times New Roman" w:cs="Times New Roman"/>
                <w:b/>
                <w:bCs/>
                <w:color w:val="000000"/>
                <w:sz w:val="20"/>
                <w:szCs w:val="20"/>
                <w:lang w:val="ru-RU" w:eastAsia="ru-RU"/>
              </w:rPr>
            </w:pPr>
            <w:r w:rsidRPr="00662974">
              <w:rPr>
                <w:rFonts w:eastAsia="Times New Roman" w:cs="Times New Roman"/>
                <w:b/>
                <w:bCs/>
                <w:color w:val="000000"/>
                <w:sz w:val="20"/>
                <w:szCs w:val="20"/>
                <w:lang w:val="ru-RU" w:eastAsia="ru-RU"/>
              </w:rPr>
              <w:t>CTQ</w:t>
            </w:r>
          </w:p>
        </w:tc>
        <w:tc>
          <w:tcPr>
            <w:tcW w:w="354" w:type="pct"/>
            <w:tcBorders>
              <w:top w:val="single" w:sz="4" w:space="0" w:color="auto"/>
              <w:left w:val="nil"/>
              <w:bottom w:val="single" w:sz="4" w:space="0" w:color="auto"/>
              <w:right w:val="nil"/>
            </w:tcBorders>
            <w:shd w:val="clear" w:color="auto" w:fill="auto"/>
            <w:noWrap/>
            <w:vAlign w:val="bottom"/>
            <w:hideMark/>
          </w:tcPr>
          <w:p w14:paraId="0B39B652" w14:textId="77777777" w:rsidR="00662974" w:rsidRPr="00662974" w:rsidRDefault="00662974" w:rsidP="00662974">
            <w:pPr>
              <w:spacing w:after="0" w:line="240" w:lineRule="auto"/>
              <w:ind w:firstLine="0"/>
              <w:contextualSpacing w:val="0"/>
              <w:jc w:val="center"/>
              <w:rPr>
                <w:rFonts w:eastAsia="Times New Roman" w:cs="Times New Roman"/>
                <w:b/>
                <w:bCs/>
                <w:color w:val="000000"/>
                <w:sz w:val="20"/>
                <w:szCs w:val="20"/>
                <w:lang w:val="ru-RU" w:eastAsia="ru-RU"/>
              </w:rPr>
            </w:pPr>
            <w:r w:rsidRPr="00662974">
              <w:rPr>
                <w:rFonts w:eastAsia="Times New Roman" w:cs="Times New Roman"/>
                <w:b/>
                <w:bCs/>
                <w:color w:val="000000"/>
                <w:sz w:val="20"/>
                <w:szCs w:val="20"/>
                <w:lang w:val="ru-RU" w:eastAsia="ru-RU"/>
              </w:rPr>
              <w:t>AR</w:t>
            </w:r>
          </w:p>
        </w:tc>
        <w:tc>
          <w:tcPr>
            <w:tcW w:w="354" w:type="pct"/>
            <w:tcBorders>
              <w:top w:val="single" w:sz="4" w:space="0" w:color="auto"/>
              <w:left w:val="nil"/>
              <w:bottom w:val="single" w:sz="4" w:space="0" w:color="auto"/>
              <w:right w:val="nil"/>
            </w:tcBorders>
            <w:shd w:val="clear" w:color="auto" w:fill="auto"/>
            <w:noWrap/>
            <w:vAlign w:val="bottom"/>
            <w:hideMark/>
          </w:tcPr>
          <w:p w14:paraId="401412F3" w14:textId="77777777" w:rsidR="00662974" w:rsidRPr="00662974" w:rsidRDefault="00662974" w:rsidP="00662974">
            <w:pPr>
              <w:spacing w:after="0" w:line="240" w:lineRule="auto"/>
              <w:ind w:firstLine="0"/>
              <w:contextualSpacing w:val="0"/>
              <w:jc w:val="center"/>
              <w:rPr>
                <w:rFonts w:eastAsia="Times New Roman" w:cs="Times New Roman"/>
                <w:b/>
                <w:bCs/>
                <w:color w:val="000000"/>
                <w:sz w:val="20"/>
                <w:szCs w:val="20"/>
                <w:lang w:val="ru-RU" w:eastAsia="ru-RU"/>
              </w:rPr>
            </w:pPr>
            <w:proofErr w:type="spellStart"/>
            <w:r w:rsidRPr="00662974">
              <w:rPr>
                <w:rFonts w:eastAsia="Times New Roman" w:cs="Times New Roman"/>
                <w:b/>
                <w:bCs/>
                <w:color w:val="000000"/>
                <w:sz w:val="20"/>
                <w:szCs w:val="20"/>
                <w:lang w:val="ru-RU" w:eastAsia="ru-RU"/>
              </w:rPr>
              <w:t>Inv</w:t>
            </w:r>
            <w:proofErr w:type="spellEnd"/>
          </w:p>
        </w:tc>
        <w:tc>
          <w:tcPr>
            <w:tcW w:w="354" w:type="pct"/>
            <w:tcBorders>
              <w:top w:val="single" w:sz="4" w:space="0" w:color="auto"/>
              <w:left w:val="nil"/>
              <w:bottom w:val="single" w:sz="4" w:space="0" w:color="auto"/>
              <w:right w:val="nil"/>
            </w:tcBorders>
            <w:shd w:val="clear" w:color="auto" w:fill="auto"/>
            <w:noWrap/>
            <w:vAlign w:val="bottom"/>
            <w:hideMark/>
          </w:tcPr>
          <w:p w14:paraId="5D27BFBB" w14:textId="77777777" w:rsidR="00662974" w:rsidRPr="00662974" w:rsidRDefault="00662974" w:rsidP="00662974">
            <w:pPr>
              <w:spacing w:after="0" w:line="240" w:lineRule="auto"/>
              <w:ind w:firstLine="0"/>
              <w:contextualSpacing w:val="0"/>
              <w:jc w:val="center"/>
              <w:rPr>
                <w:rFonts w:eastAsia="Times New Roman" w:cs="Times New Roman"/>
                <w:b/>
                <w:bCs/>
                <w:color w:val="000000"/>
                <w:sz w:val="20"/>
                <w:szCs w:val="20"/>
                <w:lang w:val="ru-RU" w:eastAsia="ru-RU"/>
              </w:rPr>
            </w:pPr>
            <w:r w:rsidRPr="00662974">
              <w:rPr>
                <w:rFonts w:eastAsia="Times New Roman" w:cs="Times New Roman"/>
                <w:b/>
                <w:bCs/>
                <w:color w:val="000000"/>
                <w:sz w:val="20"/>
                <w:szCs w:val="20"/>
                <w:lang w:val="ru-RU" w:eastAsia="ru-RU"/>
              </w:rPr>
              <w:t>AP</w:t>
            </w:r>
          </w:p>
        </w:tc>
        <w:tc>
          <w:tcPr>
            <w:tcW w:w="354" w:type="pct"/>
            <w:tcBorders>
              <w:top w:val="single" w:sz="4" w:space="0" w:color="auto"/>
              <w:left w:val="nil"/>
              <w:bottom w:val="single" w:sz="4" w:space="0" w:color="auto"/>
              <w:right w:val="nil"/>
            </w:tcBorders>
            <w:shd w:val="clear" w:color="auto" w:fill="auto"/>
            <w:noWrap/>
            <w:vAlign w:val="bottom"/>
            <w:hideMark/>
          </w:tcPr>
          <w:p w14:paraId="58F33F66" w14:textId="77777777" w:rsidR="00662974" w:rsidRPr="00662974" w:rsidRDefault="00662974" w:rsidP="00662974">
            <w:pPr>
              <w:spacing w:after="0" w:line="240" w:lineRule="auto"/>
              <w:ind w:firstLine="0"/>
              <w:contextualSpacing w:val="0"/>
              <w:jc w:val="center"/>
              <w:rPr>
                <w:rFonts w:eastAsia="Times New Roman" w:cs="Times New Roman"/>
                <w:b/>
                <w:bCs/>
                <w:color w:val="000000"/>
                <w:sz w:val="20"/>
                <w:szCs w:val="20"/>
                <w:lang w:val="ru-RU" w:eastAsia="ru-RU"/>
              </w:rPr>
            </w:pPr>
            <w:r w:rsidRPr="00662974">
              <w:rPr>
                <w:rFonts w:eastAsia="Times New Roman" w:cs="Times New Roman"/>
                <w:b/>
                <w:bCs/>
                <w:color w:val="000000"/>
                <w:sz w:val="20"/>
                <w:szCs w:val="20"/>
                <w:lang w:val="ru-RU" w:eastAsia="ru-RU"/>
              </w:rPr>
              <w:t>WCD</w:t>
            </w:r>
          </w:p>
        </w:tc>
        <w:tc>
          <w:tcPr>
            <w:tcW w:w="354" w:type="pct"/>
            <w:tcBorders>
              <w:top w:val="single" w:sz="4" w:space="0" w:color="auto"/>
              <w:left w:val="nil"/>
              <w:bottom w:val="single" w:sz="4" w:space="0" w:color="auto"/>
              <w:right w:val="nil"/>
            </w:tcBorders>
            <w:shd w:val="clear" w:color="auto" w:fill="auto"/>
            <w:noWrap/>
            <w:vAlign w:val="bottom"/>
            <w:hideMark/>
          </w:tcPr>
          <w:p w14:paraId="06D41D6D" w14:textId="77777777" w:rsidR="00662974" w:rsidRPr="00662974" w:rsidRDefault="00662974" w:rsidP="00662974">
            <w:pPr>
              <w:spacing w:after="0" w:line="240" w:lineRule="auto"/>
              <w:ind w:firstLine="0"/>
              <w:contextualSpacing w:val="0"/>
              <w:jc w:val="center"/>
              <w:rPr>
                <w:rFonts w:eastAsia="Times New Roman" w:cs="Times New Roman"/>
                <w:b/>
                <w:bCs/>
                <w:color w:val="000000"/>
                <w:sz w:val="20"/>
                <w:szCs w:val="20"/>
                <w:lang w:val="ru-RU" w:eastAsia="ru-RU"/>
              </w:rPr>
            </w:pPr>
            <w:r w:rsidRPr="00662974">
              <w:rPr>
                <w:rFonts w:eastAsia="Times New Roman" w:cs="Times New Roman"/>
                <w:b/>
                <w:bCs/>
                <w:color w:val="000000"/>
                <w:sz w:val="20"/>
                <w:szCs w:val="20"/>
                <w:lang w:val="ru-RU" w:eastAsia="ru-RU"/>
              </w:rPr>
              <w:t>DS</w:t>
            </w:r>
          </w:p>
        </w:tc>
        <w:tc>
          <w:tcPr>
            <w:tcW w:w="354" w:type="pct"/>
            <w:tcBorders>
              <w:top w:val="single" w:sz="4" w:space="0" w:color="auto"/>
              <w:left w:val="nil"/>
              <w:bottom w:val="single" w:sz="4" w:space="0" w:color="auto"/>
              <w:right w:val="nil"/>
            </w:tcBorders>
            <w:shd w:val="clear" w:color="auto" w:fill="auto"/>
            <w:noWrap/>
            <w:vAlign w:val="bottom"/>
            <w:hideMark/>
          </w:tcPr>
          <w:p w14:paraId="12798B42" w14:textId="77777777" w:rsidR="00662974" w:rsidRPr="00662974" w:rsidRDefault="00662974" w:rsidP="00662974">
            <w:pPr>
              <w:spacing w:after="0" w:line="240" w:lineRule="auto"/>
              <w:ind w:firstLine="0"/>
              <w:contextualSpacing w:val="0"/>
              <w:jc w:val="center"/>
              <w:rPr>
                <w:rFonts w:eastAsia="Times New Roman" w:cs="Times New Roman"/>
                <w:b/>
                <w:bCs/>
                <w:color w:val="000000"/>
                <w:sz w:val="20"/>
                <w:szCs w:val="20"/>
                <w:lang w:val="ru-RU" w:eastAsia="ru-RU"/>
              </w:rPr>
            </w:pPr>
            <w:r w:rsidRPr="00662974">
              <w:rPr>
                <w:rFonts w:eastAsia="Times New Roman" w:cs="Times New Roman"/>
                <w:b/>
                <w:bCs/>
                <w:color w:val="000000"/>
                <w:sz w:val="20"/>
                <w:szCs w:val="20"/>
                <w:lang w:val="ru-RU" w:eastAsia="ru-RU"/>
              </w:rPr>
              <w:t>IS</w:t>
            </w:r>
          </w:p>
        </w:tc>
        <w:tc>
          <w:tcPr>
            <w:tcW w:w="427" w:type="pct"/>
            <w:tcBorders>
              <w:top w:val="single" w:sz="4" w:space="0" w:color="auto"/>
              <w:left w:val="nil"/>
              <w:bottom w:val="single" w:sz="4" w:space="0" w:color="auto"/>
              <w:right w:val="nil"/>
            </w:tcBorders>
            <w:shd w:val="clear" w:color="auto" w:fill="auto"/>
            <w:noWrap/>
            <w:vAlign w:val="bottom"/>
            <w:hideMark/>
          </w:tcPr>
          <w:p w14:paraId="5BE02057" w14:textId="77777777" w:rsidR="00662974" w:rsidRPr="00662974" w:rsidRDefault="00662974" w:rsidP="00662974">
            <w:pPr>
              <w:spacing w:after="0" w:line="240" w:lineRule="auto"/>
              <w:ind w:firstLine="0"/>
              <w:contextualSpacing w:val="0"/>
              <w:jc w:val="center"/>
              <w:rPr>
                <w:rFonts w:eastAsia="Times New Roman" w:cs="Times New Roman"/>
                <w:b/>
                <w:bCs/>
                <w:color w:val="000000"/>
                <w:sz w:val="20"/>
                <w:szCs w:val="20"/>
                <w:lang w:val="ru-RU" w:eastAsia="ru-RU"/>
              </w:rPr>
            </w:pPr>
            <w:r w:rsidRPr="00662974">
              <w:rPr>
                <w:rFonts w:eastAsia="Times New Roman" w:cs="Times New Roman"/>
                <w:b/>
                <w:bCs/>
                <w:color w:val="000000"/>
                <w:sz w:val="20"/>
                <w:szCs w:val="20"/>
                <w:lang w:val="ru-RU" w:eastAsia="ru-RU"/>
              </w:rPr>
              <w:t>FT</w:t>
            </w:r>
          </w:p>
        </w:tc>
        <w:tc>
          <w:tcPr>
            <w:tcW w:w="427" w:type="pct"/>
            <w:tcBorders>
              <w:top w:val="single" w:sz="4" w:space="0" w:color="auto"/>
              <w:left w:val="nil"/>
              <w:bottom w:val="single" w:sz="4" w:space="0" w:color="auto"/>
              <w:right w:val="nil"/>
            </w:tcBorders>
            <w:shd w:val="clear" w:color="auto" w:fill="auto"/>
            <w:noWrap/>
            <w:vAlign w:val="bottom"/>
            <w:hideMark/>
          </w:tcPr>
          <w:p w14:paraId="4045A0BE" w14:textId="77777777" w:rsidR="00662974" w:rsidRPr="00662974" w:rsidRDefault="00662974" w:rsidP="00662974">
            <w:pPr>
              <w:spacing w:after="0" w:line="240" w:lineRule="auto"/>
              <w:ind w:firstLine="0"/>
              <w:contextualSpacing w:val="0"/>
              <w:jc w:val="center"/>
              <w:rPr>
                <w:rFonts w:eastAsia="Times New Roman" w:cs="Times New Roman"/>
                <w:b/>
                <w:bCs/>
                <w:color w:val="000000"/>
                <w:sz w:val="20"/>
                <w:szCs w:val="20"/>
                <w:lang w:val="ru-RU" w:eastAsia="ru-RU"/>
              </w:rPr>
            </w:pPr>
            <w:r w:rsidRPr="00662974">
              <w:rPr>
                <w:rFonts w:eastAsia="Times New Roman" w:cs="Times New Roman"/>
                <w:b/>
                <w:bCs/>
                <w:color w:val="000000"/>
                <w:sz w:val="20"/>
                <w:szCs w:val="20"/>
                <w:lang w:val="ru-RU" w:eastAsia="ru-RU"/>
              </w:rPr>
              <w:t>CLR</w:t>
            </w:r>
          </w:p>
        </w:tc>
        <w:tc>
          <w:tcPr>
            <w:tcW w:w="427" w:type="pct"/>
            <w:tcBorders>
              <w:top w:val="single" w:sz="4" w:space="0" w:color="auto"/>
              <w:left w:val="nil"/>
              <w:bottom w:val="single" w:sz="4" w:space="0" w:color="auto"/>
              <w:right w:val="nil"/>
            </w:tcBorders>
            <w:shd w:val="clear" w:color="auto" w:fill="auto"/>
            <w:noWrap/>
            <w:vAlign w:val="bottom"/>
            <w:hideMark/>
          </w:tcPr>
          <w:p w14:paraId="4A346B85" w14:textId="77777777" w:rsidR="00662974" w:rsidRPr="00662974" w:rsidRDefault="00662974" w:rsidP="00662974">
            <w:pPr>
              <w:spacing w:after="0" w:line="240" w:lineRule="auto"/>
              <w:ind w:firstLine="0"/>
              <w:contextualSpacing w:val="0"/>
              <w:jc w:val="center"/>
              <w:rPr>
                <w:rFonts w:eastAsia="Times New Roman" w:cs="Times New Roman"/>
                <w:b/>
                <w:bCs/>
                <w:color w:val="000000"/>
                <w:sz w:val="20"/>
                <w:szCs w:val="20"/>
                <w:lang w:val="ru-RU" w:eastAsia="ru-RU"/>
              </w:rPr>
            </w:pPr>
            <w:r w:rsidRPr="00662974">
              <w:rPr>
                <w:rFonts w:eastAsia="Times New Roman" w:cs="Times New Roman"/>
                <w:b/>
                <w:bCs/>
                <w:color w:val="000000"/>
                <w:sz w:val="20"/>
                <w:szCs w:val="20"/>
                <w:lang w:val="ru-RU" w:eastAsia="ru-RU"/>
              </w:rPr>
              <w:t>GDP</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14:paraId="580DA6A1" w14:textId="77777777" w:rsidR="00662974" w:rsidRPr="00662974" w:rsidRDefault="00662974" w:rsidP="00662974">
            <w:pPr>
              <w:spacing w:after="0" w:line="240" w:lineRule="auto"/>
              <w:ind w:firstLine="0"/>
              <w:contextualSpacing w:val="0"/>
              <w:jc w:val="center"/>
              <w:rPr>
                <w:rFonts w:eastAsia="Times New Roman" w:cs="Times New Roman"/>
                <w:b/>
                <w:bCs/>
                <w:color w:val="000000"/>
                <w:sz w:val="20"/>
                <w:szCs w:val="20"/>
                <w:lang w:val="ru-RU" w:eastAsia="ru-RU"/>
              </w:rPr>
            </w:pPr>
            <w:r w:rsidRPr="00662974">
              <w:rPr>
                <w:rFonts w:eastAsia="Times New Roman" w:cs="Times New Roman"/>
                <w:b/>
                <w:bCs/>
                <w:color w:val="000000"/>
                <w:sz w:val="20"/>
                <w:szCs w:val="20"/>
                <w:lang w:val="ru-RU" w:eastAsia="ru-RU"/>
              </w:rPr>
              <w:t>OPR</w:t>
            </w:r>
          </w:p>
        </w:tc>
      </w:tr>
      <w:tr w:rsidR="00662974" w:rsidRPr="00662974" w14:paraId="253C3C72" w14:textId="77777777" w:rsidTr="00662974">
        <w:trPr>
          <w:trHeight w:val="255"/>
        </w:trPr>
        <w:tc>
          <w:tcPr>
            <w:tcW w:w="814" w:type="pct"/>
            <w:tcBorders>
              <w:top w:val="nil"/>
              <w:left w:val="single" w:sz="4" w:space="0" w:color="auto"/>
              <w:bottom w:val="nil"/>
              <w:right w:val="nil"/>
            </w:tcBorders>
            <w:shd w:val="clear" w:color="auto" w:fill="auto"/>
            <w:noWrap/>
            <w:vAlign w:val="bottom"/>
            <w:hideMark/>
          </w:tcPr>
          <w:p w14:paraId="07E06E0D" w14:textId="77777777" w:rsidR="00662974" w:rsidRPr="00662974" w:rsidRDefault="00662974" w:rsidP="00662974">
            <w:pPr>
              <w:spacing w:after="0" w:line="240" w:lineRule="auto"/>
              <w:ind w:firstLine="0"/>
              <w:contextualSpacing w:val="0"/>
              <w:jc w:val="left"/>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Mean</w:t>
            </w:r>
          </w:p>
        </w:tc>
        <w:tc>
          <w:tcPr>
            <w:tcW w:w="354" w:type="pct"/>
            <w:tcBorders>
              <w:top w:val="nil"/>
              <w:left w:val="single" w:sz="4" w:space="0" w:color="auto"/>
              <w:bottom w:val="nil"/>
              <w:right w:val="nil"/>
            </w:tcBorders>
            <w:shd w:val="clear" w:color="auto" w:fill="auto"/>
            <w:noWrap/>
            <w:vAlign w:val="bottom"/>
            <w:hideMark/>
          </w:tcPr>
          <w:p w14:paraId="47EA8DF6"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-13,6</w:t>
            </w:r>
          </w:p>
        </w:tc>
        <w:tc>
          <w:tcPr>
            <w:tcW w:w="354" w:type="pct"/>
            <w:tcBorders>
              <w:top w:val="nil"/>
              <w:left w:val="nil"/>
              <w:bottom w:val="nil"/>
              <w:right w:val="nil"/>
            </w:tcBorders>
            <w:shd w:val="clear" w:color="auto" w:fill="auto"/>
            <w:noWrap/>
            <w:vAlign w:val="bottom"/>
            <w:hideMark/>
          </w:tcPr>
          <w:p w14:paraId="0C54FAC6"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-1,5</w:t>
            </w:r>
          </w:p>
        </w:tc>
        <w:tc>
          <w:tcPr>
            <w:tcW w:w="354" w:type="pct"/>
            <w:tcBorders>
              <w:top w:val="nil"/>
              <w:left w:val="nil"/>
              <w:bottom w:val="nil"/>
              <w:right w:val="nil"/>
            </w:tcBorders>
            <w:shd w:val="clear" w:color="auto" w:fill="auto"/>
            <w:noWrap/>
            <w:vAlign w:val="bottom"/>
            <w:hideMark/>
          </w:tcPr>
          <w:p w14:paraId="332540B1"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2,0</w:t>
            </w:r>
          </w:p>
        </w:tc>
        <w:tc>
          <w:tcPr>
            <w:tcW w:w="354" w:type="pct"/>
            <w:tcBorders>
              <w:top w:val="nil"/>
              <w:left w:val="nil"/>
              <w:bottom w:val="nil"/>
              <w:right w:val="nil"/>
            </w:tcBorders>
            <w:shd w:val="clear" w:color="auto" w:fill="auto"/>
            <w:noWrap/>
            <w:vAlign w:val="bottom"/>
            <w:hideMark/>
          </w:tcPr>
          <w:p w14:paraId="372F9A12"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-14,6</w:t>
            </w:r>
          </w:p>
        </w:tc>
        <w:tc>
          <w:tcPr>
            <w:tcW w:w="354" w:type="pct"/>
            <w:tcBorders>
              <w:top w:val="nil"/>
              <w:left w:val="nil"/>
              <w:bottom w:val="nil"/>
              <w:right w:val="nil"/>
            </w:tcBorders>
            <w:shd w:val="clear" w:color="auto" w:fill="auto"/>
            <w:noWrap/>
            <w:vAlign w:val="bottom"/>
            <w:hideMark/>
          </w:tcPr>
          <w:p w14:paraId="3836813A"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-31,0</w:t>
            </w:r>
          </w:p>
        </w:tc>
        <w:tc>
          <w:tcPr>
            <w:tcW w:w="354" w:type="pct"/>
            <w:tcBorders>
              <w:top w:val="nil"/>
              <w:left w:val="nil"/>
              <w:bottom w:val="nil"/>
              <w:right w:val="nil"/>
            </w:tcBorders>
            <w:shd w:val="clear" w:color="auto" w:fill="auto"/>
            <w:noWrap/>
            <w:vAlign w:val="bottom"/>
            <w:hideMark/>
          </w:tcPr>
          <w:p w14:paraId="1E085C00"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12,4</w:t>
            </w:r>
          </w:p>
        </w:tc>
        <w:tc>
          <w:tcPr>
            <w:tcW w:w="354" w:type="pct"/>
            <w:tcBorders>
              <w:top w:val="nil"/>
              <w:left w:val="nil"/>
              <w:bottom w:val="nil"/>
              <w:right w:val="nil"/>
            </w:tcBorders>
            <w:shd w:val="clear" w:color="auto" w:fill="auto"/>
            <w:noWrap/>
            <w:vAlign w:val="bottom"/>
            <w:hideMark/>
          </w:tcPr>
          <w:p w14:paraId="41BE1BE1"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0,6</w:t>
            </w:r>
          </w:p>
        </w:tc>
        <w:tc>
          <w:tcPr>
            <w:tcW w:w="427" w:type="pct"/>
            <w:tcBorders>
              <w:top w:val="nil"/>
              <w:left w:val="nil"/>
              <w:bottom w:val="nil"/>
              <w:right w:val="nil"/>
            </w:tcBorders>
            <w:shd w:val="clear" w:color="auto" w:fill="auto"/>
            <w:noWrap/>
            <w:vAlign w:val="bottom"/>
            <w:hideMark/>
          </w:tcPr>
          <w:p w14:paraId="35406333"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1,6</w:t>
            </w:r>
          </w:p>
        </w:tc>
        <w:tc>
          <w:tcPr>
            <w:tcW w:w="427" w:type="pct"/>
            <w:tcBorders>
              <w:top w:val="nil"/>
              <w:left w:val="nil"/>
              <w:bottom w:val="nil"/>
              <w:right w:val="nil"/>
            </w:tcBorders>
            <w:shd w:val="clear" w:color="auto" w:fill="auto"/>
            <w:noWrap/>
            <w:vAlign w:val="bottom"/>
            <w:hideMark/>
          </w:tcPr>
          <w:p w14:paraId="022A7AEA"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54,8</w:t>
            </w:r>
          </w:p>
        </w:tc>
        <w:tc>
          <w:tcPr>
            <w:tcW w:w="427" w:type="pct"/>
            <w:tcBorders>
              <w:top w:val="nil"/>
              <w:left w:val="nil"/>
              <w:bottom w:val="nil"/>
              <w:right w:val="nil"/>
            </w:tcBorders>
            <w:shd w:val="clear" w:color="auto" w:fill="auto"/>
            <w:noWrap/>
            <w:vAlign w:val="bottom"/>
            <w:hideMark/>
          </w:tcPr>
          <w:p w14:paraId="32BA1F40"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8,5</w:t>
            </w:r>
          </w:p>
        </w:tc>
        <w:tc>
          <w:tcPr>
            <w:tcW w:w="427" w:type="pct"/>
            <w:tcBorders>
              <w:top w:val="nil"/>
              <w:left w:val="nil"/>
              <w:bottom w:val="nil"/>
              <w:right w:val="single" w:sz="4" w:space="0" w:color="auto"/>
            </w:tcBorders>
            <w:shd w:val="clear" w:color="auto" w:fill="auto"/>
            <w:noWrap/>
            <w:vAlign w:val="bottom"/>
            <w:hideMark/>
          </w:tcPr>
          <w:p w14:paraId="294DB597"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4,3</w:t>
            </w:r>
          </w:p>
        </w:tc>
      </w:tr>
      <w:tr w:rsidR="00662974" w:rsidRPr="00662974" w14:paraId="7E2B2B35" w14:textId="77777777" w:rsidTr="00662974">
        <w:trPr>
          <w:trHeight w:val="255"/>
        </w:trPr>
        <w:tc>
          <w:tcPr>
            <w:tcW w:w="814" w:type="pct"/>
            <w:tcBorders>
              <w:top w:val="nil"/>
              <w:left w:val="single" w:sz="4" w:space="0" w:color="auto"/>
              <w:bottom w:val="nil"/>
              <w:right w:val="nil"/>
            </w:tcBorders>
            <w:shd w:val="clear" w:color="auto" w:fill="auto"/>
            <w:noWrap/>
            <w:vAlign w:val="bottom"/>
            <w:hideMark/>
          </w:tcPr>
          <w:p w14:paraId="12E7AC0C" w14:textId="77777777" w:rsidR="00662974" w:rsidRPr="00662974" w:rsidRDefault="00662974" w:rsidP="00662974">
            <w:pPr>
              <w:spacing w:after="0" w:line="240" w:lineRule="auto"/>
              <w:ind w:firstLine="0"/>
              <w:contextualSpacing w:val="0"/>
              <w:jc w:val="left"/>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SD</w:t>
            </w:r>
          </w:p>
        </w:tc>
        <w:tc>
          <w:tcPr>
            <w:tcW w:w="354" w:type="pct"/>
            <w:tcBorders>
              <w:top w:val="nil"/>
              <w:left w:val="single" w:sz="4" w:space="0" w:color="auto"/>
              <w:bottom w:val="nil"/>
              <w:right w:val="nil"/>
            </w:tcBorders>
            <w:shd w:val="clear" w:color="auto" w:fill="auto"/>
            <w:noWrap/>
            <w:vAlign w:val="bottom"/>
            <w:hideMark/>
          </w:tcPr>
          <w:p w14:paraId="5CBFF889"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55,6</w:t>
            </w:r>
          </w:p>
        </w:tc>
        <w:tc>
          <w:tcPr>
            <w:tcW w:w="354" w:type="pct"/>
            <w:tcBorders>
              <w:top w:val="nil"/>
              <w:left w:val="nil"/>
              <w:bottom w:val="nil"/>
              <w:right w:val="nil"/>
            </w:tcBorders>
            <w:shd w:val="clear" w:color="auto" w:fill="auto"/>
            <w:noWrap/>
            <w:vAlign w:val="bottom"/>
            <w:hideMark/>
          </w:tcPr>
          <w:p w14:paraId="4BAE981B"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62,5</w:t>
            </w:r>
          </w:p>
        </w:tc>
        <w:tc>
          <w:tcPr>
            <w:tcW w:w="354" w:type="pct"/>
            <w:tcBorders>
              <w:top w:val="nil"/>
              <w:left w:val="nil"/>
              <w:bottom w:val="nil"/>
              <w:right w:val="nil"/>
            </w:tcBorders>
            <w:shd w:val="clear" w:color="auto" w:fill="auto"/>
            <w:noWrap/>
            <w:vAlign w:val="bottom"/>
            <w:hideMark/>
          </w:tcPr>
          <w:p w14:paraId="040E12B6"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21,8</w:t>
            </w:r>
          </w:p>
        </w:tc>
        <w:tc>
          <w:tcPr>
            <w:tcW w:w="354" w:type="pct"/>
            <w:tcBorders>
              <w:top w:val="nil"/>
              <w:left w:val="nil"/>
              <w:bottom w:val="nil"/>
              <w:right w:val="nil"/>
            </w:tcBorders>
            <w:shd w:val="clear" w:color="auto" w:fill="auto"/>
            <w:noWrap/>
            <w:vAlign w:val="bottom"/>
            <w:hideMark/>
          </w:tcPr>
          <w:p w14:paraId="2AF08DDC"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100,0</w:t>
            </w:r>
          </w:p>
        </w:tc>
        <w:tc>
          <w:tcPr>
            <w:tcW w:w="354" w:type="pct"/>
            <w:tcBorders>
              <w:top w:val="nil"/>
              <w:left w:val="nil"/>
              <w:bottom w:val="nil"/>
              <w:right w:val="nil"/>
            </w:tcBorders>
            <w:shd w:val="clear" w:color="auto" w:fill="auto"/>
            <w:noWrap/>
            <w:vAlign w:val="bottom"/>
            <w:hideMark/>
          </w:tcPr>
          <w:p w14:paraId="697EFE2C"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796,0</w:t>
            </w:r>
          </w:p>
        </w:tc>
        <w:tc>
          <w:tcPr>
            <w:tcW w:w="354" w:type="pct"/>
            <w:tcBorders>
              <w:top w:val="nil"/>
              <w:left w:val="nil"/>
              <w:bottom w:val="nil"/>
              <w:right w:val="nil"/>
            </w:tcBorders>
            <w:shd w:val="clear" w:color="auto" w:fill="auto"/>
            <w:noWrap/>
            <w:vAlign w:val="bottom"/>
            <w:hideMark/>
          </w:tcPr>
          <w:p w14:paraId="47E9C23D"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1,7</w:t>
            </w:r>
          </w:p>
        </w:tc>
        <w:tc>
          <w:tcPr>
            <w:tcW w:w="354" w:type="pct"/>
            <w:tcBorders>
              <w:top w:val="nil"/>
              <w:left w:val="nil"/>
              <w:bottom w:val="nil"/>
              <w:right w:val="nil"/>
            </w:tcBorders>
            <w:shd w:val="clear" w:color="auto" w:fill="auto"/>
            <w:noWrap/>
            <w:vAlign w:val="bottom"/>
            <w:hideMark/>
          </w:tcPr>
          <w:p w14:paraId="6DCD7958"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0,5</w:t>
            </w:r>
          </w:p>
        </w:tc>
        <w:tc>
          <w:tcPr>
            <w:tcW w:w="427" w:type="pct"/>
            <w:tcBorders>
              <w:top w:val="nil"/>
              <w:left w:val="nil"/>
              <w:bottom w:val="nil"/>
              <w:right w:val="nil"/>
            </w:tcBorders>
            <w:shd w:val="clear" w:color="auto" w:fill="auto"/>
            <w:noWrap/>
            <w:vAlign w:val="bottom"/>
            <w:hideMark/>
          </w:tcPr>
          <w:p w14:paraId="7EB52757"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0,8</w:t>
            </w:r>
          </w:p>
        </w:tc>
        <w:tc>
          <w:tcPr>
            <w:tcW w:w="427" w:type="pct"/>
            <w:tcBorders>
              <w:top w:val="nil"/>
              <w:left w:val="nil"/>
              <w:bottom w:val="nil"/>
              <w:right w:val="nil"/>
            </w:tcBorders>
            <w:shd w:val="clear" w:color="auto" w:fill="auto"/>
            <w:noWrap/>
            <w:vAlign w:val="bottom"/>
            <w:hideMark/>
          </w:tcPr>
          <w:p w14:paraId="06B336E9"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190,7</w:t>
            </w:r>
          </w:p>
        </w:tc>
        <w:tc>
          <w:tcPr>
            <w:tcW w:w="427" w:type="pct"/>
            <w:tcBorders>
              <w:top w:val="nil"/>
              <w:left w:val="nil"/>
              <w:bottom w:val="nil"/>
              <w:right w:val="nil"/>
            </w:tcBorders>
            <w:shd w:val="clear" w:color="auto" w:fill="auto"/>
            <w:noWrap/>
            <w:vAlign w:val="bottom"/>
            <w:hideMark/>
          </w:tcPr>
          <w:p w14:paraId="244E3754"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7,7</w:t>
            </w:r>
          </w:p>
        </w:tc>
        <w:tc>
          <w:tcPr>
            <w:tcW w:w="427" w:type="pct"/>
            <w:tcBorders>
              <w:top w:val="nil"/>
              <w:left w:val="nil"/>
              <w:bottom w:val="nil"/>
              <w:right w:val="single" w:sz="4" w:space="0" w:color="auto"/>
            </w:tcBorders>
            <w:shd w:val="clear" w:color="auto" w:fill="auto"/>
            <w:noWrap/>
            <w:vAlign w:val="bottom"/>
            <w:hideMark/>
          </w:tcPr>
          <w:p w14:paraId="67AD4B35"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44,7</w:t>
            </w:r>
          </w:p>
        </w:tc>
      </w:tr>
      <w:tr w:rsidR="00662974" w:rsidRPr="00662974" w14:paraId="147EF2E3" w14:textId="77777777" w:rsidTr="00662974">
        <w:trPr>
          <w:trHeight w:val="255"/>
        </w:trPr>
        <w:tc>
          <w:tcPr>
            <w:tcW w:w="814" w:type="pct"/>
            <w:tcBorders>
              <w:top w:val="nil"/>
              <w:left w:val="single" w:sz="4" w:space="0" w:color="auto"/>
              <w:bottom w:val="nil"/>
              <w:right w:val="nil"/>
            </w:tcBorders>
            <w:shd w:val="clear" w:color="auto" w:fill="auto"/>
            <w:noWrap/>
            <w:vAlign w:val="bottom"/>
            <w:hideMark/>
          </w:tcPr>
          <w:p w14:paraId="5925933A" w14:textId="77777777" w:rsidR="00662974" w:rsidRPr="00662974" w:rsidRDefault="00662974" w:rsidP="00662974">
            <w:pPr>
              <w:spacing w:after="0" w:line="240" w:lineRule="auto"/>
              <w:ind w:firstLine="0"/>
              <w:contextualSpacing w:val="0"/>
              <w:jc w:val="left"/>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Minimum</w:t>
            </w:r>
          </w:p>
        </w:tc>
        <w:tc>
          <w:tcPr>
            <w:tcW w:w="354" w:type="pct"/>
            <w:tcBorders>
              <w:top w:val="nil"/>
              <w:left w:val="single" w:sz="4" w:space="0" w:color="auto"/>
              <w:bottom w:val="nil"/>
              <w:right w:val="nil"/>
            </w:tcBorders>
            <w:shd w:val="clear" w:color="auto" w:fill="auto"/>
            <w:noWrap/>
            <w:vAlign w:val="bottom"/>
            <w:hideMark/>
          </w:tcPr>
          <w:p w14:paraId="118E0565"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-96,2</w:t>
            </w:r>
          </w:p>
        </w:tc>
        <w:tc>
          <w:tcPr>
            <w:tcW w:w="354" w:type="pct"/>
            <w:tcBorders>
              <w:top w:val="nil"/>
              <w:left w:val="nil"/>
              <w:bottom w:val="nil"/>
              <w:right w:val="nil"/>
            </w:tcBorders>
            <w:shd w:val="clear" w:color="auto" w:fill="auto"/>
            <w:noWrap/>
            <w:vAlign w:val="bottom"/>
            <w:hideMark/>
          </w:tcPr>
          <w:p w14:paraId="1071A7B2"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-252,4</w:t>
            </w:r>
          </w:p>
        </w:tc>
        <w:tc>
          <w:tcPr>
            <w:tcW w:w="354" w:type="pct"/>
            <w:tcBorders>
              <w:top w:val="nil"/>
              <w:left w:val="nil"/>
              <w:bottom w:val="nil"/>
              <w:right w:val="nil"/>
            </w:tcBorders>
            <w:shd w:val="clear" w:color="auto" w:fill="auto"/>
            <w:noWrap/>
            <w:vAlign w:val="bottom"/>
            <w:hideMark/>
          </w:tcPr>
          <w:p w14:paraId="733B0D63"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-49,8</w:t>
            </w:r>
          </w:p>
        </w:tc>
        <w:tc>
          <w:tcPr>
            <w:tcW w:w="354" w:type="pct"/>
            <w:tcBorders>
              <w:top w:val="nil"/>
              <w:left w:val="nil"/>
              <w:bottom w:val="nil"/>
              <w:right w:val="nil"/>
            </w:tcBorders>
            <w:shd w:val="clear" w:color="auto" w:fill="auto"/>
            <w:noWrap/>
            <w:vAlign w:val="bottom"/>
            <w:hideMark/>
          </w:tcPr>
          <w:p w14:paraId="3B7D71DF"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-637,6</w:t>
            </w:r>
          </w:p>
        </w:tc>
        <w:tc>
          <w:tcPr>
            <w:tcW w:w="354" w:type="pct"/>
            <w:tcBorders>
              <w:top w:val="nil"/>
              <w:left w:val="nil"/>
              <w:bottom w:val="nil"/>
              <w:right w:val="nil"/>
            </w:tcBorders>
            <w:shd w:val="clear" w:color="auto" w:fill="auto"/>
            <w:noWrap/>
            <w:vAlign w:val="bottom"/>
            <w:hideMark/>
          </w:tcPr>
          <w:p w14:paraId="568648DC"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-5 979,4</w:t>
            </w:r>
          </w:p>
        </w:tc>
        <w:tc>
          <w:tcPr>
            <w:tcW w:w="354" w:type="pct"/>
            <w:tcBorders>
              <w:top w:val="nil"/>
              <w:left w:val="nil"/>
              <w:bottom w:val="nil"/>
              <w:right w:val="nil"/>
            </w:tcBorders>
            <w:shd w:val="clear" w:color="auto" w:fill="auto"/>
            <w:noWrap/>
            <w:vAlign w:val="bottom"/>
            <w:hideMark/>
          </w:tcPr>
          <w:p w14:paraId="78A5F962"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9,5</w:t>
            </w:r>
          </w:p>
        </w:tc>
        <w:tc>
          <w:tcPr>
            <w:tcW w:w="354" w:type="pct"/>
            <w:tcBorders>
              <w:top w:val="nil"/>
              <w:left w:val="nil"/>
              <w:bottom w:val="nil"/>
              <w:right w:val="nil"/>
            </w:tcBorders>
            <w:shd w:val="clear" w:color="auto" w:fill="auto"/>
            <w:noWrap/>
            <w:vAlign w:val="bottom"/>
            <w:hideMark/>
          </w:tcPr>
          <w:p w14:paraId="125D2029"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0,0</w:t>
            </w:r>
          </w:p>
        </w:tc>
        <w:tc>
          <w:tcPr>
            <w:tcW w:w="427" w:type="pct"/>
            <w:tcBorders>
              <w:top w:val="nil"/>
              <w:left w:val="nil"/>
              <w:bottom w:val="nil"/>
              <w:right w:val="nil"/>
            </w:tcBorders>
            <w:shd w:val="clear" w:color="auto" w:fill="auto"/>
            <w:noWrap/>
            <w:vAlign w:val="bottom"/>
            <w:hideMark/>
          </w:tcPr>
          <w:p w14:paraId="19A78C9B"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1,0</w:t>
            </w:r>
          </w:p>
        </w:tc>
        <w:tc>
          <w:tcPr>
            <w:tcW w:w="427" w:type="pct"/>
            <w:tcBorders>
              <w:top w:val="nil"/>
              <w:left w:val="nil"/>
              <w:bottom w:val="nil"/>
              <w:right w:val="nil"/>
            </w:tcBorders>
            <w:shd w:val="clear" w:color="auto" w:fill="auto"/>
            <w:noWrap/>
            <w:vAlign w:val="bottom"/>
            <w:hideMark/>
          </w:tcPr>
          <w:p w14:paraId="4BC9C344"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-716,4</w:t>
            </w:r>
          </w:p>
        </w:tc>
        <w:tc>
          <w:tcPr>
            <w:tcW w:w="427" w:type="pct"/>
            <w:tcBorders>
              <w:top w:val="nil"/>
              <w:left w:val="nil"/>
              <w:bottom w:val="nil"/>
              <w:right w:val="nil"/>
            </w:tcBorders>
            <w:shd w:val="clear" w:color="auto" w:fill="auto"/>
            <w:noWrap/>
            <w:vAlign w:val="bottom"/>
            <w:hideMark/>
          </w:tcPr>
          <w:p w14:paraId="1654E0F2"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-8,9</w:t>
            </w:r>
          </w:p>
        </w:tc>
        <w:tc>
          <w:tcPr>
            <w:tcW w:w="427" w:type="pct"/>
            <w:tcBorders>
              <w:top w:val="nil"/>
              <w:left w:val="nil"/>
              <w:bottom w:val="nil"/>
              <w:right w:val="single" w:sz="4" w:space="0" w:color="auto"/>
            </w:tcBorders>
            <w:shd w:val="clear" w:color="auto" w:fill="auto"/>
            <w:noWrap/>
            <w:vAlign w:val="bottom"/>
            <w:hideMark/>
          </w:tcPr>
          <w:p w14:paraId="51466434"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-62,1</w:t>
            </w:r>
          </w:p>
        </w:tc>
      </w:tr>
      <w:tr w:rsidR="00662974" w:rsidRPr="00662974" w14:paraId="6B268533" w14:textId="77777777" w:rsidTr="00662974">
        <w:trPr>
          <w:trHeight w:val="255"/>
        </w:trPr>
        <w:tc>
          <w:tcPr>
            <w:tcW w:w="814" w:type="pct"/>
            <w:tcBorders>
              <w:top w:val="nil"/>
              <w:left w:val="single" w:sz="4" w:space="0" w:color="auto"/>
              <w:bottom w:val="single" w:sz="4" w:space="0" w:color="auto"/>
              <w:right w:val="nil"/>
            </w:tcBorders>
            <w:shd w:val="clear" w:color="auto" w:fill="auto"/>
            <w:noWrap/>
            <w:vAlign w:val="bottom"/>
            <w:hideMark/>
          </w:tcPr>
          <w:p w14:paraId="6538B9B1" w14:textId="77777777" w:rsidR="00662974" w:rsidRPr="00662974" w:rsidRDefault="00662974" w:rsidP="00662974">
            <w:pPr>
              <w:spacing w:after="0" w:line="240" w:lineRule="auto"/>
              <w:ind w:firstLine="0"/>
              <w:contextualSpacing w:val="0"/>
              <w:jc w:val="left"/>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Maximum</w:t>
            </w:r>
          </w:p>
        </w:tc>
        <w:tc>
          <w:tcPr>
            <w:tcW w:w="354" w:type="pct"/>
            <w:tcBorders>
              <w:top w:val="nil"/>
              <w:left w:val="single" w:sz="4" w:space="0" w:color="auto"/>
              <w:bottom w:val="single" w:sz="4" w:space="0" w:color="auto"/>
              <w:right w:val="nil"/>
            </w:tcBorders>
            <w:shd w:val="clear" w:color="auto" w:fill="auto"/>
            <w:noWrap/>
            <w:vAlign w:val="bottom"/>
            <w:hideMark/>
          </w:tcPr>
          <w:p w14:paraId="4C38A33A"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292,1</w:t>
            </w:r>
          </w:p>
        </w:tc>
        <w:tc>
          <w:tcPr>
            <w:tcW w:w="354" w:type="pct"/>
            <w:tcBorders>
              <w:top w:val="nil"/>
              <w:left w:val="nil"/>
              <w:bottom w:val="single" w:sz="4" w:space="0" w:color="auto"/>
              <w:right w:val="nil"/>
            </w:tcBorders>
            <w:shd w:val="clear" w:color="auto" w:fill="auto"/>
            <w:noWrap/>
            <w:vAlign w:val="bottom"/>
            <w:hideMark/>
          </w:tcPr>
          <w:p w14:paraId="33DABF70"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726,4</w:t>
            </w:r>
          </w:p>
        </w:tc>
        <w:tc>
          <w:tcPr>
            <w:tcW w:w="354" w:type="pct"/>
            <w:tcBorders>
              <w:top w:val="nil"/>
              <w:left w:val="nil"/>
              <w:bottom w:val="single" w:sz="4" w:space="0" w:color="auto"/>
              <w:right w:val="nil"/>
            </w:tcBorders>
            <w:shd w:val="clear" w:color="auto" w:fill="auto"/>
            <w:noWrap/>
            <w:vAlign w:val="bottom"/>
            <w:hideMark/>
          </w:tcPr>
          <w:p w14:paraId="69EEFD95"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396,7</w:t>
            </w:r>
          </w:p>
        </w:tc>
        <w:tc>
          <w:tcPr>
            <w:tcW w:w="354" w:type="pct"/>
            <w:tcBorders>
              <w:top w:val="nil"/>
              <w:left w:val="nil"/>
              <w:bottom w:val="single" w:sz="4" w:space="0" w:color="auto"/>
              <w:right w:val="nil"/>
            </w:tcBorders>
            <w:shd w:val="clear" w:color="auto" w:fill="auto"/>
            <w:noWrap/>
            <w:vAlign w:val="bottom"/>
            <w:hideMark/>
          </w:tcPr>
          <w:p w14:paraId="10832B6D"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149,2</w:t>
            </w:r>
          </w:p>
        </w:tc>
        <w:tc>
          <w:tcPr>
            <w:tcW w:w="354" w:type="pct"/>
            <w:tcBorders>
              <w:top w:val="nil"/>
              <w:left w:val="nil"/>
              <w:bottom w:val="single" w:sz="4" w:space="0" w:color="auto"/>
              <w:right w:val="nil"/>
            </w:tcBorders>
            <w:shd w:val="clear" w:color="auto" w:fill="auto"/>
            <w:noWrap/>
            <w:vAlign w:val="bottom"/>
            <w:hideMark/>
          </w:tcPr>
          <w:p w14:paraId="1325B676"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7 206,1</w:t>
            </w:r>
          </w:p>
        </w:tc>
        <w:tc>
          <w:tcPr>
            <w:tcW w:w="354" w:type="pct"/>
            <w:tcBorders>
              <w:top w:val="nil"/>
              <w:left w:val="nil"/>
              <w:bottom w:val="single" w:sz="4" w:space="0" w:color="auto"/>
              <w:right w:val="nil"/>
            </w:tcBorders>
            <w:shd w:val="clear" w:color="auto" w:fill="auto"/>
            <w:noWrap/>
            <w:vAlign w:val="bottom"/>
            <w:hideMark/>
          </w:tcPr>
          <w:p w14:paraId="28D599BF"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17,5</w:t>
            </w:r>
          </w:p>
        </w:tc>
        <w:tc>
          <w:tcPr>
            <w:tcW w:w="354" w:type="pct"/>
            <w:tcBorders>
              <w:top w:val="nil"/>
              <w:left w:val="nil"/>
              <w:bottom w:val="single" w:sz="4" w:space="0" w:color="auto"/>
              <w:right w:val="nil"/>
            </w:tcBorders>
            <w:shd w:val="clear" w:color="auto" w:fill="auto"/>
            <w:noWrap/>
            <w:vAlign w:val="bottom"/>
            <w:hideMark/>
          </w:tcPr>
          <w:p w14:paraId="2577F5CD"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1,0</w:t>
            </w:r>
          </w:p>
        </w:tc>
        <w:tc>
          <w:tcPr>
            <w:tcW w:w="427" w:type="pct"/>
            <w:tcBorders>
              <w:top w:val="nil"/>
              <w:left w:val="nil"/>
              <w:bottom w:val="single" w:sz="4" w:space="0" w:color="auto"/>
              <w:right w:val="nil"/>
            </w:tcBorders>
            <w:shd w:val="clear" w:color="auto" w:fill="auto"/>
            <w:noWrap/>
            <w:vAlign w:val="bottom"/>
            <w:hideMark/>
          </w:tcPr>
          <w:p w14:paraId="061D82E8"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3,0</w:t>
            </w:r>
          </w:p>
        </w:tc>
        <w:tc>
          <w:tcPr>
            <w:tcW w:w="427" w:type="pct"/>
            <w:tcBorders>
              <w:top w:val="nil"/>
              <w:left w:val="nil"/>
              <w:bottom w:val="single" w:sz="4" w:space="0" w:color="auto"/>
              <w:right w:val="nil"/>
            </w:tcBorders>
            <w:shd w:val="clear" w:color="auto" w:fill="auto"/>
            <w:noWrap/>
            <w:vAlign w:val="bottom"/>
            <w:hideMark/>
          </w:tcPr>
          <w:p w14:paraId="3533B20F"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1 121,0</w:t>
            </w:r>
          </w:p>
        </w:tc>
        <w:tc>
          <w:tcPr>
            <w:tcW w:w="427" w:type="pct"/>
            <w:tcBorders>
              <w:top w:val="nil"/>
              <w:left w:val="nil"/>
              <w:bottom w:val="single" w:sz="4" w:space="0" w:color="auto"/>
              <w:right w:val="nil"/>
            </w:tcBorders>
            <w:shd w:val="clear" w:color="auto" w:fill="auto"/>
            <w:noWrap/>
            <w:vAlign w:val="bottom"/>
            <w:hideMark/>
          </w:tcPr>
          <w:p w14:paraId="1B42B0A2"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61,6</w:t>
            </w:r>
          </w:p>
        </w:tc>
        <w:tc>
          <w:tcPr>
            <w:tcW w:w="427" w:type="pct"/>
            <w:tcBorders>
              <w:top w:val="nil"/>
              <w:left w:val="nil"/>
              <w:bottom w:val="single" w:sz="4" w:space="0" w:color="auto"/>
              <w:right w:val="single" w:sz="4" w:space="0" w:color="auto"/>
            </w:tcBorders>
            <w:shd w:val="clear" w:color="auto" w:fill="auto"/>
            <w:noWrap/>
            <w:vAlign w:val="bottom"/>
            <w:hideMark/>
          </w:tcPr>
          <w:p w14:paraId="687EFFC1" w14:textId="77777777" w:rsidR="00662974" w:rsidRPr="00662974" w:rsidRDefault="00662974" w:rsidP="00662974">
            <w:pPr>
              <w:spacing w:after="0" w:line="240" w:lineRule="auto"/>
              <w:ind w:firstLine="0"/>
              <w:contextualSpacing w:val="0"/>
              <w:jc w:val="center"/>
              <w:rPr>
                <w:rFonts w:eastAsia="Times New Roman" w:cs="Times New Roman"/>
                <w:color w:val="000000"/>
                <w:sz w:val="20"/>
                <w:szCs w:val="20"/>
                <w:lang w:val="ru-RU" w:eastAsia="ru-RU"/>
              </w:rPr>
            </w:pPr>
            <w:r w:rsidRPr="00662974">
              <w:rPr>
                <w:rFonts w:eastAsia="Times New Roman" w:cs="Times New Roman"/>
                <w:color w:val="000000"/>
                <w:sz w:val="20"/>
                <w:szCs w:val="20"/>
                <w:lang w:val="ru-RU" w:eastAsia="ru-RU"/>
              </w:rPr>
              <w:t>79,8</w:t>
            </w:r>
          </w:p>
        </w:tc>
      </w:tr>
    </w:tbl>
    <w:p w14:paraId="49F508EE" w14:textId="77777777" w:rsidR="00662974" w:rsidRPr="00662974" w:rsidRDefault="00662974" w:rsidP="00662974"/>
    <w:p w14:paraId="6E4D44BE" w14:textId="5CBB340F" w:rsidR="008E603B" w:rsidRDefault="00EA2D22" w:rsidP="004D2A38">
      <w:pPr>
        <w:tabs>
          <w:tab w:val="left" w:pos="0"/>
        </w:tabs>
      </w:pPr>
      <w:r>
        <w:t>According to</w:t>
      </w:r>
      <w:r w:rsidR="00070207">
        <w:t xml:space="preserve"> the descriptive statistics table </w:t>
      </w:r>
      <w:r>
        <w:t>the most important variables for us to consider are CTQ (</w:t>
      </w:r>
      <w:r w:rsidR="00C4265A">
        <w:t>C</w:t>
      </w:r>
      <w:r>
        <w:t xml:space="preserve">hange in Tobin’s Q ratio), </w:t>
      </w:r>
      <w:r w:rsidR="00FF57C4">
        <w:t xml:space="preserve">AR (Change in Days accounts receivables), </w:t>
      </w:r>
      <w:proofErr w:type="spellStart"/>
      <w:r w:rsidR="00FF57C4">
        <w:t>Inv</w:t>
      </w:r>
      <w:proofErr w:type="spellEnd"/>
      <w:r w:rsidR="00FF57C4">
        <w:t xml:space="preserve"> (Change in Days inventories), AP (Change in Days accounts payable),</w:t>
      </w:r>
      <w:r>
        <w:t xml:space="preserve"> and WCD (</w:t>
      </w:r>
      <w:r w:rsidR="00C4265A">
        <w:t>W</w:t>
      </w:r>
      <w:r>
        <w:t xml:space="preserve">orking capital deficit). </w:t>
      </w:r>
      <w:r w:rsidR="0031571D">
        <w:t>As we can see the mean value for the change in Tobin’s Q is -13,6 that basically means that in average companies in the sample tend</w:t>
      </w:r>
      <w:r w:rsidR="008E603B">
        <w:t>ed</w:t>
      </w:r>
      <w:r w:rsidR="0031571D">
        <w:t xml:space="preserve"> to decrease their performance after the M&amp;A deal. However, the standard deviation figure for this indicator is somewhat high at 55,6. This means that the data sample was varying heavily in this time horizon and while mean value was negative, some companies showed way above average performance. The maximum and minimum figures as well show very high spread between this indicator. </w:t>
      </w:r>
      <w:r w:rsidR="008E603B">
        <w:t xml:space="preserve">Now if we look at the </w:t>
      </w:r>
      <w:r w:rsidR="00D85491">
        <w:t xml:space="preserve">changes in Days accounts receivables, inventories and payables </w:t>
      </w:r>
      <w:r w:rsidR="008E603B">
        <w:t xml:space="preserve">we may found out that in average companies tended to decrease </w:t>
      </w:r>
      <w:r w:rsidR="0007416E">
        <w:t>the length of time of counterparties to pay their debts in favor of these companies. At the same time accounts payable had a tendency for decreasing, meaning that outstanding debts were paid back faster than before</w:t>
      </w:r>
      <w:r w:rsidR="008E603B">
        <w:t>.</w:t>
      </w:r>
      <w:r w:rsidR="0007416E">
        <w:t xml:space="preserve"> At the same time inventories were in average slightly rising.</w:t>
      </w:r>
      <w:r w:rsidR="008E603B">
        <w:t xml:space="preserve"> The standard deviation, minimum </w:t>
      </w:r>
      <w:proofErr w:type="spellStart"/>
      <w:r w:rsidR="008E603B">
        <w:t>ad</w:t>
      </w:r>
      <w:proofErr w:type="spellEnd"/>
      <w:r w:rsidR="008E603B">
        <w:t xml:space="preserve"> maximum values as for the CTQ suggest about high fluctuations in the data sample. And as for the working capital deficit, mean value suggest that companies tended to keep the working capital amount lower than target working capital ratio may suggest for them. Standard deviation again is very high, as well as minimum and maximum values. This might also be an early evidence of the </w:t>
      </w:r>
      <w:r w:rsidR="002A4C5D">
        <w:t>bias</w:t>
      </w:r>
      <w:r w:rsidR="008E603B">
        <w:t xml:space="preserve"> in the target working capital ratio estimation. Since the deviations are so high, there could be some misinterpretation in the </w:t>
      </w:r>
      <w:r w:rsidR="00CB3B6C">
        <w:t xml:space="preserve">methodology of deriving optimal working capital structure. </w:t>
      </w:r>
    </w:p>
    <w:p w14:paraId="7F13A8A7" w14:textId="071BE897" w:rsidR="00331F3D" w:rsidRPr="003F4299" w:rsidRDefault="00331F3D" w:rsidP="004D2A38">
      <w:pPr>
        <w:tabs>
          <w:tab w:val="left" w:pos="0"/>
        </w:tabs>
      </w:pPr>
      <w:r w:rsidRPr="003F4299">
        <w:lastRenderedPageBreak/>
        <w:t xml:space="preserve">To further asses the </w:t>
      </w:r>
      <w:r w:rsidR="004E2F05" w:rsidRPr="003F4299">
        <w:t>relationships between the tested variables the correlation matrix was build (</w:t>
      </w:r>
      <w:r w:rsidR="00971A38" w:rsidRPr="003F4299">
        <w:fldChar w:fldCharType="begin"/>
      </w:r>
      <w:r w:rsidR="00971A38" w:rsidRPr="003F4299">
        <w:instrText xml:space="preserve"> REF _Ref514671673 \r \h  \* MERGEFORMAT </w:instrText>
      </w:r>
      <w:r w:rsidR="00971A38" w:rsidRPr="003F4299">
        <w:fldChar w:fldCharType="separate"/>
      </w:r>
      <w:r w:rsidR="00154E78">
        <w:t>Table 9</w:t>
      </w:r>
      <w:r w:rsidR="00971A38" w:rsidRPr="003F4299">
        <w:fldChar w:fldCharType="end"/>
      </w:r>
      <w:r w:rsidR="004E2F05" w:rsidRPr="003F4299">
        <w:t>). As we can see from the table, there is no severe dependence between variables. The highest correlation coefficient can be seen between the GDP growth rate and oil prices. And that is obvious, because the major oil &amp; gas producing countries economies, including Russian Federation, heavily depend on the oil revenues. Thus, the economy growth is highly dependent on the oil prices. Nevertheless, oil prices are not the only determinants of the economy growth and that is why the correlation coefficient is only 0,45. Overall, we do not see any other coefficients to be higher and that means that all of the variables can be used simultaneously in the further models.</w:t>
      </w:r>
    </w:p>
    <w:p w14:paraId="30CEC68A" w14:textId="17656C00" w:rsidR="00AF2C07" w:rsidRPr="003F4299" w:rsidRDefault="004E2F05" w:rsidP="004D2A38">
      <w:pPr>
        <w:pStyle w:val="a0"/>
        <w:tabs>
          <w:tab w:val="left" w:pos="0"/>
        </w:tabs>
      </w:pPr>
      <w:bookmarkStart w:id="29" w:name="_Ref514671673"/>
      <w:r w:rsidRPr="003F4299">
        <w:t>Correlation matrix</w:t>
      </w:r>
      <w:bookmarkEnd w:id="29"/>
    </w:p>
    <w:tbl>
      <w:tblPr>
        <w:tblW w:w="5000" w:type="pct"/>
        <w:tblLook w:val="04A0" w:firstRow="1" w:lastRow="0" w:firstColumn="1" w:lastColumn="0" w:noHBand="0" w:noVBand="1"/>
      </w:tblPr>
      <w:tblGrid>
        <w:gridCol w:w="808"/>
        <w:gridCol w:w="808"/>
        <w:gridCol w:w="808"/>
        <w:gridCol w:w="807"/>
        <w:gridCol w:w="807"/>
        <w:gridCol w:w="807"/>
        <w:gridCol w:w="807"/>
        <w:gridCol w:w="807"/>
        <w:gridCol w:w="807"/>
        <w:gridCol w:w="807"/>
        <w:gridCol w:w="807"/>
        <w:gridCol w:w="799"/>
      </w:tblGrid>
      <w:tr w:rsidR="00B36003" w:rsidRPr="00B36003" w14:paraId="62DDFEE2" w14:textId="77777777" w:rsidTr="00B36003">
        <w:trPr>
          <w:trHeight w:val="300"/>
        </w:trPr>
        <w:tc>
          <w:tcPr>
            <w:tcW w:w="4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222C5"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 </w:t>
            </w:r>
          </w:p>
        </w:tc>
        <w:tc>
          <w:tcPr>
            <w:tcW w:w="417" w:type="pct"/>
            <w:tcBorders>
              <w:top w:val="single" w:sz="4" w:space="0" w:color="auto"/>
              <w:left w:val="nil"/>
              <w:bottom w:val="single" w:sz="4" w:space="0" w:color="auto"/>
              <w:right w:val="nil"/>
            </w:tcBorders>
            <w:shd w:val="clear" w:color="auto" w:fill="auto"/>
            <w:noWrap/>
            <w:vAlign w:val="bottom"/>
            <w:hideMark/>
          </w:tcPr>
          <w:p w14:paraId="65ECD248" w14:textId="77777777" w:rsidR="00B36003" w:rsidRPr="00B36003" w:rsidRDefault="00B36003" w:rsidP="00B36003">
            <w:pPr>
              <w:spacing w:after="0" w:line="240" w:lineRule="auto"/>
              <w:ind w:firstLine="0"/>
              <w:contextualSpacing w:val="0"/>
              <w:jc w:val="center"/>
              <w:rPr>
                <w:rFonts w:eastAsia="Times New Roman" w:cs="Times New Roman"/>
                <w:b/>
                <w:bCs/>
                <w:color w:val="000000"/>
                <w:sz w:val="20"/>
                <w:szCs w:val="20"/>
                <w:lang w:val="ru-RU" w:eastAsia="ru-RU"/>
              </w:rPr>
            </w:pPr>
            <w:r w:rsidRPr="00B36003">
              <w:rPr>
                <w:rFonts w:eastAsia="Times New Roman" w:cs="Times New Roman"/>
                <w:b/>
                <w:bCs/>
                <w:color w:val="000000"/>
                <w:sz w:val="20"/>
                <w:szCs w:val="20"/>
                <w:lang w:val="ru-RU" w:eastAsia="ru-RU"/>
              </w:rPr>
              <w:t>CTQ</w:t>
            </w:r>
          </w:p>
        </w:tc>
        <w:tc>
          <w:tcPr>
            <w:tcW w:w="417" w:type="pct"/>
            <w:tcBorders>
              <w:top w:val="single" w:sz="4" w:space="0" w:color="auto"/>
              <w:left w:val="nil"/>
              <w:bottom w:val="single" w:sz="4" w:space="0" w:color="auto"/>
              <w:right w:val="nil"/>
            </w:tcBorders>
            <w:shd w:val="clear" w:color="auto" w:fill="auto"/>
            <w:noWrap/>
            <w:vAlign w:val="bottom"/>
            <w:hideMark/>
          </w:tcPr>
          <w:p w14:paraId="494BF197" w14:textId="77777777" w:rsidR="00B36003" w:rsidRPr="00B36003" w:rsidRDefault="00B36003" w:rsidP="00B36003">
            <w:pPr>
              <w:spacing w:after="0" w:line="240" w:lineRule="auto"/>
              <w:ind w:firstLine="0"/>
              <w:contextualSpacing w:val="0"/>
              <w:jc w:val="center"/>
              <w:rPr>
                <w:rFonts w:eastAsia="Times New Roman" w:cs="Times New Roman"/>
                <w:b/>
                <w:bCs/>
                <w:color w:val="000000"/>
                <w:sz w:val="20"/>
                <w:szCs w:val="20"/>
                <w:lang w:val="ru-RU" w:eastAsia="ru-RU"/>
              </w:rPr>
            </w:pPr>
            <w:r w:rsidRPr="00B36003">
              <w:rPr>
                <w:rFonts w:eastAsia="Times New Roman" w:cs="Times New Roman"/>
                <w:b/>
                <w:bCs/>
                <w:color w:val="000000"/>
                <w:sz w:val="20"/>
                <w:szCs w:val="20"/>
                <w:lang w:val="ru-RU" w:eastAsia="ru-RU"/>
              </w:rPr>
              <w:t>AR</w:t>
            </w:r>
          </w:p>
        </w:tc>
        <w:tc>
          <w:tcPr>
            <w:tcW w:w="417" w:type="pct"/>
            <w:tcBorders>
              <w:top w:val="single" w:sz="4" w:space="0" w:color="auto"/>
              <w:left w:val="nil"/>
              <w:bottom w:val="single" w:sz="4" w:space="0" w:color="auto"/>
              <w:right w:val="nil"/>
            </w:tcBorders>
            <w:shd w:val="clear" w:color="auto" w:fill="auto"/>
            <w:noWrap/>
            <w:vAlign w:val="bottom"/>
            <w:hideMark/>
          </w:tcPr>
          <w:p w14:paraId="01801B1B" w14:textId="77777777" w:rsidR="00B36003" w:rsidRPr="00B36003" w:rsidRDefault="00B36003" w:rsidP="00B36003">
            <w:pPr>
              <w:spacing w:after="0" w:line="240" w:lineRule="auto"/>
              <w:ind w:firstLine="0"/>
              <w:contextualSpacing w:val="0"/>
              <w:jc w:val="center"/>
              <w:rPr>
                <w:rFonts w:eastAsia="Times New Roman" w:cs="Times New Roman"/>
                <w:b/>
                <w:bCs/>
                <w:color w:val="000000"/>
                <w:sz w:val="20"/>
                <w:szCs w:val="20"/>
                <w:lang w:val="ru-RU" w:eastAsia="ru-RU"/>
              </w:rPr>
            </w:pPr>
            <w:proofErr w:type="spellStart"/>
            <w:r w:rsidRPr="00B36003">
              <w:rPr>
                <w:rFonts w:eastAsia="Times New Roman" w:cs="Times New Roman"/>
                <w:b/>
                <w:bCs/>
                <w:color w:val="000000"/>
                <w:sz w:val="20"/>
                <w:szCs w:val="20"/>
                <w:lang w:val="ru-RU" w:eastAsia="ru-RU"/>
              </w:rPr>
              <w:t>Inv</w:t>
            </w:r>
            <w:proofErr w:type="spellEnd"/>
          </w:p>
        </w:tc>
        <w:tc>
          <w:tcPr>
            <w:tcW w:w="417" w:type="pct"/>
            <w:tcBorders>
              <w:top w:val="single" w:sz="4" w:space="0" w:color="auto"/>
              <w:left w:val="nil"/>
              <w:bottom w:val="single" w:sz="4" w:space="0" w:color="auto"/>
              <w:right w:val="nil"/>
            </w:tcBorders>
            <w:shd w:val="clear" w:color="auto" w:fill="auto"/>
            <w:noWrap/>
            <w:vAlign w:val="bottom"/>
            <w:hideMark/>
          </w:tcPr>
          <w:p w14:paraId="2A9C87D8" w14:textId="77777777" w:rsidR="00B36003" w:rsidRPr="00B36003" w:rsidRDefault="00B36003" w:rsidP="00B36003">
            <w:pPr>
              <w:spacing w:after="0" w:line="240" w:lineRule="auto"/>
              <w:ind w:firstLine="0"/>
              <w:contextualSpacing w:val="0"/>
              <w:jc w:val="center"/>
              <w:rPr>
                <w:rFonts w:eastAsia="Times New Roman" w:cs="Times New Roman"/>
                <w:b/>
                <w:bCs/>
                <w:color w:val="000000"/>
                <w:sz w:val="20"/>
                <w:szCs w:val="20"/>
                <w:lang w:val="ru-RU" w:eastAsia="ru-RU"/>
              </w:rPr>
            </w:pPr>
            <w:r w:rsidRPr="00B36003">
              <w:rPr>
                <w:rFonts w:eastAsia="Times New Roman" w:cs="Times New Roman"/>
                <w:b/>
                <w:bCs/>
                <w:color w:val="000000"/>
                <w:sz w:val="20"/>
                <w:szCs w:val="20"/>
                <w:lang w:val="ru-RU" w:eastAsia="ru-RU"/>
              </w:rPr>
              <w:t>AP</w:t>
            </w:r>
          </w:p>
        </w:tc>
        <w:tc>
          <w:tcPr>
            <w:tcW w:w="417" w:type="pct"/>
            <w:tcBorders>
              <w:top w:val="single" w:sz="4" w:space="0" w:color="auto"/>
              <w:left w:val="nil"/>
              <w:bottom w:val="single" w:sz="4" w:space="0" w:color="auto"/>
              <w:right w:val="nil"/>
            </w:tcBorders>
            <w:shd w:val="clear" w:color="auto" w:fill="auto"/>
            <w:noWrap/>
            <w:vAlign w:val="bottom"/>
            <w:hideMark/>
          </w:tcPr>
          <w:p w14:paraId="52142350" w14:textId="77777777" w:rsidR="00B36003" w:rsidRPr="00B36003" w:rsidRDefault="00B36003" w:rsidP="00B36003">
            <w:pPr>
              <w:spacing w:after="0" w:line="240" w:lineRule="auto"/>
              <w:ind w:firstLine="0"/>
              <w:contextualSpacing w:val="0"/>
              <w:jc w:val="center"/>
              <w:rPr>
                <w:rFonts w:eastAsia="Times New Roman" w:cs="Times New Roman"/>
                <w:b/>
                <w:bCs/>
                <w:color w:val="000000"/>
                <w:sz w:val="20"/>
                <w:szCs w:val="20"/>
                <w:lang w:val="ru-RU" w:eastAsia="ru-RU"/>
              </w:rPr>
            </w:pPr>
            <w:r w:rsidRPr="00B36003">
              <w:rPr>
                <w:rFonts w:eastAsia="Times New Roman" w:cs="Times New Roman"/>
                <w:b/>
                <w:bCs/>
                <w:color w:val="000000"/>
                <w:sz w:val="20"/>
                <w:szCs w:val="20"/>
                <w:lang w:val="ru-RU" w:eastAsia="ru-RU"/>
              </w:rPr>
              <w:t>WCD</w:t>
            </w:r>
          </w:p>
        </w:tc>
        <w:tc>
          <w:tcPr>
            <w:tcW w:w="417" w:type="pct"/>
            <w:tcBorders>
              <w:top w:val="single" w:sz="4" w:space="0" w:color="auto"/>
              <w:left w:val="nil"/>
              <w:bottom w:val="single" w:sz="4" w:space="0" w:color="auto"/>
              <w:right w:val="nil"/>
            </w:tcBorders>
            <w:shd w:val="clear" w:color="auto" w:fill="auto"/>
            <w:noWrap/>
            <w:vAlign w:val="bottom"/>
            <w:hideMark/>
          </w:tcPr>
          <w:p w14:paraId="699BA218" w14:textId="77777777" w:rsidR="00B36003" w:rsidRPr="00B36003" w:rsidRDefault="00B36003" w:rsidP="00B36003">
            <w:pPr>
              <w:spacing w:after="0" w:line="240" w:lineRule="auto"/>
              <w:ind w:firstLine="0"/>
              <w:contextualSpacing w:val="0"/>
              <w:jc w:val="center"/>
              <w:rPr>
                <w:rFonts w:eastAsia="Times New Roman" w:cs="Times New Roman"/>
                <w:b/>
                <w:bCs/>
                <w:color w:val="000000"/>
                <w:sz w:val="20"/>
                <w:szCs w:val="20"/>
                <w:lang w:val="ru-RU" w:eastAsia="ru-RU"/>
              </w:rPr>
            </w:pPr>
            <w:r w:rsidRPr="00B36003">
              <w:rPr>
                <w:rFonts w:eastAsia="Times New Roman" w:cs="Times New Roman"/>
                <w:b/>
                <w:bCs/>
                <w:color w:val="000000"/>
                <w:sz w:val="20"/>
                <w:szCs w:val="20"/>
                <w:lang w:val="ru-RU" w:eastAsia="ru-RU"/>
              </w:rPr>
              <w:t>DS</w:t>
            </w:r>
          </w:p>
        </w:tc>
        <w:tc>
          <w:tcPr>
            <w:tcW w:w="417" w:type="pct"/>
            <w:tcBorders>
              <w:top w:val="single" w:sz="4" w:space="0" w:color="auto"/>
              <w:left w:val="nil"/>
              <w:bottom w:val="single" w:sz="4" w:space="0" w:color="auto"/>
              <w:right w:val="nil"/>
            </w:tcBorders>
            <w:shd w:val="clear" w:color="auto" w:fill="auto"/>
            <w:noWrap/>
            <w:vAlign w:val="bottom"/>
            <w:hideMark/>
          </w:tcPr>
          <w:p w14:paraId="12A655C7" w14:textId="77777777" w:rsidR="00B36003" w:rsidRPr="00B36003" w:rsidRDefault="00B36003" w:rsidP="00B36003">
            <w:pPr>
              <w:spacing w:after="0" w:line="240" w:lineRule="auto"/>
              <w:ind w:firstLine="0"/>
              <w:contextualSpacing w:val="0"/>
              <w:jc w:val="center"/>
              <w:rPr>
                <w:rFonts w:eastAsia="Times New Roman" w:cs="Times New Roman"/>
                <w:b/>
                <w:bCs/>
                <w:color w:val="000000"/>
                <w:sz w:val="20"/>
                <w:szCs w:val="20"/>
                <w:lang w:val="ru-RU" w:eastAsia="ru-RU"/>
              </w:rPr>
            </w:pPr>
            <w:r w:rsidRPr="00B36003">
              <w:rPr>
                <w:rFonts w:eastAsia="Times New Roman" w:cs="Times New Roman"/>
                <w:b/>
                <w:bCs/>
                <w:color w:val="000000"/>
                <w:sz w:val="20"/>
                <w:szCs w:val="20"/>
                <w:lang w:val="ru-RU" w:eastAsia="ru-RU"/>
              </w:rPr>
              <w:t>IS</w:t>
            </w:r>
          </w:p>
        </w:tc>
        <w:tc>
          <w:tcPr>
            <w:tcW w:w="417" w:type="pct"/>
            <w:tcBorders>
              <w:top w:val="single" w:sz="4" w:space="0" w:color="auto"/>
              <w:left w:val="nil"/>
              <w:bottom w:val="single" w:sz="4" w:space="0" w:color="auto"/>
              <w:right w:val="nil"/>
            </w:tcBorders>
            <w:shd w:val="clear" w:color="auto" w:fill="auto"/>
            <w:noWrap/>
            <w:vAlign w:val="bottom"/>
            <w:hideMark/>
          </w:tcPr>
          <w:p w14:paraId="12356BB8" w14:textId="77777777" w:rsidR="00B36003" w:rsidRPr="00B36003" w:rsidRDefault="00B36003" w:rsidP="00B36003">
            <w:pPr>
              <w:spacing w:after="0" w:line="240" w:lineRule="auto"/>
              <w:ind w:firstLine="0"/>
              <w:contextualSpacing w:val="0"/>
              <w:jc w:val="center"/>
              <w:rPr>
                <w:rFonts w:eastAsia="Times New Roman" w:cs="Times New Roman"/>
                <w:b/>
                <w:bCs/>
                <w:color w:val="000000"/>
                <w:sz w:val="20"/>
                <w:szCs w:val="20"/>
                <w:lang w:val="ru-RU" w:eastAsia="ru-RU"/>
              </w:rPr>
            </w:pPr>
            <w:r w:rsidRPr="00B36003">
              <w:rPr>
                <w:rFonts w:eastAsia="Times New Roman" w:cs="Times New Roman"/>
                <w:b/>
                <w:bCs/>
                <w:color w:val="000000"/>
                <w:sz w:val="20"/>
                <w:szCs w:val="20"/>
                <w:lang w:val="ru-RU" w:eastAsia="ru-RU"/>
              </w:rPr>
              <w:t>FT</w:t>
            </w:r>
          </w:p>
        </w:tc>
        <w:tc>
          <w:tcPr>
            <w:tcW w:w="417" w:type="pct"/>
            <w:tcBorders>
              <w:top w:val="single" w:sz="4" w:space="0" w:color="auto"/>
              <w:left w:val="nil"/>
              <w:bottom w:val="single" w:sz="4" w:space="0" w:color="auto"/>
              <w:right w:val="nil"/>
            </w:tcBorders>
            <w:shd w:val="clear" w:color="auto" w:fill="auto"/>
            <w:noWrap/>
            <w:vAlign w:val="bottom"/>
            <w:hideMark/>
          </w:tcPr>
          <w:p w14:paraId="26721CB4" w14:textId="77777777" w:rsidR="00B36003" w:rsidRPr="00B36003" w:rsidRDefault="00B36003" w:rsidP="00B36003">
            <w:pPr>
              <w:spacing w:after="0" w:line="240" w:lineRule="auto"/>
              <w:ind w:firstLine="0"/>
              <w:contextualSpacing w:val="0"/>
              <w:jc w:val="center"/>
              <w:rPr>
                <w:rFonts w:eastAsia="Times New Roman" w:cs="Times New Roman"/>
                <w:b/>
                <w:bCs/>
                <w:color w:val="000000"/>
                <w:sz w:val="20"/>
                <w:szCs w:val="20"/>
                <w:lang w:val="ru-RU" w:eastAsia="ru-RU"/>
              </w:rPr>
            </w:pPr>
            <w:r w:rsidRPr="00B36003">
              <w:rPr>
                <w:rFonts w:eastAsia="Times New Roman" w:cs="Times New Roman"/>
                <w:b/>
                <w:bCs/>
                <w:color w:val="000000"/>
                <w:sz w:val="20"/>
                <w:szCs w:val="20"/>
                <w:lang w:val="ru-RU" w:eastAsia="ru-RU"/>
              </w:rPr>
              <w:t>CLR</w:t>
            </w:r>
          </w:p>
        </w:tc>
        <w:tc>
          <w:tcPr>
            <w:tcW w:w="417" w:type="pct"/>
            <w:tcBorders>
              <w:top w:val="single" w:sz="4" w:space="0" w:color="auto"/>
              <w:left w:val="nil"/>
              <w:bottom w:val="single" w:sz="4" w:space="0" w:color="auto"/>
              <w:right w:val="nil"/>
            </w:tcBorders>
            <w:shd w:val="clear" w:color="auto" w:fill="auto"/>
            <w:noWrap/>
            <w:vAlign w:val="bottom"/>
            <w:hideMark/>
          </w:tcPr>
          <w:p w14:paraId="02C3FB56" w14:textId="77777777" w:rsidR="00B36003" w:rsidRPr="00B36003" w:rsidRDefault="00B36003" w:rsidP="00B36003">
            <w:pPr>
              <w:spacing w:after="0" w:line="240" w:lineRule="auto"/>
              <w:ind w:firstLine="0"/>
              <w:contextualSpacing w:val="0"/>
              <w:jc w:val="center"/>
              <w:rPr>
                <w:rFonts w:eastAsia="Times New Roman" w:cs="Times New Roman"/>
                <w:b/>
                <w:bCs/>
                <w:color w:val="000000"/>
                <w:sz w:val="20"/>
                <w:szCs w:val="20"/>
                <w:lang w:val="ru-RU" w:eastAsia="ru-RU"/>
              </w:rPr>
            </w:pPr>
            <w:r w:rsidRPr="00B36003">
              <w:rPr>
                <w:rFonts w:eastAsia="Times New Roman" w:cs="Times New Roman"/>
                <w:b/>
                <w:bCs/>
                <w:color w:val="000000"/>
                <w:sz w:val="20"/>
                <w:szCs w:val="20"/>
                <w:lang w:val="ru-RU" w:eastAsia="ru-RU"/>
              </w:rPr>
              <w:t>GDP</w:t>
            </w:r>
          </w:p>
        </w:tc>
        <w:tc>
          <w:tcPr>
            <w:tcW w:w="417" w:type="pct"/>
            <w:tcBorders>
              <w:top w:val="single" w:sz="4" w:space="0" w:color="auto"/>
              <w:left w:val="nil"/>
              <w:bottom w:val="single" w:sz="4" w:space="0" w:color="auto"/>
              <w:right w:val="single" w:sz="4" w:space="0" w:color="auto"/>
            </w:tcBorders>
            <w:shd w:val="clear" w:color="auto" w:fill="auto"/>
            <w:noWrap/>
            <w:vAlign w:val="bottom"/>
            <w:hideMark/>
          </w:tcPr>
          <w:p w14:paraId="338DD2D5" w14:textId="77777777" w:rsidR="00B36003" w:rsidRPr="00B36003" w:rsidRDefault="00B36003" w:rsidP="00B36003">
            <w:pPr>
              <w:spacing w:after="0" w:line="240" w:lineRule="auto"/>
              <w:ind w:firstLine="0"/>
              <w:contextualSpacing w:val="0"/>
              <w:jc w:val="center"/>
              <w:rPr>
                <w:rFonts w:eastAsia="Times New Roman" w:cs="Times New Roman"/>
                <w:b/>
                <w:bCs/>
                <w:color w:val="000000"/>
                <w:sz w:val="20"/>
                <w:szCs w:val="20"/>
                <w:lang w:val="ru-RU" w:eastAsia="ru-RU"/>
              </w:rPr>
            </w:pPr>
            <w:r w:rsidRPr="00B36003">
              <w:rPr>
                <w:rFonts w:eastAsia="Times New Roman" w:cs="Times New Roman"/>
                <w:b/>
                <w:bCs/>
                <w:color w:val="000000"/>
                <w:sz w:val="20"/>
                <w:szCs w:val="20"/>
                <w:lang w:val="ru-RU" w:eastAsia="ru-RU"/>
              </w:rPr>
              <w:t>OPR</w:t>
            </w:r>
          </w:p>
        </w:tc>
      </w:tr>
      <w:tr w:rsidR="00B36003" w:rsidRPr="00B36003" w14:paraId="2A0B555A" w14:textId="77777777" w:rsidTr="00B36003">
        <w:trPr>
          <w:trHeight w:val="300"/>
        </w:trPr>
        <w:tc>
          <w:tcPr>
            <w:tcW w:w="417" w:type="pct"/>
            <w:tcBorders>
              <w:top w:val="nil"/>
              <w:left w:val="single" w:sz="4" w:space="0" w:color="auto"/>
              <w:bottom w:val="nil"/>
              <w:right w:val="single" w:sz="4" w:space="0" w:color="auto"/>
            </w:tcBorders>
            <w:shd w:val="clear" w:color="auto" w:fill="auto"/>
            <w:noWrap/>
            <w:vAlign w:val="bottom"/>
            <w:hideMark/>
          </w:tcPr>
          <w:p w14:paraId="79881C35" w14:textId="77777777" w:rsidR="00B36003" w:rsidRPr="00B36003" w:rsidRDefault="00B36003" w:rsidP="00B36003">
            <w:pPr>
              <w:spacing w:after="0" w:line="240" w:lineRule="auto"/>
              <w:ind w:firstLine="0"/>
              <w:contextualSpacing w:val="0"/>
              <w:jc w:val="center"/>
              <w:rPr>
                <w:rFonts w:eastAsia="Times New Roman" w:cs="Times New Roman"/>
                <w:b/>
                <w:bCs/>
                <w:color w:val="000000"/>
                <w:sz w:val="20"/>
                <w:szCs w:val="20"/>
                <w:lang w:val="ru-RU" w:eastAsia="ru-RU"/>
              </w:rPr>
            </w:pPr>
            <w:r w:rsidRPr="00B36003">
              <w:rPr>
                <w:rFonts w:eastAsia="Times New Roman" w:cs="Times New Roman"/>
                <w:b/>
                <w:bCs/>
                <w:color w:val="000000"/>
                <w:sz w:val="20"/>
                <w:szCs w:val="20"/>
                <w:lang w:val="ru-RU" w:eastAsia="ru-RU"/>
              </w:rPr>
              <w:t>CTQ</w:t>
            </w:r>
          </w:p>
        </w:tc>
        <w:tc>
          <w:tcPr>
            <w:tcW w:w="417" w:type="pct"/>
            <w:tcBorders>
              <w:top w:val="nil"/>
              <w:left w:val="nil"/>
              <w:bottom w:val="nil"/>
              <w:right w:val="nil"/>
            </w:tcBorders>
            <w:shd w:val="clear" w:color="auto" w:fill="auto"/>
            <w:noWrap/>
            <w:vAlign w:val="bottom"/>
            <w:hideMark/>
          </w:tcPr>
          <w:p w14:paraId="75AF23F9"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1,00</w:t>
            </w:r>
          </w:p>
        </w:tc>
        <w:tc>
          <w:tcPr>
            <w:tcW w:w="417" w:type="pct"/>
            <w:tcBorders>
              <w:top w:val="nil"/>
              <w:left w:val="nil"/>
              <w:bottom w:val="nil"/>
              <w:right w:val="nil"/>
            </w:tcBorders>
            <w:shd w:val="clear" w:color="auto" w:fill="auto"/>
            <w:noWrap/>
            <w:vAlign w:val="bottom"/>
            <w:hideMark/>
          </w:tcPr>
          <w:p w14:paraId="5B03F813"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p>
        </w:tc>
        <w:tc>
          <w:tcPr>
            <w:tcW w:w="417" w:type="pct"/>
            <w:tcBorders>
              <w:top w:val="nil"/>
              <w:left w:val="nil"/>
              <w:bottom w:val="nil"/>
              <w:right w:val="nil"/>
            </w:tcBorders>
            <w:shd w:val="clear" w:color="auto" w:fill="auto"/>
            <w:noWrap/>
            <w:vAlign w:val="bottom"/>
            <w:hideMark/>
          </w:tcPr>
          <w:p w14:paraId="4250CB0B"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nil"/>
            </w:tcBorders>
            <w:shd w:val="clear" w:color="auto" w:fill="auto"/>
            <w:noWrap/>
            <w:vAlign w:val="bottom"/>
            <w:hideMark/>
          </w:tcPr>
          <w:p w14:paraId="308A2C2E"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nil"/>
            </w:tcBorders>
            <w:shd w:val="clear" w:color="auto" w:fill="auto"/>
            <w:noWrap/>
            <w:vAlign w:val="bottom"/>
            <w:hideMark/>
          </w:tcPr>
          <w:p w14:paraId="3FCDA99E"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nil"/>
            </w:tcBorders>
            <w:shd w:val="clear" w:color="auto" w:fill="auto"/>
            <w:noWrap/>
            <w:vAlign w:val="bottom"/>
            <w:hideMark/>
          </w:tcPr>
          <w:p w14:paraId="4FF0E21F"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nil"/>
            </w:tcBorders>
            <w:shd w:val="clear" w:color="auto" w:fill="auto"/>
            <w:noWrap/>
            <w:vAlign w:val="bottom"/>
            <w:hideMark/>
          </w:tcPr>
          <w:p w14:paraId="671FA34A"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nil"/>
            </w:tcBorders>
            <w:shd w:val="clear" w:color="auto" w:fill="auto"/>
            <w:noWrap/>
            <w:vAlign w:val="bottom"/>
            <w:hideMark/>
          </w:tcPr>
          <w:p w14:paraId="43C83A87"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nil"/>
            </w:tcBorders>
            <w:shd w:val="clear" w:color="auto" w:fill="auto"/>
            <w:noWrap/>
            <w:vAlign w:val="bottom"/>
            <w:hideMark/>
          </w:tcPr>
          <w:p w14:paraId="737A356A"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nil"/>
            </w:tcBorders>
            <w:shd w:val="clear" w:color="auto" w:fill="auto"/>
            <w:noWrap/>
            <w:vAlign w:val="bottom"/>
            <w:hideMark/>
          </w:tcPr>
          <w:p w14:paraId="326024AF"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single" w:sz="4" w:space="0" w:color="auto"/>
            </w:tcBorders>
            <w:shd w:val="clear" w:color="auto" w:fill="auto"/>
            <w:noWrap/>
            <w:vAlign w:val="bottom"/>
            <w:hideMark/>
          </w:tcPr>
          <w:p w14:paraId="2D6C2D1C"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 </w:t>
            </w:r>
          </w:p>
        </w:tc>
      </w:tr>
      <w:tr w:rsidR="00B36003" w:rsidRPr="00B36003" w14:paraId="170D76A5" w14:textId="77777777" w:rsidTr="00B36003">
        <w:trPr>
          <w:trHeight w:val="300"/>
        </w:trPr>
        <w:tc>
          <w:tcPr>
            <w:tcW w:w="417" w:type="pct"/>
            <w:tcBorders>
              <w:top w:val="nil"/>
              <w:left w:val="single" w:sz="4" w:space="0" w:color="auto"/>
              <w:bottom w:val="nil"/>
              <w:right w:val="single" w:sz="4" w:space="0" w:color="auto"/>
            </w:tcBorders>
            <w:shd w:val="clear" w:color="auto" w:fill="auto"/>
            <w:noWrap/>
            <w:vAlign w:val="bottom"/>
            <w:hideMark/>
          </w:tcPr>
          <w:p w14:paraId="0FD630CB" w14:textId="77777777" w:rsidR="00B36003" w:rsidRPr="00B36003" w:rsidRDefault="00B36003" w:rsidP="00B36003">
            <w:pPr>
              <w:spacing w:after="0" w:line="240" w:lineRule="auto"/>
              <w:ind w:firstLine="0"/>
              <w:contextualSpacing w:val="0"/>
              <w:jc w:val="center"/>
              <w:rPr>
                <w:rFonts w:eastAsia="Times New Roman" w:cs="Times New Roman"/>
                <w:b/>
                <w:bCs/>
                <w:color w:val="000000"/>
                <w:sz w:val="20"/>
                <w:szCs w:val="20"/>
                <w:lang w:val="ru-RU" w:eastAsia="ru-RU"/>
              </w:rPr>
            </w:pPr>
            <w:r w:rsidRPr="00B36003">
              <w:rPr>
                <w:rFonts w:eastAsia="Times New Roman" w:cs="Times New Roman"/>
                <w:b/>
                <w:bCs/>
                <w:color w:val="000000"/>
                <w:sz w:val="20"/>
                <w:szCs w:val="20"/>
                <w:lang w:val="ru-RU" w:eastAsia="ru-RU"/>
              </w:rPr>
              <w:t>AR</w:t>
            </w:r>
          </w:p>
        </w:tc>
        <w:tc>
          <w:tcPr>
            <w:tcW w:w="417" w:type="pct"/>
            <w:tcBorders>
              <w:top w:val="nil"/>
              <w:left w:val="nil"/>
              <w:bottom w:val="nil"/>
              <w:right w:val="nil"/>
            </w:tcBorders>
            <w:shd w:val="clear" w:color="auto" w:fill="auto"/>
            <w:noWrap/>
            <w:vAlign w:val="bottom"/>
            <w:hideMark/>
          </w:tcPr>
          <w:p w14:paraId="271AA015"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-0,48</w:t>
            </w:r>
          </w:p>
        </w:tc>
        <w:tc>
          <w:tcPr>
            <w:tcW w:w="417" w:type="pct"/>
            <w:tcBorders>
              <w:top w:val="nil"/>
              <w:left w:val="nil"/>
              <w:bottom w:val="nil"/>
              <w:right w:val="nil"/>
            </w:tcBorders>
            <w:shd w:val="clear" w:color="auto" w:fill="auto"/>
            <w:noWrap/>
            <w:vAlign w:val="bottom"/>
            <w:hideMark/>
          </w:tcPr>
          <w:p w14:paraId="437C1248"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1,00</w:t>
            </w:r>
          </w:p>
        </w:tc>
        <w:tc>
          <w:tcPr>
            <w:tcW w:w="417" w:type="pct"/>
            <w:tcBorders>
              <w:top w:val="nil"/>
              <w:left w:val="nil"/>
              <w:bottom w:val="nil"/>
              <w:right w:val="nil"/>
            </w:tcBorders>
            <w:shd w:val="clear" w:color="auto" w:fill="auto"/>
            <w:noWrap/>
            <w:vAlign w:val="bottom"/>
            <w:hideMark/>
          </w:tcPr>
          <w:p w14:paraId="09D62708"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p>
        </w:tc>
        <w:tc>
          <w:tcPr>
            <w:tcW w:w="417" w:type="pct"/>
            <w:tcBorders>
              <w:top w:val="nil"/>
              <w:left w:val="nil"/>
              <w:bottom w:val="nil"/>
              <w:right w:val="nil"/>
            </w:tcBorders>
            <w:shd w:val="clear" w:color="auto" w:fill="auto"/>
            <w:noWrap/>
            <w:vAlign w:val="bottom"/>
            <w:hideMark/>
          </w:tcPr>
          <w:p w14:paraId="77A40D55"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nil"/>
            </w:tcBorders>
            <w:shd w:val="clear" w:color="auto" w:fill="auto"/>
            <w:noWrap/>
            <w:vAlign w:val="bottom"/>
            <w:hideMark/>
          </w:tcPr>
          <w:p w14:paraId="6BA07541"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nil"/>
            </w:tcBorders>
            <w:shd w:val="clear" w:color="auto" w:fill="auto"/>
            <w:noWrap/>
            <w:vAlign w:val="bottom"/>
            <w:hideMark/>
          </w:tcPr>
          <w:p w14:paraId="05BF36BA"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nil"/>
            </w:tcBorders>
            <w:shd w:val="clear" w:color="auto" w:fill="auto"/>
            <w:noWrap/>
            <w:vAlign w:val="bottom"/>
            <w:hideMark/>
          </w:tcPr>
          <w:p w14:paraId="13A337A5"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nil"/>
            </w:tcBorders>
            <w:shd w:val="clear" w:color="auto" w:fill="auto"/>
            <w:noWrap/>
            <w:vAlign w:val="bottom"/>
            <w:hideMark/>
          </w:tcPr>
          <w:p w14:paraId="779A5FA6"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nil"/>
            </w:tcBorders>
            <w:shd w:val="clear" w:color="auto" w:fill="auto"/>
            <w:noWrap/>
            <w:vAlign w:val="bottom"/>
            <w:hideMark/>
          </w:tcPr>
          <w:p w14:paraId="785451AC"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nil"/>
            </w:tcBorders>
            <w:shd w:val="clear" w:color="auto" w:fill="auto"/>
            <w:noWrap/>
            <w:vAlign w:val="bottom"/>
            <w:hideMark/>
          </w:tcPr>
          <w:p w14:paraId="55CE22C0"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single" w:sz="4" w:space="0" w:color="auto"/>
            </w:tcBorders>
            <w:shd w:val="clear" w:color="auto" w:fill="auto"/>
            <w:noWrap/>
            <w:vAlign w:val="bottom"/>
            <w:hideMark/>
          </w:tcPr>
          <w:p w14:paraId="601815E9"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 </w:t>
            </w:r>
          </w:p>
        </w:tc>
      </w:tr>
      <w:tr w:rsidR="00B36003" w:rsidRPr="00B36003" w14:paraId="7BBA153D" w14:textId="77777777" w:rsidTr="00B36003">
        <w:trPr>
          <w:trHeight w:val="300"/>
        </w:trPr>
        <w:tc>
          <w:tcPr>
            <w:tcW w:w="417" w:type="pct"/>
            <w:tcBorders>
              <w:top w:val="nil"/>
              <w:left w:val="single" w:sz="4" w:space="0" w:color="auto"/>
              <w:bottom w:val="nil"/>
              <w:right w:val="single" w:sz="4" w:space="0" w:color="auto"/>
            </w:tcBorders>
            <w:shd w:val="clear" w:color="auto" w:fill="auto"/>
            <w:noWrap/>
            <w:vAlign w:val="bottom"/>
            <w:hideMark/>
          </w:tcPr>
          <w:p w14:paraId="7A8D5A1A" w14:textId="77777777" w:rsidR="00B36003" w:rsidRPr="00B36003" w:rsidRDefault="00B36003" w:rsidP="00B36003">
            <w:pPr>
              <w:spacing w:after="0" w:line="240" w:lineRule="auto"/>
              <w:ind w:firstLine="0"/>
              <w:contextualSpacing w:val="0"/>
              <w:jc w:val="center"/>
              <w:rPr>
                <w:rFonts w:eastAsia="Times New Roman" w:cs="Times New Roman"/>
                <w:b/>
                <w:bCs/>
                <w:color w:val="000000"/>
                <w:sz w:val="20"/>
                <w:szCs w:val="20"/>
                <w:lang w:val="ru-RU" w:eastAsia="ru-RU"/>
              </w:rPr>
            </w:pPr>
            <w:proofErr w:type="spellStart"/>
            <w:r w:rsidRPr="00B36003">
              <w:rPr>
                <w:rFonts w:eastAsia="Times New Roman" w:cs="Times New Roman"/>
                <w:b/>
                <w:bCs/>
                <w:color w:val="000000"/>
                <w:sz w:val="20"/>
                <w:szCs w:val="20"/>
                <w:lang w:val="ru-RU" w:eastAsia="ru-RU"/>
              </w:rPr>
              <w:t>Inv</w:t>
            </w:r>
            <w:proofErr w:type="spellEnd"/>
          </w:p>
        </w:tc>
        <w:tc>
          <w:tcPr>
            <w:tcW w:w="417" w:type="pct"/>
            <w:tcBorders>
              <w:top w:val="nil"/>
              <w:left w:val="nil"/>
              <w:bottom w:val="nil"/>
              <w:right w:val="nil"/>
            </w:tcBorders>
            <w:shd w:val="clear" w:color="auto" w:fill="auto"/>
            <w:noWrap/>
            <w:vAlign w:val="bottom"/>
            <w:hideMark/>
          </w:tcPr>
          <w:p w14:paraId="1BC68033"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-0,69</w:t>
            </w:r>
          </w:p>
        </w:tc>
        <w:tc>
          <w:tcPr>
            <w:tcW w:w="417" w:type="pct"/>
            <w:tcBorders>
              <w:top w:val="nil"/>
              <w:left w:val="nil"/>
              <w:bottom w:val="nil"/>
              <w:right w:val="nil"/>
            </w:tcBorders>
            <w:shd w:val="clear" w:color="auto" w:fill="auto"/>
            <w:noWrap/>
            <w:vAlign w:val="bottom"/>
            <w:hideMark/>
          </w:tcPr>
          <w:p w14:paraId="2930D59B"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0,43</w:t>
            </w:r>
          </w:p>
        </w:tc>
        <w:tc>
          <w:tcPr>
            <w:tcW w:w="417" w:type="pct"/>
            <w:tcBorders>
              <w:top w:val="nil"/>
              <w:left w:val="nil"/>
              <w:bottom w:val="nil"/>
              <w:right w:val="nil"/>
            </w:tcBorders>
            <w:shd w:val="clear" w:color="auto" w:fill="auto"/>
            <w:noWrap/>
            <w:vAlign w:val="bottom"/>
            <w:hideMark/>
          </w:tcPr>
          <w:p w14:paraId="517F742C"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1,00</w:t>
            </w:r>
          </w:p>
        </w:tc>
        <w:tc>
          <w:tcPr>
            <w:tcW w:w="417" w:type="pct"/>
            <w:tcBorders>
              <w:top w:val="nil"/>
              <w:left w:val="nil"/>
              <w:bottom w:val="nil"/>
              <w:right w:val="nil"/>
            </w:tcBorders>
            <w:shd w:val="clear" w:color="auto" w:fill="auto"/>
            <w:noWrap/>
            <w:vAlign w:val="bottom"/>
            <w:hideMark/>
          </w:tcPr>
          <w:p w14:paraId="2198A629"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p>
        </w:tc>
        <w:tc>
          <w:tcPr>
            <w:tcW w:w="417" w:type="pct"/>
            <w:tcBorders>
              <w:top w:val="nil"/>
              <w:left w:val="nil"/>
              <w:bottom w:val="nil"/>
              <w:right w:val="nil"/>
            </w:tcBorders>
            <w:shd w:val="clear" w:color="auto" w:fill="auto"/>
            <w:noWrap/>
            <w:vAlign w:val="bottom"/>
            <w:hideMark/>
          </w:tcPr>
          <w:p w14:paraId="782B3521"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nil"/>
            </w:tcBorders>
            <w:shd w:val="clear" w:color="auto" w:fill="auto"/>
            <w:noWrap/>
            <w:vAlign w:val="bottom"/>
            <w:hideMark/>
          </w:tcPr>
          <w:p w14:paraId="2CA222B5"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nil"/>
            </w:tcBorders>
            <w:shd w:val="clear" w:color="auto" w:fill="auto"/>
            <w:noWrap/>
            <w:vAlign w:val="bottom"/>
            <w:hideMark/>
          </w:tcPr>
          <w:p w14:paraId="631A4CFF"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nil"/>
            </w:tcBorders>
            <w:shd w:val="clear" w:color="auto" w:fill="auto"/>
            <w:noWrap/>
            <w:vAlign w:val="bottom"/>
            <w:hideMark/>
          </w:tcPr>
          <w:p w14:paraId="0308CB46"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nil"/>
            </w:tcBorders>
            <w:shd w:val="clear" w:color="auto" w:fill="auto"/>
            <w:noWrap/>
            <w:vAlign w:val="bottom"/>
            <w:hideMark/>
          </w:tcPr>
          <w:p w14:paraId="036B00D8"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nil"/>
            </w:tcBorders>
            <w:shd w:val="clear" w:color="auto" w:fill="auto"/>
            <w:noWrap/>
            <w:vAlign w:val="bottom"/>
            <w:hideMark/>
          </w:tcPr>
          <w:p w14:paraId="3B0C0BBA"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single" w:sz="4" w:space="0" w:color="auto"/>
            </w:tcBorders>
            <w:shd w:val="clear" w:color="auto" w:fill="auto"/>
            <w:noWrap/>
            <w:vAlign w:val="bottom"/>
            <w:hideMark/>
          </w:tcPr>
          <w:p w14:paraId="582AC450"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 </w:t>
            </w:r>
          </w:p>
        </w:tc>
      </w:tr>
      <w:tr w:rsidR="00B36003" w:rsidRPr="00B36003" w14:paraId="2C30FAE5" w14:textId="77777777" w:rsidTr="00B36003">
        <w:trPr>
          <w:trHeight w:val="300"/>
        </w:trPr>
        <w:tc>
          <w:tcPr>
            <w:tcW w:w="417" w:type="pct"/>
            <w:tcBorders>
              <w:top w:val="nil"/>
              <w:left w:val="single" w:sz="4" w:space="0" w:color="auto"/>
              <w:bottom w:val="nil"/>
              <w:right w:val="single" w:sz="4" w:space="0" w:color="auto"/>
            </w:tcBorders>
            <w:shd w:val="clear" w:color="auto" w:fill="auto"/>
            <w:noWrap/>
            <w:vAlign w:val="bottom"/>
            <w:hideMark/>
          </w:tcPr>
          <w:p w14:paraId="2CCDBFBF" w14:textId="77777777" w:rsidR="00B36003" w:rsidRPr="00B36003" w:rsidRDefault="00B36003" w:rsidP="00B36003">
            <w:pPr>
              <w:spacing w:after="0" w:line="240" w:lineRule="auto"/>
              <w:ind w:firstLine="0"/>
              <w:contextualSpacing w:val="0"/>
              <w:jc w:val="center"/>
              <w:rPr>
                <w:rFonts w:eastAsia="Times New Roman" w:cs="Times New Roman"/>
                <w:b/>
                <w:bCs/>
                <w:color w:val="000000"/>
                <w:sz w:val="20"/>
                <w:szCs w:val="20"/>
                <w:lang w:val="ru-RU" w:eastAsia="ru-RU"/>
              </w:rPr>
            </w:pPr>
            <w:r w:rsidRPr="00B36003">
              <w:rPr>
                <w:rFonts w:eastAsia="Times New Roman" w:cs="Times New Roman"/>
                <w:b/>
                <w:bCs/>
                <w:color w:val="000000"/>
                <w:sz w:val="20"/>
                <w:szCs w:val="20"/>
                <w:lang w:val="ru-RU" w:eastAsia="ru-RU"/>
              </w:rPr>
              <w:t>AP</w:t>
            </w:r>
          </w:p>
        </w:tc>
        <w:tc>
          <w:tcPr>
            <w:tcW w:w="417" w:type="pct"/>
            <w:tcBorders>
              <w:top w:val="nil"/>
              <w:left w:val="nil"/>
              <w:bottom w:val="nil"/>
              <w:right w:val="nil"/>
            </w:tcBorders>
            <w:shd w:val="clear" w:color="auto" w:fill="auto"/>
            <w:noWrap/>
            <w:vAlign w:val="bottom"/>
            <w:hideMark/>
          </w:tcPr>
          <w:p w14:paraId="6C41BC27"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-0,48</w:t>
            </w:r>
          </w:p>
        </w:tc>
        <w:tc>
          <w:tcPr>
            <w:tcW w:w="417" w:type="pct"/>
            <w:tcBorders>
              <w:top w:val="nil"/>
              <w:left w:val="nil"/>
              <w:bottom w:val="nil"/>
              <w:right w:val="nil"/>
            </w:tcBorders>
            <w:shd w:val="clear" w:color="auto" w:fill="auto"/>
            <w:noWrap/>
            <w:vAlign w:val="bottom"/>
            <w:hideMark/>
          </w:tcPr>
          <w:p w14:paraId="30DC2618"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0,38</w:t>
            </w:r>
          </w:p>
        </w:tc>
        <w:tc>
          <w:tcPr>
            <w:tcW w:w="417" w:type="pct"/>
            <w:tcBorders>
              <w:top w:val="nil"/>
              <w:left w:val="nil"/>
              <w:bottom w:val="nil"/>
              <w:right w:val="nil"/>
            </w:tcBorders>
            <w:shd w:val="clear" w:color="auto" w:fill="auto"/>
            <w:noWrap/>
            <w:vAlign w:val="bottom"/>
            <w:hideMark/>
          </w:tcPr>
          <w:p w14:paraId="08AE3F5D"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0,41</w:t>
            </w:r>
          </w:p>
        </w:tc>
        <w:tc>
          <w:tcPr>
            <w:tcW w:w="417" w:type="pct"/>
            <w:tcBorders>
              <w:top w:val="nil"/>
              <w:left w:val="nil"/>
              <w:bottom w:val="nil"/>
              <w:right w:val="nil"/>
            </w:tcBorders>
            <w:shd w:val="clear" w:color="auto" w:fill="auto"/>
            <w:noWrap/>
            <w:vAlign w:val="bottom"/>
            <w:hideMark/>
          </w:tcPr>
          <w:p w14:paraId="1FC181B1"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1,00</w:t>
            </w:r>
          </w:p>
        </w:tc>
        <w:tc>
          <w:tcPr>
            <w:tcW w:w="417" w:type="pct"/>
            <w:tcBorders>
              <w:top w:val="nil"/>
              <w:left w:val="nil"/>
              <w:bottom w:val="nil"/>
              <w:right w:val="nil"/>
            </w:tcBorders>
            <w:shd w:val="clear" w:color="auto" w:fill="auto"/>
            <w:noWrap/>
            <w:vAlign w:val="bottom"/>
            <w:hideMark/>
          </w:tcPr>
          <w:p w14:paraId="5D9931E6"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p>
        </w:tc>
        <w:tc>
          <w:tcPr>
            <w:tcW w:w="417" w:type="pct"/>
            <w:tcBorders>
              <w:top w:val="nil"/>
              <w:left w:val="nil"/>
              <w:bottom w:val="nil"/>
              <w:right w:val="nil"/>
            </w:tcBorders>
            <w:shd w:val="clear" w:color="auto" w:fill="auto"/>
            <w:noWrap/>
            <w:vAlign w:val="bottom"/>
            <w:hideMark/>
          </w:tcPr>
          <w:p w14:paraId="591C3326"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nil"/>
            </w:tcBorders>
            <w:shd w:val="clear" w:color="auto" w:fill="auto"/>
            <w:noWrap/>
            <w:vAlign w:val="bottom"/>
            <w:hideMark/>
          </w:tcPr>
          <w:p w14:paraId="29E3168B"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nil"/>
            </w:tcBorders>
            <w:shd w:val="clear" w:color="auto" w:fill="auto"/>
            <w:noWrap/>
            <w:vAlign w:val="bottom"/>
            <w:hideMark/>
          </w:tcPr>
          <w:p w14:paraId="07E48EE4"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nil"/>
            </w:tcBorders>
            <w:shd w:val="clear" w:color="auto" w:fill="auto"/>
            <w:noWrap/>
            <w:vAlign w:val="bottom"/>
            <w:hideMark/>
          </w:tcPr>
          <w:p w14:paraId="664A83BD"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nil"/>
            </w:tcBorders>
            <w:shd w:val="clear" w:color="auto" w:fill="auto"/>
            <w:noWrap/>
            <w:vAlign w:val="bottom"/>
            <w:hideMark/>
          </w:tcPr>
          <w:p w14:paraId="53ACCB5E"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single" w:sz="4" w:space="0" w:color="auto"/>
            </w:tcBorders>
            <w:shd w:val="clear" w:color="auto" w:fill="auto"/>
            <w:noWrap/>
            <w:vAlign w:val="bottom"/>
            <w:hideMark/>
          </w:tcPr>
          <w:p w14:paraId="2702A998"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 </w:t>
            </w:r>
          </w:p>
        </w:tc>
      </w:tr>
      <w:tr w:rsidR="00B36003" w:rsidRPr="00B36003" w14:paraId="5224669D" w14:textId="77777777" w:rsidTr="00B36003">
        <w:trPr>
          <w:trHeight w:val="300"/>
        </w:trPr>
        <w:tc>
          <w:tcPr>
            <w:tcW w:w="417" w:type="pct"/>
            <w:tcBorders>
              <w:top w:val="nil"/>
              <w:left w:val="single" w:sz="4" w:space="0" w:color="auto"/>
              <w:bottom w:val="nil"/>
              <w:right w:val="single" w:sz="4" w:space="0" w:color="auto"/>
            </w:tcBorders>
            <w:shd w:val="clear" w:color="auto" w:fill="auto"/>
            <w:noWrap/>
            <w:vAlign w:val="bottom"/>
            <w:hideMark/>
          </w:tcPr>
          <w:p w14:paraId="6E15F263" w14:textId="77777777" w:rsidR="00B36003" w:rsidRPr="00B36003" w:rsidRDefault="00B36003" w:rsidP="00B36003">
            <w:pPr>
              <w:spacing w:after="0" w:line="240" w:lineRule="auto"/>
              <w:ind w:firstLine="0"/>
              <w:contextualSpacing w:val="0"/>
              <w:jc w:val="center"/>
              <w:rPr>
                <w:rFonts w:eastAsia="Times New Roman" w:cs="Times New Roman"/>
                <w:b/>
                <w:bCs/>
                <w:color w:val="000000"/>
                <w:sz w:val="20"/>
                <w:szCs w:val="20"/>
                <w:lang w:val="ru-RU" w:eastAsia="ru-RU"/>
              </w:rPr>
            </w:pPr>
            <w:r w:rsidRPr="00B36003">
              <w:rPr>
                <w:rFonts w:eastAsia="Times New Roman" w:cs="Times New Roman"/>
                <w:b/>
                <w:bCs/>
                <w:color w:val="000000"/>
                <w:sz w:val="20"/>
                <w:szCs w:val="20"/>
                <w:lang w:val="ru-RU" w:eastAsia="ru-RU"/>
              </w:rPr>
              <w:t>WCD</w:t>
            </w:r>
          </w:p>
        </w:tc>
        <w:tc>
          <w:tcPr>
            <w:tcW w:w="417" w:type="pct"/>
            <w:tcBorders>
              <w:top w:val="nil"/>
              <w:left w:val="nil"/>
              <w:bottom w:val="nil"/>
              <w:right w:val="nil"/>
            </w:tcBorders>
            <w:shd w:val="clear" w:color="auto" w:fill="auto"/>
            <w:noWrap/>
            <w:vAlign w:val="bottom"/>
            <w:hideMark/>
          </w:tcPr>
          <w:p w14:paraId="5B00BFF1"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0,12</w:t>
            </w:r>
          </w:p>
        </w:tc>
        <w:tc>
          <w:tcPr>
            <w:tcW w:w="417" w:type="pct"/>
            <w:tcBorders>
              <w:top w:val="nil"/>
              <w:left w:val="nil"/>
              <w:bottom w:val="nil"/>
              <w:right w:val="nil"/>
            </w:tcBorders>
            <w:shd w:val="clear" w:color="auto" w:fill="auto"/>
            <w:noWrap/>
            <w:vAlign w:val="bottom"/>
            <w:hideMark/>
          </w:tcPr>
          <w:p w14:paraId="46D063AE"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-0,05</w:t>
            </w:r>
          </w:p>
        </w:tc>
        <w:tc>
          <w:tcPr>
            <w:tcW w:w="417" w:type="pct"/>
            <w:tcBorders>
              <w:top w:val="nil"/>
              <w:left w:val="nil"/>
              <w:bottom w:val="nil"/>
              <w:right w:val="nil"/>
            </w:tcBorders>
            <w:shd w:val="clear" w:color="auto" w:fill="auto"/>
            <w:noWrap/>
            <w:vAlign w:val="bottom"/>
            <w:hideMark/>
          </w:tcPr>
          <w:p w14:paraId="438CEFF7"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-0,18</w:t>
            </w:r>
          </w:p>
        </w:tc>
        <w:tc>
          <w:tcPr>
            <w:tcW w:w="417" w:type="pct"/>
            <w:tcBorders>
              <w:top w:val="nil"/>
              <w:left w:val="nil"/>
              <w:bottom w:val="nil"/>
              <w:right w:val="nil"/>
            </w:tcBorders>
            <w:shd w:val="clear" w:color="auto" w:fill="auto"/>
            <w:noWrap/>
            <w:vAlign w:val="bottom"/>
            <w:hideMark/>
          </w:tcPr>
          <w:p w14:paraId="10DEA3D6"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-0,33</w:t>
            </w:r>
          </w:p>
        </w:tc>
        <w:tc>
          <w:tcPr>
            <w:tcW w:w="417" w:type="pct"/>
            <w:tcBorders>
              <w:top w:val="nil"/>
              <w:left w:val="nil"/>
              <w:bottom w:val="nil"/>
              <w:right w:val="nil"/>
            </w:tcBorders>
            <w:shd w:val="clear" w:color="auto" w:fill="auto"/>
            <w:noWrap/>
            <w:vAlign w:val="bottom"/>
            <w:hideMark/>
          </w:tcPr>
          <w:p w14:paraId="483FF8B2"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1,00</w:t>
            </w:r>
          </w:p>
        </w:tc>
        <w:tc>
          <w:tcPr>
            <w:tcW w:w="417" w:type="pct"/>
            <w:tcBorders>
              <w:top w:val="nil"/>
              <w:left w:val="nil"/>
              <w:bottom w:val="nil"/>
              <w:right w:val="nil"/>
            </w:tcBorders>
            <w:shd w:val="clear" w:color="auto" w:fill="auto"/>
            <w:noWrap/>
            <w:vAlign w:val="bottom"/>
            <w:hideMark/>
          </w:tcPr>
          <w:p w14:paraId="5934A818"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p>
        </w:tc>
        <w:tc>
          <w:tcPr>
            <w:tcW w:w="417" w:type="pct"/>
            <w:tcBorders>
              <w:top w:val="nil"/>
              <w:left w:val="nil"/>
              <w:bottom w:val="nil"/>
              <w:right w:val="nil"/>
            </w:tcBorders>
            <w:shd w:val="clear" w:color="auto" w:fill="auto"/>
            <w:noWrap/>
            <w:vAlign w:val="bottom"/>
            <w:hideMark/>
          </w:tcPr>
          <w:p w14:paraId="54217BFB"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nil"/>
            </w:tcBorders>
            <w:shd w:val="clear" w:color="auto" w:fill="auto"/>
            <w:noWrap/>
            <w:vAlign w:val="bottom"/>
            <w:hideMark/>
          </w:tcPr>
          <w:p w14:paraId="239E2F2A"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nil"/>
            </w:tcBorders>
            <w:shd w:val="clear" w:color="auto" w:fill="auto"/>
            <w:noWrap/>
            <w:vAlign w:val="bottom"/>
            <w:hideMark/>
          </w:tcPr>
          <w:p w14:paraId="06843614"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nil"/>
            </w:tcBorders>
            <w:shd w:val="clear" w:color="auto" w:fill="auto"/>
            <w:noWrap/>
            <w:vAlign w:val="bottom"/>
            <w:hideMark/>
          </w:tcPr>
          <w:p w14:paraId="191B4C40"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single" w:sz="4" w:space="0" w:color="auto"/>
            </w:tcBorders>
            <w:shd w:val="clear" w:color="auto" w:fill="auto"/>
            <w:noWrap/>
            <w:vAlign w:val="bottom"/>
            <w:hideMark/>
          </w:tcPr>
          <w:p w14:paraId="4748E274"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 </w:t>
            </w:r>
          </w:p>
        </w:tc>
      </w:tr>
      <w:tr w:rsidR="00B36003" w:rsidRPr="00B36003" w14:paraId="0D9DF09B" w14:textId="77777777" w:rsidTr="00B36003">
        <w:trPr>
          <w:trHeight w:val="300"/>
        </w:trPr>
        <w:tc>
          <w:tcPr>
            <w:tcW w:w="417" w:type="pct"/>
            <w:tcBorders>
              <w:top w:val="nil"/>
              <w:left w:val="single" w:sz="4" w:space="0" w:color="auto"/>
              <w:bottom w:val="nil"/>
              <w:right w:val="single" w:sz="4" w:space="0" w:color="auto"/>
            </w:tcBorders>
            <w:shd w:val="clear" w:color="auto" w:fill="auto"/>
            <w:noWrap/>
            <w:vAlign w:val="bottom"/>
            <w:hideMark/>
          </w:tcPr>
          <w:p w14:paraId="59817325" w14:textId="77777777" w:rsidR="00B36003" w:rsidRPr="00B36003" w:rsidRDefault="00B36003" w:rsidP="00B36003">
            <w:pPr>
              <w:spacing w:after="0" w:line="240" w:lineRule="auto"/>
              <w:ind w:firstLine="0"/>
              <w:contextualSpacing w:val="0"/>
              <w:jc w:val="center"/>
              <w:rPr>
                <w:rFonts w:eastAsia="Times New Roman" w:cs="Times New Roman"/>
                <w:b/>
                <w:bCs/>
                <w:color w:val="000000"/>
                <w:sz w:val="20"/>
                <w:szCs w:val="20"/>
                <w:lang w:val="ru-RU" w:eastAsia="ru-RU"/>
              </w:rPr>
            </w:pPr>
            <w:r w:rsidRPr="00B36003">
              <w:rPr>
                <w:rFonts w:eastAsia="Times New Roman" w:cs="Times New Roman"/>
                <w:b/>
                <w:bCs/>
                <w:color w:val="000000"/>
                <w:sz w:val="20"/>
                <w:szCs w:val="20"/>
                <w:lang w:val="ru-RU" w:eastAsia="ru-RU"/>
              </w:rPr>
              <w:t>DS</w:t>
            </w:r>
          </w:p>
        </w:tc>
        <w:tc>
          <w:tcPr>
            <w:tcW w:w="417" w:type="pct"/>
            <w:tcBorders>
              <w:top w:val="nil"/>
              <w:left w:val="nil"/>
              <w:bottom w:val="nil"/>
              <w:right w:val="nil"/>
            </w:tcBorders>
            <w:shd w:val="clear" w:color="auto" w:fill="auto"/>
            <w:noWrap/>
            <w:vAlign w:val="bottom"/>
            <w:hideMark/>
          </w:tcPr>
          <w:p w14:paraId="562B31AD"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-0,04</w:t>
            </w:r>
          </w:p>
        </w:tc>
        <w:tc>
          <w:tcPr>
            <w:tcW w:w="417" w:type="pct"/>
            <w:tcBorders>
              <w:top w:val="nil"/>
              <w:left w:val="nil"/>
              <w:bottom w:val="nil"/>
              <w:right w:val="nil"/>
            </w:tcBorders>
            <w:shd w:val="clear" w:color="auto" w:fill="auto"/>
            <w:noWrap/>
            <w:vAlign w:val="bottom"/>
            <w:hideMark/>
          </w:tcPr>
          <w:p w14:paraId="521D8E84"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-0,14</w:t>
            </w:r>
          </w:p>
        </w:tc>
        <w:tc>
          <w:tcPr>
            <w:tcW w:w="417" w:type="pct"/>
            <w:tcBorders>
              <w:top w:val="nil"/>
              <w:left w:val="nil"/>
              <w:bottom w:val="nil"/>
              <w:right w:val="nil"/>
            </w:tcBorders>
            <w:shd w:val="clear" w:color="auto" w:fill="auto"/>
            <w:noWrap/>
            <w:vAlign w:val="bottom"/>
            <w:hideMark/>
          </w:tcPr>
          <w:p w14:paraId="52F14188"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-0,04</w:t>
            </w:r>
          </w:p>
        </w:tc>
        <w:tc>
          <w:tcPr>
            <w:tcW w:w="417" w:type="pct"/>
            <w:tcBorders>
              <w:top w:val="nil"/>
              <w:left w:val="nil"/>
              <w:bottom w:val="nil"/>
              <w:right w:val="nil"/>
            </w:tcBorders>
            <w:shd w:val="clear" w:color="auto" w:fill="auto"/>
            <w:noWrap/>
            <w:vAlign w:val="bottom"/>
            <w:hideMark/>
          </w:tcPr>
          <w:p w14:paraId="0C6BE79C"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0,08</w:t>
            </w:r>
          </w:p>
        </w:tc>
        <w:tc>
          <w:tcPr>
            <w:tcW w:w="417" w:type="pct"/>
            <w:tcBorders>
              <w:top w:val="nil"/>
              <w:left w:val="nil"/>
              <w:bottom w:val="nil"/>
              <w:right w:val="nil"/>
            </w:tcBorders>
            <w:shd w:val="clear" w:color="auto" w:fill="auto"/>
            <w:noWrap/>
            <w:vAlign w:val="bottom"/>
            <w:hideMark/>
          </w:tcPr>
          <w:p w14:paraId="22A1000D"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-0,13</w:t>
            </w:r>
          </w:p>
        </w:tc>
        <w:tc>
          <w:tcPr>
            <w:tcW w:w="417" w:type="pct"/>
            <w:tcBorders>
              <w:top w:val="nil"/>
              <w:left w:val="nil"/>
              <w:bottom w:val="nil"/>
              <w:right w:val="nil"/>
            </w:tcBorders>
            <w:shd w:val="clear" w:color="auto" w:fill="auto"/>
            <w:noWrap/>
            <w:vAlign w:val="bottom"/>
            <w:hideMark/>
          </w:tcPr>
          <w:p w14:paraId="158BA4ED"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1,00</w:t>
            </w:r>
          </w:p>
        </w:tc>
        <w:tc>
          <w:tcPr>
            <w:tcW w:w="417" w:type="pct"/>
            <w:tcBorders>
              <w:top w:val="nil"/>
              <w:left w:val="nil"/>
              <w:bottom w:val="nil"/>
              <w:right w:val="nil"/>
            </w:tcBorders>
            <w:shd w:val="clear" w:color="auto" w:fill="auto"/>
            <w:noWrap/>
            <w:vAlign w:val="bottom"/>
            <w:hideMark/>
          </w:tcPr>
          <w:p w14:paraId="2942E666"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p>
        </w:tc>
        <w:tc>
          <w:tcPr>
            <w:tcW w:w="417" w:type="pct"/>
            <w:tcBorders>
              <w:top w:val="nil"/>
              <w:left w:val="nil"/>
              <w:bottom w:val="nil"/>
              <w:right w:val="nil"/>
            </w:tcBorders>
            <w:shd w:val="clear" w:color="auto" w:fill="auto"/>
            <w:noWrap/>
            <w:vAlign w:val="bottom"/>
            <w:hideMark/>
          </w:tcPr>
          <w:p w14:paraId="068DA9C8"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nil"/>
            </w:tcBorders>
            <w:shd w:val="clear" w:color="auto" w:fill="auto"/>
            <w:noWrap/>
            <w:vAlign w:val="bottom"/>
            <w:hideMark/>
          </w:tcPr>
          <w:p w14:paraId="03B6FF27"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nil"/>
            </w:tcBorders>
            <w:shd w:val="clear" w:color="auto" w:fill="auto"/>
            <w:noWrap/>
            <w:vAlign w:val="bottom"/>
            <w:hideMark/>
          </w:tcPr>
          <w:p w14:paraId="1E673610"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single" w:sz="4" w:space="0" w:color="auto"/>
            </w:tcBorders>
            <w:shd w:val="clear" w:color="auto" w:fill="auto"/>
            <w:noWrap/>
            <w:vAlign w:val="bottom"/>
            <w:hideMark/>
          </w:tcPr>
          <w:p w14:paraId="7891D4CF"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 </w:t>
            </w:r>
          </w:p>
        </w:tc>
      </w:tr>
      <w:tr w:rsidR="00B36003" w:rsidRPr="00B36003" w14:paraId="3889F3C7" w14:textId="77777777" w:rsidTr="00B36003">
        <w:trPr>
          <w:trHeight w:val="300"/>
        </w:trPr>
        <w:tc>
          <w:tcPr>
            <w:tcW w:w="417" w:type="pct"/>
            <w:tcBorders>
              <w:top w:val="nil"/>
              <w:left w:val="single" w:sz="4" w:space="0" w:color="auto"/>
              <w:bottom w:val="nil"/>
              <w:right w:val="single" w:sz="4" w:space="0" w:color="auto"/>
            </w:tcBorders>
            <w:shd w:val="clear" w:color="auto" w:fill="auto"/>
            <w:noWrap/>
            <w:vAlign w:val="bottom"/>
            <w:hideMark/>
          </w:tcPr>
          <w:p w14:paraId="7F2410E5" w14:textId="77777777" w:rsidR="00B36003" w:rsidRPr="00B36003" w:rsidRDefault="00B36003" w:rsidP="00B36003">
            <w:pPr>
              <w:spacing w:after="0" w:line="240" w:lineRule="auto"/>
              <w:ind w:firstLine="0"/>
              <w:contextualSpacing w:val="0"/>
              <w:jc w:val="center"/>
              <w:rPr>
                <w:rFonts w:eastAsia="Times New Roman" w:cs="Times New Roman"/>
                <w:b/>
                <w:bCs/>
                <w:color w:val="000000"/>
                <w:sz w:val="20"/>
                <w:szCs w:val="20"/>
                <w:lang w:val="ru-RU" w:eastAsia="ru-RU"/>
              </w:rPr>
            </w:pPr>
            <w:r w:rsidRPr="00B36003">
              <w:rPr>
                <w:rFonts w:eastAsia="Times New Roman" w:cs="Times New Roman"/>
                <w:b/>
                <w:bCs/>
                <w:color w:val="000000"/>
                <w:sz w:val="20"/>
                <w:szCs w:val="20"/>
                <w:lang w:val="ru-RU" w:eastAsia="ru-RU"/>
              </w:rPr>
              <w:t>IS</w:t>
            </w:r>
          </w:p>
        </w:tc>
        <w:tc>
          <w:tcPr>
            <w:tcW w:w="417" w:type="pct"/>
            <w:tcBorders>
              <w:top w:val="nil"/>
              <w:left w:val="nil"/>
              <w:bottom w:val="nil"/>
              <w:right w:val="nil"/>
            </w:tcBorders>
            <w:shd w:val="clear" w:color="auto" w:fill="auto"/>
            <w:noWrap/>
            <w:vAlign w:val="bottom"/>
            <w:hideMark/>
          </w:tcPr>
          <w:p w14:paraId="25A90FF0"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-0,01</w:t>
            </w:r>
          </w:p>
        </w:tc>
        <w:tc>
          <w:tcPr>
            <w:tcW w:w="417" w:type="pct"/>
            <w:tcBorders>
              <w:top w:val="nil"/>
              <w:left w:val="nil"/>
              <w:bottom w:val="nil"/>
              <w:right w:val="nil"/>
            </w:tcBorders>
            <w:shd w:val="clear" w:color="auto" w:fill="auto"/>
            <w:noWrap/>
            <w:vAlign w:val="bottom"/>
            <w:hideMark/>
          </w:tcPr>
          <w:p w14:paraId="61D52FA5"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-0,07</w:t>
            </w:r>
          </w:p>
        </w:tc>
        <w:tc>
          <w:tcPr>
            <w:tcW w:w="417" w:type="pct"/>
            <w:tcBorders>
              <w:top w:val="nil"/>
              <w:left w:val="nil"/>
              <w:bottom w:val="nil"/>
              <w:right w:val="nil"/>
            </w:tcBorders>
            <w:shd w:val="clear" w:color="auto" w:fill="auto"/>
            <w:noWrap/>
            <w:vAlign w:val="bottom"/>
            <w:hideMark/>
          </w:tcPr>
          <w:p w14:paraId="4A91B564"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0,05</w:t>
            </w:r>
          </w:p>
        </w:tc>
        <w:tc>
          <w:tcPr>
            <w:tcW w:w="417" w:type="pct"/>
            <w:tcBorders>
              <w:top w:val="nil"/>
              <w:left w:val="nil"/>
              <w:bottom w:val="nil"/>
              <w:right w:val="nil"/>
            </w:tcBorders>
            <w:shd w:val="clear" w:color="auto" w:fill="auto"/>
            <w:noWrap/>
            <w:vAlign w:val="bottom"/>
            <w:hideMark/>
          </w:tcPr>
          <w:p w14:paraId="52E89F1C"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-0,07</w:t>
            </w:r>
          </w:p>
        </w:tc>
        <w:tc>
          <w:tcPr>
            <w:tcW w:w="417" w:type="pct"/>
            <w:tcBorders>
              <w:top w:val="nil"/>
              <w:left w:val="nil"/>
              <w:bottom w:val="nil"/>
              <w:right w:val="nil"/>
            </w:tcBorders>
            <w:shd w:val="clear" w:color="auto" w:fill="auto"/>
            <w:noWrap/>
            <w:vAlign w:val="bottom"/>
            <w:hideMark/>
          </w:tcPr>
          <w:p w14:paraId="412CD096"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0,23</w:t>
            </w:r>
          </w:p>
        </w:tc>
        <w:tc>
          <w:tcPr>
            <w:tcW w:w="417" w:type="pct"/>
            <w:tcBorders>
              <w:top w:val="nil"/>
              <w:left w:val="nil"/>
              <w:bottom w:val="nil"/>
              <w:right w:val="nil"/>
            </w:tcBorders>
            <w:shd w:val="clear" w:color="auto" w:fill="auto"/>
            <w:noWrap/>
            <w:vAlign w:val="bottom"/>
            <w:hideMark/>
          </w:tcPr>
          <w:p w14:paraId="6F4AD50B"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0,10</w:t>
            </w:r>
          </w:p>
        </w:tc>
        <w:tc>
          <w:tcPr>
            <w:tcW w:w="417" w:type="pct"/>
            <w:tcBorders>
              <w:top w:val="nil"/>
              <w:left w:val="nil"/>
              <w:bottom w:val="nil"/>
              <w:right w:val="nil"/>
            </w:tcBorders>
            <w:shd w:val="clear" w:color="auto" w:fill="auto"/>
            <w:noWrap/>
            <w:vAlign w:val="bottom"/>
            <w:hideMark/>
          </w:tcPr>
          <w:p w14:paraId="24DBFCEF"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1,00</w:t>
            </w:r>
          </w:p>
        </w:tc>
        <w:tc>
          <w:tcPr>
            <w:tcW w:w="417" w:type="pct"/>
            <w:tcBorders>
              <w:top w:val="nil"/>
              <w:left w:val="nil"/>
              <w:bottom w:val="nil"/>
              <w:right w:val="nil"/>
            </w:tcBorders>
            <w:shd w:val="clear" w:color="auto" w:fill="auto"/>
            <w:noWrap/>
            <w:vAlign w:val="bottom"/>
            <w:hideMark/>
          </w:tcPr>
          <w:p w14:paraId="26833312"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p>
        </w:tc>
        <w:tc>
          <w:tcPr>
            <w:tcW w:w="417" w:type="pct"/>
            <w:tcBorders>
              <w:top w:val="nil"/>
              <w:left w:val="nil"/>
              <w:bottom w:val="nil"/>
              <w:right w:val="nil"/>
            </w:tcBorders>
            <w:shd w:val="clear" w:color="auto" w:fill="auto"/>
            <w:noWrap/>
            <w:vAlign w:val="bottom"/>
            <w:hideMark/>
          </w:tcPr>
          <w:p w14:paraId="124AEFA4"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nil"/>
            </w:tcBorders>
            <w:shd w:val="clear" w:color="auto" w:fill="auto"/>
            <w:noWrap/>
            <w:vAlign w:val="bottom"/>
            <w:hideMark/>
          </w:tcPr>
          <w:p w14:paraId="5FD81F99"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single" w:sz="4" w:space="0" w:color="auto"/>
            </w:tcBorders>
            <w:shd w:val="clear" w:color="auto" w:fill="auto"/>
            <w:noWrap/>
            <w:vAlign w:val="bottom"/>
            <w:hideMark/>
          </w:tcPr>
          <w:p w14:paraId="01411331"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 </w:t>
            </w:r>
          </w:p>
        </w:tc>
      </w:tr>
      <w:tr w:rsidR="00B36003" w:rsidRPr="00B36003" w14:paraId="57280344" w14:textId="77777777" w:rsidTr="00B36003">
        <w:trPr>
          <w:trHeight w:val="300"/>
        </w:trPr>
        <w:tc>
          <w:tcPr>
            <w:tcW w:w="417" w:type="pct"/>
            <w:tcBorders>
              <w:top w:val="nil"/>
              <w:left w:val="single" w:sz="4" w:space="0" w:color="auto"/>
              <w:bottom w:val="nil"/>
              <w:right w:val="single" w:sz="4" w:space="0" w:color="auto"/>
            </w:tcBorders>
            <w:shd w:val="clear" w:color="auto" w:fill="auto"/>
            <w:noWrap/>
            <w:vAlign w:val="bottom"/>
            <w:hideMark/>
          </w:tcPr>
          <w:p w14:paraId="1F59DCE2" w14:textId="77777777" w:rsidR="00B36003" w:rsidRPr="00B36003" w:rsidRDefault="00B36003" w:rsidP="00B36003">
            <w:pPr>
              <w:spacing w:after="0" w:line="240" w:lineRule="auto"/>
              <w:ind w:firstLine="0"/>
              <w:contextualSpacing w:val="0"/>
              <w:jc w:val="center"/>
              <w:rPr>
                <w:rFonts w:eastAsia="Times New Roman" w:cs="Times New Roman"/>
                <w:b/>
                <w:bCs/>
                <w:color w:val="000000"/>
                <w:sz w:val="20"/>
                <w:szCs w:val="20"/>
                <w:lang w:val="ru-RU" w:eastAsia="ru-RU"/>
              </w:rPr>
            </w:pPr>
            <w:r w:rsidRPr="00B36003">
              <w:rPr>
                <w:rFonts w:eastAsia="Times New Roman" w:cs="Times New Roman"/>
                <w:b/>
                <w:bCs/>
                <w:color w:val="000000"/>
                <w:sz w:val="20"/>
                <w:szCs w:val="20"/>
                <w:lang w:val="ru-RU" w:eastAsia="ru-RU"/>
              </w:rPr>
              <w:t>FT</w:t>
            </w:r>
          </w:p>
        </w:tc>
        <w:tc>
          <w:tcPr>
            <w:tcW w:w="417" w:type="pct"/>
            <w:tcBorders>
              <w:top w:val="nil"/>
              <w:left w:val="nil"/>
              <w:bottom w:val="nil"/>
              <w:right w:val="nil"/>
            </w:tcBorders>
            <w:shd w:val="clear" w:color="auto" w:fill="auto"/>
            <w:noWrap/>
            <w:vAlign w:val="bottom"/>
            <w:hideMark/>
          </w:tcPr>
          <w:p w14:paraId="557B82E5"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-0,03</w:t>
            </w:r>
          </w:p>
        </w:tc>
        <w:tc>
          <w:tcPr>
            <w:tcW w:w="417" w:type="pct"/>
            <w:tcBorders>
              <w:top w:val="nil"/>
              <w:left w:val="nil"/>
              <w:bottom w:val="nil"/>
              <w:right w:val="nil"/>
            </w:tcBorders>
            <w:shd w:val="clear" w:color="auto" w:fill="auto"/>
            <w:noWrap/>
            <w:vAlign w:val="bottom"/>
            <w:hideMark/>
          </w:tcPr>
          <w:p w14:paraId="7E597F40"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-0,03</w:t>
            </w:r>
          </w:p>
        </w:tc>
        <w:tc>
          <w:tcPr>
            <w:tcW w:w="417" w:type="pct"/>
            <w:tcBorders>
              <w:top w:val="nil"/>
              <w:left w:val="nil"/>
              <w:bottom w:val="nil"/>
              <w:right w:val="nil"/>
            </w:tcBorders>
            <w:shd w:val="clear" w:color="auto" w:fill="auto"/>
            <w:noWrap/>
            <w:vAlign w:val="bottom"/>
            <w:hideMark/>
          </w:tcPr>
          <w:p w14:paraId="4A73C850"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-0,08</w:t>
            </w:r>
          </w:p>
        </w:tc>
        <w:tc>
          <w:tcPr>
            <w:tcW w:w="417" w:type="pct"/>
            <w:tcBorders>
              <w:top w:val="nil"/>
              <w:left w:val="nil"/>
              <w:bottom w:val="nil"/>
              <w:right w:val="nil"/>
            </w:tcBorders>
            <w:shd w:val="clear" w:color="auto" w:fill="auto"/>
            <w:noWrap/>
            <w:vAlign w:val="bottom"/>
            <w:hideMark/>
          </w:tcPr>
          <w:p w14:paraId="56D88DE3"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-0,02</w:t>
            </w:r>
          </w:p>
        </w:tc>
        <w:tc>
          <w:tcPr>
            <w:tcW w:w="417" w:type="pct"/>
            <w:tcBorders>
              <w:top w:val="nil"/>
              <w:left w:val="nil"/>
              <w:bottom w:val="nil"/>
              <w:right w:val="nil"/>
            </w:tcBorders>
            <w:shd w:val="clear" w:color="auto" w:fill="auto"/>
            <w:noWrap/>
            <w:vAlign w:val="bottom"/>
            <w:hideMark/>
          </w:tcPr>
          <w:p w14:paraId="4CC81BB9"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0,13</w:t>
            </w:r>
          </w:p>
        </w:tc>
        <w:tc>
          <w:tcPr>
            <w:tcW w:w="417" w:type="pct"/>
            <w:tcBorders>
              <w:top w:val="nil"/>
              <w:left w:val="nil"/>
              <w:bottom w:val="nil"/>
              <w:right w:val="nil"/>
            </w:tcBorders>
            <w:shd w:val="clear" w:color="auto" w:fill="auto"/>
            <w:noWrap/>
            <w:vAlign w:val="bottom"/>
            <w:hideMark/>
          </w:tcPr>
          <w:p w14:paraId="33DC7561"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0,01</w:t>
            </w:r>
          </w:p>
        </w:tc>
        <w:tc>
          <w:tcPr>
            <w:tcW w:w="417" w:type="pct"/>
            <w:tcBorders>
              <w:top w:val="nil"/>
              <w:left w:val="nil"/>
              <w:bottom w:val="nil"/>
              <w:right w:val="nil"/>
            </w:tcBorders>
            <w:shd w:val="clear" w:color="auto" w:fill="auto"/>
            <w:noWrap/>
            <w:vAlign w:val="bottom"/>
            <w:hideMark/>
          </w:tcPr>
          <w:p w14:paraId="2B8FD6AB"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0,27</w:t>
            </w:r>
          </w:p>
        </w:tc>
        <w:tc>
          <w:tcPr>
            <w:tcW w:w="417" w:type="pct"/>
            <w:tcBorders>
              <w:top w:val="nil"/>
              <w:left w:val="nil"/>
              <w:bottom w:val="nil"/>
              <w:right w:val="nil"/>
            </w:tcBorders>
            <w:shd w:val="clear" w:color="auto" w:fill="auto"/>
            <w:noWrap/>
            <w:vAlign w:val="bottom"/>
            <w:hideMark/>
          </w:tcPr>
          <w:p w14:paraId="482B1C16"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1,00</w:t>
            </w:r>
          </w:p>
        </w:tc>
        <w:tc>
          <w:tcPr>
            <w:tcW w:w="417" w:type="pct"/>
            <w:tcBorders>
              <w:top w:val="nil"/>
              <w:left w:val="nil"/>
              <w:bottom w:val="nil"/>
              <w:right w:val="nil"/>
            </w:tcBorders>
            <w:shd w:val="clear" w:color="auto" w:fill="auto"/>
            <w:noWrap/>
            <w:vAlign w:val="bottom"/>
            <w:hideMark/>
          </w:tcPr>
          <w:p w14:paraId="38E15A26"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p>
        </w:tc>
        <w:tc>
          <w:tcPr>
            <w:tcW w:w="417" w:type="pct"/>
            <w:tcBorders>
              <w:top w:val="nil"/>
              <w:left w:val="nil"/>
              <w:bottom w:val="nil"/>
              <w:right w:val="nil"/>
            </w:tcBorders>
            <w:shd w:val="clear" w:color="auto" w:fill="auto"/>
            <w:noWrap/>
            <w:vAlign w:val="bottom"/>
            <w:hideMark/>
          </w:tcPr>
          <w:p w14:paraId="384C3BB2" w14:textId="77777777" w:rsidR="00B36003" w:rsidRPr="00B36003" w:rsidRDefault="00B36003" w:rsidP="00B36003">
            <w:pPr>
              <w:spacing w:after="0" w:line="240" w:lineRule="auto"/>
              <w:ind w:firstLine="0"/>
              <w:contextualSpacing w:val="0"/>
              <w:jc w:val="center"/>
              <w:rPr>
                <w:rFonts w:eastAsia="Times New Roman" w:cs="Times New Roman"/>
                <w:sz w:val="20"/>
                <w:szCs w:val="20"/>
                <w:lang w:val="ru-RU" w:eastAsia="ru-RU"/>
              </w:rPr>
            </w:pPr>
          </w:p>
        </w:tc>
        <w:tc>
          <w:tcPr>
            <w:tcW w:w="417" w:type="pct"/>
            <w:tcBorders>
              <w:top w:val="nil"/>
              <w:left w:val="nil"/>
              <w:bottom w:val="nil"/>
              <w:right w:val="single" w:sz="4" w:space="0" w:color="auto"/>
            </w:tcBorders>
            <w:shd w:val="clear" w:color="auto" w:fill="auto"/>
            <w:noWrap/>
            <w:vAlign w:val="bottom"/>
            <w:hideMark/>
          </w:tcPr>
          <w:p w14:paraId="5F9AF7F9"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 </w:t>
            </w:r>
          </w:p>
        </w:tc>
      </w:tr>
      <w:tr w:rsidR="00B36003" w:rsidRPr="00B36003" w14:paraId="77C90BD5" w14:textId="77777777" w:rsidTr="00B36003">
        <w:trPr>
          <w:trHeight w:val="300"/>
        </w:trPr>
        <w:tc>
          <w:tcPr>
            <w:tcW w:w="417" w:type="pct"/>
            <w:tcBorders>
              <w:top w:val="nil"/>
              <w:left w:val="single" w:sz="4" w:space="0" w:color="auto"/>
              <w:bottom w:val="nil"/>
              <w:right w:val="single" w:sz="4" w:space="0" w:color="auto"/>
            </w:tcBorders>
            <w:shd w:val="clear" w:color="auto" w:fill="auto"/>
            <w:noWrap/>
            <w:vAlign w:val="bottom"/>
            <w:hideMark/>
          </w:tcPr>
          <w:p w14:paraId="3512328D" w14:textId="77777777" w:rsidR="00B36003" w:rsidRPr="00B36003" w:rsidRDefault="00B36003" w:rsidP="00B36003">
            <w:pPr>
              <w:spacing w:after="0" w:line="240" w:lineRule="auto"/>
              <w:ind w:firstLine="0"/>
              <w:contextualSpacing w:val="0"/>
              <w:jc w:val="center"/>
              <w:rPr>
                <w:rFonts w:eastAsia="Times New Roman" w:cs="Times New Roman"/>
                <w:b/>
                <w:bCs/>
                <w:color w:val="000000"/>
                <w:sz w:val="20"/>
                <w:szCs w:val="20"/>
                <w:lang w:val="ru-RU" w:eastAsia="ru-RU"/>
              </w:rPr>
            </w:pPr>
            <w:r w:rsidRPr="00B36003">
              <w:rPr>
                <w:rFonts w:eastAsia="Times New Roman" w:cs="Times New Roman"/>
                <w:b/>
                <w:bCs/>
                <w:color w:val="000000"/>
                <w:sz w:val="20"/>
                <w:szCs w:val="20"/>
                <w:lang w:val="ru-RU" w:eastAsia="ru-RU"/>
              </w:rPr>
              <w:t>CLR</w:t>
            </w:r>
          </w:p>
        </w:tc>
        <w:tc>
          <w:tcPr>
            <w:tcW w:w="417" w:type="pct"/>
            <w:tcBorders>
              <w:top w:val="nil"/>
              <w:left w:val="nil"/>
              <w:bottom w:val="nil"/>
              <w:right w:val="nil"/>
            </w:tcBorders>
            <w:shd w:val="clear" w:color="auto" w:fill="auto"/>
            <w:noWrap/>
            <w:vAlign w:val="bottom"/>
            <w:hideMark/>
          </w:tcPr>
          <w:p w14:paraId="162A25D0"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0,04</w:t>
            </w:r>
          </w:p>
        </w:tc>
        <w:tc>
          <w:tcPr>
            <w:tcW w:w="417" w:type="pct"/>
            <w:tcBorders>
              <w:top w:val="nil"/>
              <w:left w:val="nil"/>
              <w:bottom w:val="nil"/>
              <w:right w:val="nil"/>
            </w:tcBorders>
            <w:shd w:val="clear" w:color="auto" w:fill="auto"/>
            <w:noWrap/>
            <w:vAlign w:val="bottom"/>
            <w:hideMark/>
          </w:tcPr>
          <w:p w14:paraId="69F96730"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0,02</w:t>
            </w:r>
          </w:p>
        </w:tc>
        <w:tc>
          <w:tcPr>
            <w:tcW w:w="417" w:type="pct"/>
            <w:tcBorders>
              <w:top w:val="nil"/>
              <w:left w:val="nil"/>
              <w:bottom w:val="nil"/>
              <w:right w:val="nil"/>
            </w:tcBorders>
            <w:shd w:val="clear" w:color="auto" w:fill="auto"/>
            <w:noWrap/>
            <w:vAlign w:val="bottom"/>
            <w:hideMark/>
          </w:tcPr>
          <w:p w14:paraId="1FF89958"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0,08</w:t>
            </w:r>
          </w:p>
        </w:tc>
        <w:tc>
          <w:tcPr>
            <w:tcW w:w="417" w:type="pct"/>
            <w:tcBorders>
              <w:top w:val="nil"/>
              <w:left w:val="nil"/>
              <w:bottom w:val="nil"/>
              <w:right w:val="nil"/>
            </w:tcBorders>
            <w:shd w:val="clear" w:color="auto" w:fill="auto"/>
            <w:noWrap/>
            <w:vAlign w:val="bottom"/>
            <w:hideMark/>
          </w:tcPr>
          <w:p w14:paraId="1F1F96F1"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0,07</w:t>
            </w:r>
          </w:p>
        </w:tc>
        <w:tc>
          <w:tcPr>
            <w:tcW w:w="417" w:type="pct"/>
            <w:tcBorders>
              <w:top w:val="nil"/>
              <w:left w:val="nil"/>
              <w:bottom w:val="nil"/>
              <w:right w:val="nil"/>
            </w:tcBorders>
            <w:shd w:val="clear" w:color="auto" w:fill="auto"/>
            <w:noWrap/>
            <w:vAlign w:val="bottom"/>
            <w:hideMark/>
          </w:tcPr>
          <w:p w14:paraId="19EE6A74"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-0,08</w:t>
            </w:r>
          </w:p>
        </w:tc>
        <w:tc>
          <w:tcPr>
            <w:tcW w:w="417" w:type="pct"/>
            <w:tcBorders>
              <w:top w:val="nil"/>
              <w:left w:val="nil"/>
              <w:bottom w:val="nil"/>
              <w:right w:val="nil"/>
            </w:tcBorders>
            <w:shd w:val="clear" w:color="auto" w:fill="auto"/>
            <w:noWrap/>
            <w:vAlign w:val="bottom"/>
            <w:hideMark/>
          </w:tcPr>
          <w:p w14:paraId="6A76A1E1"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0,06</w:t>
            </w:r>
          </w:p>
        </w:tc>
        <w:tc>
          <w:tcPr>
            <w:tcW w:w="417" w:type="pct"/>
            <w:tcBorders>
              <w:top w:val="nil"/>
              <w:left w:val="nil"/>
              <w:bottom w:val="nil"/>
              <w:right w:val="nil"/>
            </w:tcBorders>
            <w:shd w:val="clear" w:color="auto" w:fill="auto"/>
            <w:noWrap/>
            <w:vAlign w:val="bottom"/>
            <w:hideMark/>
          </w:tcPr>
          <w:p w14:paraId="642D285A"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-0,01</w:t>
            </w:r>
          </w:p>
        </w:tc>
        <w:tc>
          <w:tcPr>
            <w:tcW w:w="417" w:type="pct"/>
            <w:tcBorders>
              <w:top w:val="nil"/>
              <w:left w:val="nil"/>
              <w:bottom w:val="nil"/>
              <w:right w:val="nil"/>
            </w:tcBorders>
            <w:shd w:val="clear" w:color="auto" w:fill="auto"/>
            <w:noWrap/>
            <w:vAlign w:val="bottom"/>
            <w:hideMark/>
          </w:tcPr>
          <w:p w14:paraId="3371E8F3"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-0,19</w:t>
            </w:r>
          </w:p>
        </w:tc>
        <w:tc>
          <w:tcPr>
            <w:tcW w:w="417" w:type="pct"/>
            <w:tcBorders>
              <w:top w:val="nil"/>
              <w:left w:val="nil"/>
              <w:bottom w:val="nil"/>
              <w:right w:val="nil"/>
            </w:tcBorders>
            <w:shd w:val="clear" w:color="auto" w:fill="auto"/>
            <w:noWrap/>
            <w:vAlign w:val="bottom"/>
            <w:hideMark/>
          </w:tcPr>
          <w:p w14:paraId="34028D77"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1,00</w:t>
            </w:r>
          </w:p>
        </w:tc>
        <w:tc>
          <w:tcPr>
            <w:tcW w:w="417" w:type="pct"/>
            <w:tcBorders>
              <w:top w:val="nil"/>
              <w:left w:val="nil"/>
              <w:bottom w:val="nil"/>
              <w:right w:val="nil"/>
            </w:tcBorders>
            <w:shd w:val="clear" w:color="auto" w:fill="auto"/>
            <w:noWrap/>
            <w:vAlign w:val="bottom"/>
            <w:hideMark/>
          </w:tcPr>
          <w:p w14:paraId="60F9EA3E"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p>
        </w:tc>
        <w:tc>
          <w:tcPr>
            <w:tcW w:w="417" w:type="pct"/>
            <w:tcBorders>
              <w:top w:val="nil"/>
              <w:left w:val="nil"/>
              <w:bottom w:val="nil"/>
              <w:right w:val="single" w:sz="4" w:space="0" w:color="auto"/>
            </w:tcBorders>
            <w:shd w:val="clear" w:color="auto" w:fill="auto"/>
            <w:noWrap/>
            <w:vAlign w:val="bottom"/>
            <w:hideMark/>
          </w:tcPr>
          <w:p w14:paraId="6E9C2875"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 </w:t>
            </w:r>
          </w:p>
        </w:tc>
      </w:tr>
      <w:tr w:rsidR="00B36003" w:rsidRPr="00B36003" w14:paraId="05D8C2E9" w14:textId="77777777" w:rsidTr="00B36003">
        <w:trPr>
          <w:trHeight w:val="300"/>
        </w:trPr>
        <w:tc>
          <w:tcPr>
            <w:tcW w:w="417" w:type="pct"/>
            <w:tcBorders>
              <w:top w:val="nil"/>
              <w:left w:val="single" w:sz="4" w:space="0" w:color="auto"/>
              <w:bottom w:val="nil"/>
              <w:right w:val="single" w:sz="4" w:space="0" w:color="auto"/>
            </w:tcBorders>
            <w:shd w:val="clear" w:color="auto" w:fill="auto"/>
            <w:noWrap/>
            <w:vAlign w:val="bottom"/>
            <w:hideMark/>
          </w:tcPr>
          <w:p w14:paraId="76D7E9FB" w14:textId="77777777" w:rsidR="00B36003" w:rsidRPr="00B36003" w:rsidRDefault="00B36003" w:rsidP="00B36003">
            <w:pPr>
              <w:spacing w:after="0" w:line="240" w:lineRule="auto"/>
              <w:ind w:firstLine="0"/>
              <w:contextualSpacing w:val="0"/>
              <w:jc w:val="center"/>
              <w:rPr>
                <w:rFonts w:eastAsia="Times New Roman" w:cs="Times New Roman"/>
                <w:b/>
                <w:bCs/>
                <w:color w:val="000000"/>
                <w:sz w:val="20"/>
                <w:szCs w:val="20"/>
                <w:lang w:val="ru-RU" w:eastAsia="ru-RU"/>
              </w:rPr>
            </w:pPr>
            <w:r w:rsidRPr="00B36003">
              <w:rPr>
                <w:rFonts w:eastAsia="Times New Roman" w:cs="Times New Roman"/>
                <w:b/>
                <w:bCs/>
                <w:color w:val="000000"/>
                <w:sz w:val="20"/>
                <w:szCs w:val="20"/>
                <w:lang w:val="ru-RU" w:eastAsia="ru-RU"/>
              </w:rPr>
              <w:t>GDP</w:t>
            </w:r>
          </w:p>
        </w:tc>
        <w:tc>
          <w:tcPr>
            <w:tcW w:w="417" w:type="pct"/>
            <w:tcBorders>
              <w:top w:val="nil"/>
              <w:left w:val="nil"/>
              <w:bottom w:val="nil"/>
              <w:right w:val="nil"/>
            </w:tcBorders>
            <w:shd w:val="clear" w:color="auto" w:fill="auto"/>
            <w:noWrap/>
            <w:vAlign w:val="bottom"/>
            <w:hideMark/>
          </w:tcPr>
          <w:p w14:paraId="543828E9"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-0,33</w:t>
            </w:r>
          </w:p>
        </w:tc>
        <w:tc>
          <w:tcPr>
            <w:tcW w:w="417" w:type="pct"/>
            <w:tcBorders>
              <w:top w:val="nil"/>
              <w:left w:val="nil"/>
              <w:bottom w:val="nil"/>
              <w:right w:val="nil"/>
            </w:tcBorders>
            <w:shd w:val="clear" w:color="auto" w:fill="auto"/>
            <w:noWrap/>
            <w:vAlign w:val="bottom"/>
            <w:hideMark/>
          </w:tcPr>
          <w:p w14:paraId="09864DB0"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0,13</w:t>
            </w:r>
          </w:p>
        </w:tc>
        <w:tc>
          <w:tcPr>
            <w:tcW w:w="417" w:type="pct"/>
            <w:tcBorders>
              <w:top w:val="nil"/>
              <w:left w:val="nil"/>
              <w:bottom w:val="nil"/>
              <w:right w:val="nil"/>
            </w:tcBorders>
            <w:shd w:val="clear" w:color="auto" w:fill="auto"/>
            <w:noWrap/>
            <w:vAlign w:val="bottom"/>
            <w:hideMark/>
          </w:tcPr>
          <w:p w14:paraId="005F00A7"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0,18</w:t>
            </w:r>
          </w:p>
        </w:tc>
        <w:tc>
          <w:tcPr>
            <w:tcW w:w="417" w:type="pct"/>
            <w:tcBorders>
              <w:top w:val="nil"/>
              <w:left w:val="nil"/>
              <w:bottom w:val="nil"/>
              <w:right w:val="nil"/>
            </w:tcBorders>
            <w:shd w:val="clear" w:color="auto" w:fill="auto"/>
            <w:noWrap/>
            <w:vAlign w:val="bottom"/>
            <w:hideMark/>
          </w:tcPr>
          <w:p w14:paraId="57A8C47C"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0,06</w:t>
            </w:r>
          </w:p>
        </w:tc>
        <w:tc>
          <w:tcPr>
            <w:tcW w:w="417" w:type="pct"/>
            <w:tcBorders>
              <w:top w:val="nil"/>
              <w:left w:val="nil"/>
              <w:bottom w:val="nil"/>
              <w:right w:val="nil"/>
            </w:tcBorders>
            <w:shd w:val="clear" w:color="auto" w:fill="auto"/>
            <w:noWrap/>
            <w:vAlign w:val="bottom"/>
            <w:hideMark/>
          </w:tcPr>
          <w:p w14:paraId="00869D46"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0,08</w:t>
            </w:r>
          </w:p>
        </w:tc>
        <w:tc>
          <w:tcPr>
            <w:tcW w:w="417" w:type="pct"/>
            <w:tcBorders>
              <w:top w:val="nil"/>
              <w:left w:val="nil"/>
              <w:bottom w:val="nil"/>
              <w:right w:val="nil"/>
            </w:tcBorders>
            <w:shd w:val="clear" w:color="auto" w:fill="auto"/>
            <w:noWrap/>
            <w:vAlign w:val="bottom"/>
            <w:hideMark/>
          </w:tcPr>
          <w:p w14:paraId="474C2839"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-0,15</w:t>
            </w:r>
          </w:p>
        </w:tc>
        <w:tc>
          <w:tcPr>
            <w:tcW w:w="417" w:type="pct"/>
            <w:tcBorders>
              <w:top w:val="nil"/>
              <w:left w:val="nil"/>
              <w:bottom w:val="nil"/>
              <w:right w:val="nil"/>
            </w:tcBorders>
            <w:shd w:val="clear" w:color="auto" w:fill="auto"/>
            <w:noWrap/>
            <w:vAlign w:val="bottom"/>
            <w:hideMark/>
          </w:tcPr>
          <w:p w14:paraId="4FAFE979"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0,05</w:t>
            </w:r>
          </w:p>
        </w:tc>
        <w:tc>
          <w:tcPr>
            <w:tcW w:w="417" w:type="pct"/>
            <w:tcBorders>
              <w:top w:val="nil"/>
              <w:left w:val="nil"/>
              <w:bottom w:val="nil"/>
              <w:right w:val="nil"/>
            </w:tcBorders>
            <w:shd w:val="clear" w:color="auto" w:fill="auto"/>
            <w:noWrap/>
            <w:vAlign w:val="bottom"/>
            <w:hideMark/>
          </w:tcPr>
          <w:p w14:paraId="2A9CB94D"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0,19</w:t>
            </w:r>
          </w:p>
        </w:tc>
        <w:tc>
          <w:tcPr>
            <w:tcW w:w="417" w:type="pct"/>
            <w:tcBorders>
              <w:top w:val="nil"/>
              <w:left w:val="nil"/>
              <w:bottom w:val="nil"/>
              <w:right w:val="nil"/>
            </w:tcBorders>
            <w:shd w:val="clear" w:color="auto" w:fill="auto"/>
            <w:noWrap/>
            <w:vAlign w:val="bottom"/>
            <w:hideMark/>
          </w:tcPr>
          <w:p w14:paraId="597D797E"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0,12</w:t>
            </w:r>
          </w:p>
        </w:tc>
        <w:tc>
          <w:tcPr>
            <w:tcW w:w="417" w:type="pct"/>
            <w:tcBorders>
              <w:top w:val="nil"/>
              <w:left w:val="nil"/>
              <w:bottom w:val="nil"/>
              <w:right w:val="nil"/>
            </w:tcBorders>
            <w:shd w:val="clear" w:color="auto" w:fill="auto"/>
            <w:noWrap/>
            <w:vAlign w:val="bottom"/>
            <w:hideMark/>
          </w:tcPr>
          <w:p w14:paraId="3DAAAB4B"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1,00</w:t>
            </w:r>
          </w:p>
        </w:tc>
        <w:tc>
          <w:tcPr>
            <w:tcW w:w="417" w:type="pct"/>
            <w:tcBorders>
              <w:top w:val="nil"/>
              <w:left w:val="nil"/>
              <w:bottom w:val="nil"/>
              <w:right w:val="single" w:sz="4" w:space="0" w:color="auto"/>
            </w:tcBorders>
            <w:shd w:val="clear" w:color="auto" w:fill="auto"/>
            <w:noWrap/>
            <w:vAlign w:val="bottom"/>
            <w:hideMark/>
          </w:tcPr>
          <w:p w14:paraId="577A31E3"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 </w:t>
            </w:r>
          </w:p>
        </w:tc>
      </w:tr>
      <w:tr w:rsidR="00B36003" w:rsidRPr="00B36003" w14:paraId="4F23629C" w14:textId="77777777" w:rsidTr="00B36003">
        <w:trPr>
          <w:trHeight w:val="300"/>
        </w:trPr>
        <w:tc>
          <w:tcPr>
            <w:tcW w:w="417" w:type="pct"/>
            <w:tcBorders>
              <w:top w:val="nil"/>
              <w:left w:val="single" w:sz="4" w:space="0" w:color="auto"/>
              <w:bottom w:val="single" w:sz="4" w:space="0" w:color="auto"/>
              <w:right w:val="single" w:sz="4" w:space="0" w:color="auto"/>
            </w:tcBorders>
            <w:shd w:val="clear" w:color="auto" w:fill="auto"/>
            <w:noWrap/>
            <w:vAlign w:val="bottom"/>
            <w:hideMark/>
          </w:tcPr>
          <w:p w14:paraId="67BA1845" w14:textId="77777777" w:rsidR="00B36003" w:rsidRPr="00B36003" w:rsidRDefault="00B36003" w:rsidP="00B36003">
            <w:pPr>
              <w:spacing w:after="0" w:line="240" w:lineRule="auto"/>
              <w:ind w:firstLine="0"/>
              <w:contextualSpacing w:val="0"/>
              <w:jc w:val="center"/>
              <w:rPr>
                <w:rFonts w:eastAsia="Times New Roman" w:cs="Times New Roman"/>
                <w:b/>
                <w:bCs/>
                <w:color w:val="000000"/>
                <w:sz w:val="20"/>
                <w:szCs w:val="20"/>
                <w:lang w:val="ru-RU" w:eastAsia="ru-RU"/>
              </w:rPr>
            </w:pPr>
            <w:r w:rsidRPr="00B36003">
              <w:rPr>
                <w:rFonts w:eastAsia="Times New Roman" w:cs="Times New Roman"/>
                <w:b/>
                <w:bCs/>
                <w:color w:val="000000"/>
                <w:sz w:val="20"/>
                <w:szCs w:val="20"/>
                <w:lang w:val="ru-RU" w:eastAsia="ru-RU"/>
              </w:rPr>
              <w:t>OPR</w:t>
            </w:r>
          </w:p>
        </w:tc>
        <w:tc>
          <w:tcPr>
            <w:tcW w:w="417" w:type="pct"/>
            <w:tcBorders>
              <w:top w:val="nil"/>
              <w:left w:val="nil"/>
              <w:bottom w:val="single" w:sz="4" w:space="0" w:color="auto"/>
              <w:right w:val="nil"/>
            </w:tcBorders>
            <w:shd w:val="clear" w:color="auto" w:fill="auto"/>
            <w:noWrap/>
            <w:vAlign w:val="bottom"/>
            <w:hideMark/>
          </w:tcPr>
          <w:p w14:paraId="6941EEAC"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-0,34</w:t>
            </w:r>
          </w:p>
        </w:tc>
        <w:tc>
          <w:tcPr>
            <w:tcW w:w="417" w:type="pct"/>
            <w:tcBorders>
              <w:top w:val="nil"/>
              <w:left w:val="nil"/>
              <w:bottom w:val="single" w:sz="4" w:space="0" w:color="auto"/>
              <w:right w:val="nil"/>
            </w:tcBorders>
            <w:shd w:val="clear" w:color="auto" w:fill="auto"/>
            <w:noWrap/>
            <w:vAlign w:val="bottom"/>
            <w:hideMark/>
          </w:tcPr>
          <w:p w14:paraId="216E33FF"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0,06</w:t>
            </w:r>
          </w:p>
        </w:tc>
        <w:tc>
          <w:tcPr>
            <w:tcW w:w="417" w:type="pct"/>
            <w:tcBorders>
              <w:top w:val="nil"/>
              <w:left w:val="nil"/>
              <w:bottom w:val="single" w:sz="4" w:space="0" w:color="auto"/>
              <w:right w:val="nil"/>
            </w:tcBorders>
            <w:shd w:val="clear" w:color="auto" w:fill="auto"/>
            <w:noWrap/>
            <w:vAlign w:val="bottom"/>
            <w:hideMark/>
          </w:tcPr>
          <w:p w14:paraId="1BCD8C9D"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0,12</w:t>
            </w:r>
          </w:p>
        </w:tc>
        <w:tc>
          <w:tcPr>
            <w:tcW w:w="417" w:type="pct"/>
            <w:tcBorders>
              <w:top w:val="nil"/>
              <w:left w:val="nil"/>
              <w:bottom w:val="single" w:sz="4" w:space="0" w:color="auto"/>
              <w:right w:val="nil"/>
            </w:tcBorders>
            <w:shd w:val="clear" w:color="auto" w:fill="auto"/>
            <w:noWrap/>
            <w:vAlign w:val="bottom"/>
            <w:hideMark/>
          </w:tcPr>
          <w:p w14:paraId="379827BF"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-0,02</w:t>
            </w:r>
          </w:p>
        </w:tc>
        <w:tc>
          <w:tcPr>
            <w:tcW w:w="417" w:type="pct"/>
            <w:tcBorders>
              <w:top w:val="nil"/>
              <w:left w:val="nil"/>
              <w:bottom w:val="single" w:sz="4" w:space="0" w:color="auto"/>
              <w:right w:val="nil"/>
            </w:tcBorders>
            <w:shd w:val="clear" w:color="auto" w:fill="auto"/>
            <w:noWrap/>
            <w:vAlign w:val="bottom"/>
            <w:hideMark/>
          </w:tcPr>
          <w:p w14:paraId="63399384"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0,03</w:t>
            </w:r>
          </w:p>
        </w:tc>
        <w:tc>
          <w:tcPr>
            <w:tcW w:w="417" w:type="pct"/>
            <w:tcBorders>
              <w:top w:val="nil"/>
              <w:left w:val="nil"/>
              <w:bottom w:val="single" w:sz="4" w:space="0" w:color="auto"/>
              <w:right w:val="nil"/>
            </w:tcBorders>
            <w:shd w:val="clear" w:color="auto" w:fill="auto"/>
            <w:noWrap/>
            <w:vAlign w:val="bottom"/>
            <w:hideMark/>
          </w:tcPr>
          <w:p w14:paraId="32DD1395"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-0,10</w:t>
            </w:r>
          </w:p>
        </w:tc>
        <w:tc>
          <w:tcPr>
            <w:tcW w:w="417" w:type="pct"/>
            <w:tcBorders>
              <w:top w:val="nil"/>
              <w:left w:val="nil"/>
              <w:bottom w:val="single" w:sz="4" w:space="0" w:color="auto"/>
              <w:right w:val="nil"/>
            </w:tcBorders>
            <w:shd w:val="clear" w:color="auto" w:fill="auto"/>
            <w:noWrap/>
            <w:vAlign w:val="bottom"/>
            <w:hideMark/>
          </w:tcPr>
          <w:p w14:paraId="664512CB"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-0,01</w:t>
            </w:r>
          </w:p>
        </w:tc>
        <w:tc>
          <w:tcPr>
            <w:tcW w:w="417" w:type="pct"/>
            <w:tcBorders>
              <w:top w:val="nil"/>
              <w:left w:val="nil"/>
              <w:bottom w:val="single" w:sz="4" w:space="0" w:color="auto"/>
              <w:right w:val="nil"/>
            </w:tcBorders>
            <w:shd w:val="clear" w:color="auto" w:fill="auto"/>
            <w:noWrap/>
            <w:vAlign w:val="bottom"/>
            <w:hideMark/>
          </w:tcPr>
          <w:p w14:paraId="02EEE385"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0,04</w:t>
            </w:r>
          </w:p>
        </w:tc>
        <w:tc>
          <w:tcPr>
            <w:tcW w:w="417" w:type="pct"/>
            <w:tcBorders>
              <w:top w:val="nil"/>
              <w:left w:val="nil"/>
              <w:bottom w:val="single" w:sz="4" w:space="0" w:color="auto"/>
              <w:right w:val="nil"/>
            </w:tcBorders>
            <w:shd w:val="clear" w:color="auto" w:fill="auto"/>
            <w:noWrap/>
            <w:vAlign w:val="bottom"/>
            <w:hideMark/>
          </w:tcPr>
          <w:p w14:paraId="219B1CC4"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-0,08</w:t>
            </w:r>
          </w:p>
        </w:tc>
        <w:tc>
          <w:tcPr>
            <w:tcW w:w="417" w:type="pct"/>
            <w:tcBorders>
              <w:top w:val="nil"/>
              <w:left w:val="nil"/>
              <w:bottom w:val="single" w:sz="4" w:space="0" w:color="auto"/>
              <w:right w:val="nil"/>
            </w:tcBorders>
            <w:shd w:val="clear" w:color="auto" w:fill="auto"/>
            <w:noWrap/>
            <w:vAlign w:val="bottom"/>
            <w:hideMark/>
          </w:tcPr>
          <w:p w14:paraId="56AB4E91"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0,46</w:t>
            </w:r>
          </w:p>
        </w:tc>
        <w:tc>
          <w:tcPr>
            <w:tcW w:w="417" w:type="pct"/>
            <w:tcBorders>
              <w:top w:val="nil"/>
              <w:left w:val="nil"/>
              <w:bottom w:val="single" w:sz="4" w:space="0" w:color="auto"/>
              <w:right w:val="single" w:sz="4" w:space="0" w:color="auto"/>
            </w:tcBorders>
            <w:shd w:val="clear" w:color="auto" w:fill="auto"/>
            <w:noWrap/>
            <w:vAlign w:val="bottom"/>
            <w:hideMark/>
          </w:tcPr>
          <w:p w14:paraId="04F1E679" w14:textId="77777777" w:rsidR="00B36003" w:rsidRPr="00B36003" w:rsidRDefault="00B36003" w:rsidP="00B36003">
            <w:pPr>
              <w:spacing w:after="0" w:line="240" w:lineRule="auto"/>
              <w:ind w:firstLine="0"/>
              <w:contextualSpacing w:val="0"/>
              <w:jc w:val="center"/>
              <w:rPr>
                <w:rFonts w:eastAsia="Times New Roman" w:cs="Times New Roman"/>
                <w:color w:val="000000"/>
                <w:sz w:val="20"/>
                <w:szCs w:val="20"/>
                <w:lang w:val="ru-RU" w:eastAsia="ru-RU"/>
              </w:rPr>
            </w:pPr>
            <w:r w:rsidRPr="00B36003">
              <w:rPr>
                <w:rFonts w:eastAsia="Times New Roman" w:cs="Times New Roman"/>
                <w:color w:val="000000"/>
                <w:sz w:val="20"/>
                <w:szCs w:val="20"/>
                <w:lang w:val="ru-RU" w:eastAsia="ru-RU"/>
              </w:rPr>
              <w:t>1,00</w:t>
            </w:r>
          </w:p>
        </w:tc>
      </w:tr>
    </w:tbl>
    <w:p w14:paraId="28ED0A60" w14:textId="378B978F" w:rsidR="000D3765" w:rsidRPr="00C507BA" w:rsidRDefault="000D3765" w:rsidP="004D2A38">
      <w:pPr>
        <w:tabs>
          <w:tab w:val="left" w:pos="0"/>
        </w:tabs>
        <w:ind w:firstLine="0"/>
        <w:jc w:val="center"/>
        <w:rPr>
          <w:highlight w:val="yellow"/>
        </w:rPr>
      </w:pPr>
    </w:p>
    <w:p w14:paraId="18EE5913" w14:textId="7AB55046" w:rsidR="004E2F05" w:rsidRDefault="00485F0E" w:rsidP="004D2A38">
      <w:pPr>
        <w:tabs>
          <w:tab w:val="left" w:pos="0"/>
        </w:tabs>
      </w:pPr>
      <w:r w:rsidRPr="003F4299">
        <w:t>Following the developed research methodology, the next step of the analysis is to identify the</w:t>
      </w:r>
      <w:r>
        <w:t xml:space="preserve"> key indicators that influence the post M&amp;A deal performance of the firms through a regression analysis. As the main variables we use the </w:t>
      </w:r>
      <w:r w:rsidR="00C507BA">
        <w:t>change in Days Accounts receivables (AR), Days in inventories (</w:t>
      </w:r>
      <w:proofErr w:type="spellStart"/>
      <w:r w:rsidR="00C507BA">
        <w:t>Inv</w:t>
      </w:r>
      <w:proofErr w:type="spellEnd"/>
      <w:r w:rsidR="00C507BA">
        <w:t>) and Days in accounts payable (AP)</w:t>
      </w:r>
      <w:r>
        <w:t xml:space="preserve">. </w:t>
      </w:r>
      <w:r w:rsidR="00C507BA">
        <w:t>These metrics are</w:t>
      </w:r>
      <w:r>
        <w:t xml:space="preserve"> defined as the difference in </w:t>
      </w:r>
      <w:r w:rsidR="00C507BA">
        <w:t>days</w:t>
      </w:r>
      <w:r>
        <w:t xml:space="preserve"> from the ratio at time t-1 (one year before the deal) and t+1, t+3 and t+5. By doing this we try to capture the influence of capital adjustments onto the corporate performance by regressing the independent variable</w:t>
      </w:r>
      <w:r w:rsidR="00C507BA">
        <w:t>s</w:t>
      </w:r>
      <w:r>
        <w:t xml:space="preserve"> over dependent performance measurement derived as the difference in Tobin’s Q ratio from the year t-1. For the time period of T +1</w:t>
      </w:r>
      <w:r w:rsidR="002F294A">
        <w:t xml:space="preserve"> the following regression was undertaken (</w:t>
      </w:r>
      <w:r w:rsidR="00971A38" w:rsidRPr="005223FD">
        <w:fldChar w:fldCharType="begin"/>
      </w:r>
      <w:r w:rsidR="00971A38" w:rsidRPr="005223FD">
        <w:instrText xml:space="preserve"> REF _Ref514671702 \r \h  \* MERGEFORMAT </w:instrText>
      </w:r>
      <w:r w:rsidR="00971A38" w:rsidRPr="005223FD">
        <w:fldChar w:fldCharType="separate"/>
      </w:r>
      <w:r w:rsidR="00154E78">
        <w:t>Table 10</w:t>
      </w:r>
      <w:r w:rsidR="00971A38" w:rsidRPr="005223FD">
        <w:fldChar w:fldCharType="end"/>
      </w:r>
      <w:r w:rsidR="002F294A">
        <w:t>)</w:t>
      </w:r>
      <w:r w:rsidR="00C507BA">
        <w:t xml:space="preserve">. Detailed results of the regression are presented in the </w:t>
      </w:r>
      <w:r w:rsidR="00C507BA" w:rsidRPr="00033F17">
        <w:t>Appendix 2</w:t>
      </w:r>
      <w:r w:rsidR="002F294A">
        <w:t>:</w:t>
      </w:r>
    </w:p>
    <w:p w14:paraId="2ECD7F62" w14:textId="7CAB9E2E" w:rsidR="00FF4058" w:rsidRDefault="00FF4058" w:rsidP="004D2A38">
      <w:pPr>
        <w:tabs>
          <w:tab w:val="left" w:pos="0"/>
        </w:tabs>
      </w:pPr>
    </w:p>
    <w:p w14:paraId="5EE032B6" w14:textId="0F38C3AA" w:rsidR="00FF4058" w:rsidRDefault="00FF4058" w:rsidP="004D2A38">
      <w:pPr>
        <w:tabs>
          <w:tab w:val="left" w:pos="0"/>
        </w:tabs>
      </w:pPr>
    </w:p>
    <w:p w14:paraId="0FB7068F" w14:textId="2924658A" w:rsidR="00FF4058" w:rsidRDefault="00FF4058" w:rsidP="004D2A38">
      <w:pPr>
        <w:tabs>
          <w:tab w:val="left" w:pos="0"/>
        </w:tabs>
      </w:pPr>
    </w:p>
    <w:p w14:paraId="74581F91" w14:textId="2D9E71DB" w:rsidR="00FF4058" w:rsidRDefault="00FF4058" w:rsidP="004D2A38">
      <w:pPr>
        <w:tabs>
          <w:tab w:val="left" w:pos="0"/>
        </w:tabs>
      </w:pPr>
    </w:p>
    <w:p w14:paraId="6B64C6E6" w14:textId="6730A4CB" w:rsidR="000D3765" w:rsidRPr="003F4299" w:rsidRDefault="000D3765" w:rsidP="004D2A38">
      <w:pPr>
        <w:pStyle w:val="a0"/>
        <w:tabs>
          <w:tab w:val="left" w:pos="0"/>
        </w:tabs>
        <w:ind w:left="0"/>
      </w:pPr>
      <w:bookmarkStart w:id="30" w:name="_Ref514671702"/>
      <w:r w:rsidRPr="003F4299">
        <w:lastRenderedPageBreak/>
        <w:t>Working capital structure regression results for T+1</w:t>
      </w:r>
      <w:bookmarkEnd w:id="30"/>
    </w:p>
    <w:tbl>
      <w:tblPr>
        <w:tblW w:w="5861" w:type="dxa"/>
        <w:jc w:val="center"/>
        <w:tblLook w:val="04A0" w:firstRow="1" w:lastRow="0" w:firstColumn="1" w:lastColumn="0" w:noHBand="0" w:noVBand="1"/>
      </w:tblPr>
      <w:tblGrid>
        <w:gridCol w:w="3440"/>
        <w:gridCol w:w="1091"/>
        <w:gridCol w:w="1330"/>
      </w:tblGrid>
      <w:tr w:rsidR="002F6B09" w:rsidRPr="002F6B09" w14:paraId="3D6FFA3E" w14:textId="77777777" w:rsidTr="008E1BB6">
        <w:trPr>
          <w:trHeight w:val="300"/>
          <w:jc w:val="center"/>
        </w:trPr>
        <w:tc>
          <w:tcPr>
            <w:tcW w:w="3440" w:type="dxa"/>
            <w:tcBorders>
              <w:top w:val="single" w:sz="4" w:space="0" w:color="auto"/>
              <w:left w:val="single" w:sz="4" w:space="0" w:color="auto"/>
              <w:bottom w:val="nil"/>
              <w:right w:val="nil"/>
            </w:tcBorders>
            <w:shd w:val="clear" w:color="auto" w:fill="auto"/>
            <w:noWrap/>
            <w:vAlign w:val="center"/>
            <w:hideMark/>
          </w:tcPr>
          <w:p w14:paraId="5C2AD342" w14:textId="77777777" w:rsidR="002F6B09" w:rsidRPr="002F6B09" w:rsidRDefault="002F6B09" w:rsidP="002F6B09">
            <w:pPr>
              <w:spacing w:after="0" w:line="240" w:lineRule="auto"/>
              <w:ind w:firstLine="0"/>
              <w:contextualSpacing w:val="0"/>
              <w:jc w:val="left"/>
              <w:rPr>
                <w:rFonts w:eastAsia="Times New Roman" w:cs="Times New Roman"/>
                <w:color w:val="000000"/>
                <w:sz w:val="20"/>
                <w:szCs w:val="20"/>
                <w:lang w:val="ru-RU" w:eastAsia="ru-RU"/>
              </w:rPr>
            </w:pPr>
            <w:proofErr w:type="spellStart"/>
            <w:r w:rsidRPr="002F6B09">
              <w:rPr>
                <w:rFonts w:eastAsia="Times New Roman" w:cs="Times New Roman"/>
                <w:color w:val="000000"/>
                <w:sz w:val="20"/>
                <w:szCs w:val="20"/>
                <w:lang w:val="ru-RU" w:eastAsia="ru-RU"/>
              </w:rPr>
              <w:t>Number</w:t>
            </w:r>
            <w:proofErr w:type="spellEnd"/>
            <w:r w:rsidRPr="002F6B09">
              <w:rPr>
                <w:rFonts w:eastAsia="Times New Roman" w:cs="Times New Roman"/>
                <w:color w:val="000000"/>
                <w:sz w:val="20"/>
                <w:szCs w:val="20"/>
                <w:lang w:val="ru-RU" w:eastAsia="ru-RU"/>
              </w:rPr>
              <w:t xml:space="preserve"> </w:t>
            </w:r>
            <w:proofErr w:type="spellStart"/>
            <w:r w:rsidRPr="002F6B09">
              <w:rPr>
                <w:rFonts w:eastAsia="Times New Roman" w:cs="Times New Roman"/>
                <w:color w:val="000000"/>
                <w:sz w:val="20"/>
                <w:szCs w:val="20"/>
                <w:lang w:val="ru-RU" w:eastAsia="ru-RU"/>
              </w:rPr>
              <w:t>of</w:t>
            </w:r>
            <w:proofErr w:type="spellEnd"/>
            <w:r w:rsidRPr="002F6B09">
              <w:rPr>
                <w:rFonts w:eastAsia="Times New Roman" w:cs="Times New Roman"/>
                <w:color w:val="000000"/>
                <w:sz w:val="20"/>
                <w:szCs w:val="20"/>
                <w:lang w:val="ru-RU" w:eastAsia="ru-RU"/>
              </w:rPr>
              <w:t xml:space="preserve"> </w:t>
            </w:r>
            <w:proofErr w:type="spellStart"/>
            <w:r w:rsidRPr="002F6B09">
              <w:rPr>
                <w:rFonts w:eastAsia="Times New Roman" w:cs="Times New Roman"/>
                <w:color w:val="000000"/>
                <w:sz w:val="20"/>
                <w:szCs w:val="20"/>
                <w:lang w:val="ru-RU" w:eastAsia="ru-RU"/>
              </w:rPr>
              <w:t>observations</w:t>
            </w:r>
            <w:proofErr w:type="spellEnd"/>
          </w:p>
        </w:tc>
        <w:tc>
          <w:tcPr>
            <w:tcW w:w="2421"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71F775D2" w14:textId="77777777" w:rsidR="002F6B09" w:rsidRPr="002F6B09" w:rsidRDefault="002F6B09" w:rsidP="002F6B09">
            <w:pPr>
              <w:spacing w:after="0" w:line="240" w:lineRule="auto"/>
              <w:ind w:firstLine="0"/>
              <w:contextualSpacing w:val="0"/>
              <w:jc w:val="center"/>
              <w:rPr>
                <w:rFonts w:eastAsia="Times New Roman" w:cs="Times New Roman"/>
                <w:color w:val="000000"/>
                <w:sz w:val="20"/>
                <w:szCs w:val="20"/>
                <w:lang w:val="ru-RU" w:eastAsia="ru-RU"/>
              </w:rPr>
            </w:pPr>
            <w:r w:rsidRPr="002F6B09">
              <w:rPr>
                <w:rFonts w:eastAsia="Times New Roman" w:cs="Times New Roman"/>
                <w:color w:val="000000"/>
                <w:sz w:val="20"/>
                <w:szCs w:val="20"/>
                <w:lang w:val="ru-RU" w:eastAsia="ru-RU"/>
              </w:rPr>
              <w:t>123</w:t>
            </w:r>
          </w:p>
        </w:tc>
      </w:tr>
      <w:tr w:rsidR="002F6B09" w:rsidRPr="002F6B09" w14:paraId="1E6316FB" w14:textId="77777777" w:rsidTr="008E1BB6">
        <w:trPr>
          <w:trHeight w:val="300"/>
          <w:jc w:val="center"/>
        </w:trPr>
        <w:tc>
          <w:tcPr>
            <w:tcW w:w="3440" w:type="dxa"/>
            <w:tcBorders>
              <w:top w:val="nil"/>
              <w:left w:val="single" w:sz="4" w:space="0" w:color="auto"/>
              <w:bottom w:val="nil"/>
              <w:right w:val="nil"/>
            </w:tcBorders>
            <w:shd w:val="clear" w:color="auto" w:fill="auto"/>
            <w:noWrap/>
            <w:vAlign w:val="center"/>
            <w:hideMark/>
          </w:tcPr>
          <w:p w14:paraId="0BDFE73B" w14:textId="77777777" w:rsidR="002F6B09" w:rsidRPr="002F6B09" w:rsidRDefault="002F6B09" w:rsidP="002F6B09">
            <w:pPr>
              <w:spacing w:after="0" w:line="240" w:lineRule="auto"/>
              <w:ind w:firstLine="0"/>
              <w:contextualSpacing w:val="0"/>
              <w:jc w:val="left"/>
              <w:rPr>
                <w:rFonts w:eastAsia="Times New Roman" w:cs="Times New Roman"/>
                <w:color w:val="000000"/>
                <w:sz w:val="20"/>
                <w:szCs w:val="20"/>
                <w:lang w:val="ru-RU" w:eastAsia="ru-RU"/>
              </w:rPr>
            </w:pPr>
            <w:r w:rsidRPr="002F6B09">
              <w:rPr>
                <w:rFonts w:eastAsia="Times New Roman" w:cs="Times New Roman"/>
                <w:color w:val="000000"/>
                <w:sz w:val="20"/>
                <w:szCs w:val="20"/>
                <w:lang w:val="ru-RU" w:eastAsia="ru-RU"/>
              </w:rPr>
              <w:t>F-</w:t>
            </w:r>
            <w:proofErr w:type="spellStart"/>
            <w:r w:rsidRPr="002F6B09">
              <w:rPr>
                <w:rFonts w:eastAsia="Times New Roman" w:cs="Times New Roman"/>
                <w:color w:val="000000"/>
                <w:sz w:val="20"/>
                <w:szCs w:val="20"/>
                <w:lang w:val="ru-RU" w:eastAsia="ru-RU"/>
              </w:rPr>
              <w:t>test</w:t>
            </w:r>
            <w:proofErr w:type="spellEnd"/>
            <w:r w:rsidRPr="002F6B09">
              <w:rPr>
                <w:rFonts w:eastAsia="Times New Roman" w:cs="Times New Roman"/>
                <w:color w:val="000000"/>
                <w:sz w:val="20"/>
                <w:szCs w:val="20"/>
                <w:lang w:val="ru-RU" w:eastAsia="ru-RU"/>
              </w:rPr>
              <w:t>, p-</w:t>
            </w:r>
            <w:proofErr w:type="spellStart"/>
            <w:r w:rsidRPr="002F6B09">
              <w:rPr>
                <w:rFonts w:eastAsia="Times New Roman" w:cs="Times New Roman"/>
                <w:color w:val="000000"/>
                <w:sz w:val="20"/>
                <w:szCs w:val="20"/>
                <w:lang w:val="ru-RU" w:eastAsia="ru-RU"/>
              </w:rPr>
              <w:t>value</w:t>
            </w:r>
            <w:proofErr w:type="spellEnd"/>
          </w:p>
        </w:tc>
        <w:tc>
          <w:tcPr>
            <w:tcW w:w="2421" w:type="dxa"/>
            <w:gridSpan w:val="2"/>
            <w:tcBorders>
              <w:top w:val="nil"/>
              <w:left w:val="single" w:sz="4" w:space="0" w:color="auto"/>
              <w:bottom w:val="nil"/>
              <w:right w:val="single" w:sz="4" w:space="0" w:color="000000"/>
            </w:tcBorders>
            <w:shd w:val="clear" w:color="auto" w:fill="auto"/>
            <w:noWrap/>
            <w:vAlign w:val="bottom"/>
            <w:hideMark/>
          </w:tcPr>
          <w:p w14:paraId="27B67995" w14:textId="77777777" w:rsidR="002F6B09" w:rsidRPr="002F6B09" w:rsidRDefault="002F6B09" w:rsidP="002F6B09">
            <w:pPr>
              <w:spacing w:after="0" w:line="240" w:lineRule="auto"/>
              <w:ind w:firstLine="0"/>
              <w:contextualSpacing w:val="0"/>
              <w:jc w:val="center"/>
              <w:rPr>
                <w:rFonts w:eastAsia="Times New Roman" w:cs="Times New Roman"/>
                <w:color w:val="000000"/>
                <w:sz w:val="20"/>
                <w:szCs w:val="20"/>
                <w:lang w:val="ru-RU" w:eastAsia="ru-RU"/>
              </w:rPr>
            </w:pPr>
            <w:r w:rsidRPr="002F6B09">
              <w:rPr>
                <w:rFonts w:eastAsia="Times New Roman" w:cs="Times New Roman"/>
                <w:color w:val="000000"/>
                <w:sz w:val="20"/>
                <w:szCs w:val="20"/>
                <w:lang w:val="ru-RU" w:eastAsia="ru-RU"/>
              </w:rPr>
              <w:t>0,00</w:t>
            </w:r>
          </w:p>
        </w:tc>
      </w:tr>
      <w:tr w:rsidR="002F6B09" w:rsidRPr="002F6B09" w14:paraId="44248A00" w14:textId="77777777" w:rsidTr="008E1BB6">
        <w:trPr>
          <w:trHeight w:val="330"/>
          <w:jc w:val="center"/>
        </w:trPr>
        <w:tc>
          <w:tcPr>
            <w:tcW w:w="3440" w:type="dxa"/>
            <w:tcBorders>
              <w:top w:val="nil"/>
              <w:left w:val="single" w:sz="4" w:space="0" w:color="auto"/>
              <w:bottom w:val="single" w:sz="4" w:space="0" w:color="auto"/>
              <w:right w:val="nil"/>
            </w:tcBorders>
            <w:shd w:val="clear" w:color="auto" w:fill="auto"/>
            <w:noWrap/>
            <w:vAlign w:val="bottom"/>
            <w:hideMark/>
          </w:tcPr>
          <w:p w14:paraId="5A756A75" w14:textId="77777777" w:rsidR="002F6B09" w:rsidRPr="002F6B09" w:rsidRDefault="002F6B09" w:rsidP="002F6B09">
            <w:pPr>
              <w:spacing w:after="0" w:line="240" w:lineRule="auto"/>
              <w:ind w:firstLine="0"/>
              <w:contextualSpacing w:val="0"/>
              <w:jc w:val="left"/>
              <w:rPr>
                <w:rFonts w:eastAsia="Times New Roman" w:cs="Times New Roman"/>
                <w:color w:val="000000"/>
                <w:sz w:val="20"/>
                <w:szCs w:val="20"/>
                <w:lang w:val="ru-RU" w:eastAsia="ru-RU"/>
              </w:rPr>
            </w:pPr>
            <w:r w:rsidRPr="002F6B09">
              <w:rPr>
                <w:rFonts w:eastAsia="Times New Roman" w:cs="Times New Roman"/>
                <w:color w:val="000000"/>
                <w:sz w:val="20"/>
                <w:szCs w:val="20"/>
                <w:lang w:val="ru-RU" w:eastAsia="ru-RU"/>
              </w:rPr>
              <w:t>R</w:t>
            </w:r>
            <w:r w:rsidRPr="002F6B09">
              <w:rPr>
                <w:rFonts w:eastAsia="Times New Roman" w:cs="Times New Roman"/>
                <w:color w:val="000000"/>
                <w:sz w:val="20"/>
                <w:szCs w:val="20"/>
                <w:vertAlign w:val="superscript"/>
                <w:lang w:val="ru-RU" w:eastAsia="ru-RU"/>
              </w:rPr>
              <w:t>2</w:t>
            </w:r>
          </w:p>
        </w:tc>
        <w:tc>
          <w:tcPr>
            <w:tcW w:w="2421"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6581EB16" w14:textId="77777777" w:rsidR="002F6B09" w:rsidRPr="002F6B09" w:rsidRDefault="002F6B09" w:rsidP="002F6B09">
            <w:pPr>
              <w:spacing w:after="0" w:line="240" w:lineRule="auto"/>
              <w:ind w:firstLine="0"/>
              <w:contextualSpacing w:val="0"/>
              <w:jc w:val="center"/>
              <w:rPr>
                <w:rFonts w:eastAsia="Times New Roman" w:cs="Times New Roman"/>
                <w:color w:val="000000"/>
                <w:sz w:val="20"/>
                <w:szCs w:val="20"/>
                <w:lang w:val="ru-RU" w:eastAsia="ru-RU"/>
              </w:rPr>
            </w:pPr>
            <w:r w:rsidRPr="002F6B09">
              <w:rPr>
                <w:rFonts w:eastAsia="Times New Roman" w:cs="Times New Roman"/>
                <w:color w:val="000000"/>
                <w:sz w:val="20"/>
                <w:szCs w:val="20"/>
                <w:lang w:val="ru-RU" w:eastAsia="ru-RU"/>
              </w:rPr>
              <w:t>0,66</w:t>
            </w:r>
          </w:p>
        </w:tc>
      </w:tr>
      <w:tr w:rsidR="002F6B09" w:rsidRPr="002F6B09" w14:paraId="3A10800E" w14:textId="77777777" w:rsidTr="007122C4">
        <w:trPr>
          <w:trHeight w:val="300"/>
          <w:jc w:val="center"/>
        </w:trPr>
        <w:tc>
          <w:tcPr>
            <w:tcW w:w="3440" w:type="dxa"/>
            <w:tcBorders>
              <w:top w:val="nil"/>
              <w:left w:val="single" w:sz="4" w:space="0" w:color="auto"/>
              <w:bottom w:val="single" w:sz="4" w:space="0" w:color="auto"/>
              <w:right w:val="nil"/>
            </w:tcBorders>
            <w:shd w:val="clear" w:color="auto" w:fill="auto"/>
            <w:noWrap/>
            <w:vAlign w:val="center"/>
            <w:hideMark/>
          </w:tcPr>
          <w:p w14:paraId="48CF0821" w14:textId="77777777" w:rsidR="002F6B09" w:rsidRPr="002F6B09" w:rsidRDefault="002F6B09" w:rsidP="002F6B09">
            <w:pPr>
              <w:spacing w:after="0" w:line="240" w:lineRule="auto"/>
              <w:ind w:firstLine="0"/>
              <w:contextualSpacing w:val="0"/>
              <w:jc w:val="left"/>
              <w:rPr>
                <w:rFonts w:eastAsia="Times New Roman" w:cs="Times New Roman"/>
                <w:b/>
                <w:bCs/>
                <w:color w:val="000000"/>
                <w:sz w:val="20"/>
                <w:szCs w:val="20"/>
                <w:lang w:val="ru-RU" w:eastAsia="ru-RU"/>
              </w:rPr>
            </w:pPr>
            <w:r w:rsidRPr="002F6B09">
              <w:rPr>
                <w:rFonts w:eastAsia="Times New Roman" w:cs="Times New Roman"/>
                <w:b/>
                <w:bCs/>
                <w:color w:val="000000"/>
                <w:sz w:val="20"/>
                <w:szCs w:val="20"/>
                <w:lang w:val="ru-RU" w:eastAsia="ru-RU"/>
              </w:rPr>
              <w:t>CTQ</w:t>
            </w:r>
          </w:p>
        </w:tc>
        <w:tc>
          <w:tcPr>
            <w:tcW w:w="1091" w:type="dxa"/>
            <w:tcBorders>
              <w:top w:val="nil"/>
              <w:left w:val="single" w:sz="4" w:space="0" w:color="auto"/>
              <w:bottom w:val="single" w:sz="4" w:space="0" w:color="auto"/>
              <w:right w:val="nil"/>
            </w:tcBorders>
            <w:shd w:val="clear" w:color="auto" w:fill="auto"/>
            <w:noWrap/>
            <w:vAlign w:val="bottom"/>
            <w:hideMark/>
          </w:tcPr>
          <w:p w14:paraId="4977A391" w14:textId="77777777" w:rsidR="002F6B09" w:rsidRPr="002F6B09" w:rsidRDefault="002F6B09" w:rsidP="002F6B09">
            <w:pPr>
              <w:spacing w:after="0" w:line="240" w:lineRule="auto"/>
              <w:ind w:firstLine="0"/>
              <w:contextualSpacing w:val="0"/>
              <w:jc w:val="center"/>
              <w:rPr>
                <w:rFonts w:eastAsia="Times New Roman" w:cs="Times New Roman"/>
                <w:b/>
                <w:bCs/>
                <w:color w:val="000000"/>
                <w:sz w:val="20"/>
                <w:szCs w:val="20"/>
                <w:lang w:val="ru-RU" w:eastAsia="ru-RU"/>
              </w:rPr>
            </w:pPr>
            <w:r w:rsidRPr="002F6B09">
              <w:rPr>
                <w:rFonts w:eastAsia="Times New Roman" w:cs="Times New Roman"/>
                <w:b/>
                <w:bCs/>
                <w:color w:val="000000"/>
                <w:sz w:val="20"/>
                <w:szCs w:val="20"/>
                <w:lang w:val="ru-RU" w:eastAsia="ru-RU"/>
              </w:rPr>
              <w:t>p-</w:t>
            </w:r>
            <w:proofErr w:type="spellStart"/>
            <w:r w:rsidRPr="002F6B09">
              <w:rPr>
                <w:rFonts w:eastAsia="Times New Roman" w:cs="Times New Roman"/>
                <w:b/>
                <w:bCs/>
                <w:color w:val="000000"/>
                <w:sz w:val="20"/>
                <w:szCs w:val="20"/>
                <w:lang w:val="ru-RU" w:eastAsia="ru-RU"/>
              </w:rPr>
              <w:t>value</w:t>
            </w:r>
            <w:proofErr w:type="spellEnd"/>
          </w:p>
        </w:tc>
        <w:tc>
          <w:tcPr>
            <w:tcW w:w="1330" w:type="dxa"/>
            <w:tcBorders>
              <w:top w:val="nil"/>
              <w:left w:val="nil"/>
              <w:bottom w:val="single" w:sz="4" w:space="0" w:color="auto"/>
              <w:right w:val="single" w:sz="4" w:space="0" w:color="auto"/>
            </w:tcBorders>
            <w:shd w:val="clear" w:color="auto" w:fill="auto"/>
            <w:noWrap/>
            <w:vAlign w:val="bottom"/>
            <w:hideMark/>
          </w:tcPr>
          <w:p w14:paraId="0DCAD9C1" w14:textId="77777777" w:rsidR="002F6B09" w:rsidRPr="002F6B09" w:rsidRDefault="002F6B09" w:rsidP="002F6B09">
            <w:pPr>
              <w:spacing w:after="0" w:line="240" w:lineRule="auto"/>
              <w:ind w:firstLine="0"/>
              <w:contextualSpacing w:val="0"/>
              <w:jc w:val="left"/>
              <w:rPr>
                <w:rFonts w:eastAsia="Times New Roman" w:cs="Times New Roman"/>
                <w:b/>
                <w:bCs/>
                <w:color w:val="000000"/>
                <w:sz w:val="20"/>
                <w:szCs w:val="20"/>
                <w:lang w:val="ru-RU" w:eastAsia="ru-RU"/>
              </w:rPr>
            </w:pPr>
            <w:proofErr w:type="spellStart"/>
            <w:r w:rsidRPr="002F6B09">
              <w:rPr>
                <w:rFonts w:eastAsia="Times New Roman" w:cs="Times New Roman"/>
                <w:b/>
                <w:bCs/>
                <w:color w:val="000000"/>
                <w:sz w:val="20"/>
                <w:szCs w:val="20"/>
                <w:lang w:val="ru-RU" w:eastAsia="ru-RU"/>
              </w:rPr>
              <w:t>Coefficients</w:t>
            </w:r>
            <w:proofErr w:type="spellEnd"/>
          </w:p>
        </w:tc>
      </w:tr>
      <w:tr w:rsidR="007122C4" w:rsidRPr="002F6B09" w14:paraId="232CF66F" w14:textId="77777777" w:rsidTr="007122C4">
        <w:trPr>
          <w:trHeight w:val="300"/>
          <w:jc w:val="center"/>
        </w:trPr>
        <w:tc>
          <w:tcPr>
            <w:tcW w:w="3440" w:type="dxa"/>
            <w:tcBorders>
              <w:top w:val="nil"/>
              <w:left w:val="single" w:sz="4" w:space="0" w:color="auto"/>
              <w:bottom w:val="nil"/>
              <w:right w:val="nil"/>
            </w:tcBorders>
            <w:shd w:val="clear" w:color="auto" w:fill="auto"/>
            <w:noWrap/>
            <w:vAlign w:val="center"/>
            <w:hideMark/>
          </w:tcPr>
          <w:p w14:paraId="260D62BE" w14:textId="77777777" w:rsidR="007122C4" w:rsidRPr="002F6B09" w:rsidRDefault="007122C4" w:rsidP="007122C4">
            <w:pPr>
              <w:spacing w:after="0" w:line="240" w:lineRule="auto"/>
              <w:ind w:firstLine="0"/>
              <w:contextualSpacing w:val="0"/>
              <w:jc w:val="left"/>
              <w:rPr>
                <w:rFonts w:eastAsia="Times New Roman" w:cs="Times New Roman"/>
                <w:color w:val="000000"/>
                <w:sz w:val="20"/>
                <w:szCs w:val="20"/>
                <w:lang w:eastAsia="ru-RU"/>
              </w:rPr>
            </w:pPr>
            <w:r w:rsidRPr="002F6B09">
              <w:rPr>
                <w:rFonts w:eastAsia="Times New Roman" w:cs="Times New Roman"/>
                <w:color w:val="000000"/>
                <w:sz w:val="20"/>
                <w:szCs w:val="20"/>
                <w:lang w:eastAsia="ru-RU"/>
              </w:rPr>
              <w:t>AR (Days in Accounts receivables)</w:t>
            </w:r>
          </w:p>
        </w:tc>
        <w:tc>
          <w:tcPr>
            <w:tcW w:w="1091" w:type="dxa"/>
            <w:tcBorders>
              <w:top w:val="nil"/>
              <w:left w:val="single" w:sz="4" w:space="0" w:color="auto"/>
              <w:bottom w:val="nil"/>
              <w:right w:val="nil"/>
            </w:tcBorders>
            <w:shd w:val="clear" w:color="auto" w:fill="auto"/>
            <w:noWrap/>
            <w:vAlign w:val="bottom"/>
            <w:hideMark/>
          </w:tcPr>
          <w:p w14:paraId="6A91DBB4" w14:textId="77777777" w:rsidR="007122C4" w:rsidRPr="002F6B09"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2F6B09">
              <w:rPr>
                <w:rFonts w:eastAsia="Times New Roman" w:cs="Times New Roman"/>
                <w:color w:val="000000"/>
                <w:sz w:val="20"/>
                <w:szCs w:val="20"/>
                <w:lang w:val="ru-RU" w:eastAsia="ru-RU"/>
              </w:rPr>
              <w:t>0,02</w:t>
            </w:r>
          </w:p>
        </w:tc>
        <w:tc>
          <w:tcPr>
            <w:tcW w:w="1330" w:type="dxa"/>
            <w:tcBorders>
              <w:top w:val="nil"/>
              <w:left w:val="nil"/>
              <w:bottom w:val="nil"/>
              <w:right w:val="single" w:sz="4" w:space="0" w:color="auto"/>
            </w:tcBorders>
            <w:shd w:val="clear" w:color="auto" w:fill="auto"/>
            <w:noWrap/>
            <w:vAlign w:val="bottom"/>
            <w:hideMark/>
          </w:tcPr>
          <w:p w14:paraId="78A66992" w14:textId="598A5672" w:rsidR="007122C4" w:rsidRPr="002F6B09"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-0,25</w:t>
            </w:r>
          </w:p>
        </w:tc>
      </w:tr>
      <w:tr w:rsidR="007122C4" w:rsidRPr="002F6B09" w14:paraId="35C7D675" w14:textId="77777777" w:rsidTr="007122C4">
        <w:trPr>
          <w:trHeight w:val="300"/>
          <w:jc w:val="center"/>
        </w:trPr>
        <w:tc>
          <w:tcPr>
            <w:tcW w:w="3440" w:type="dxa"/>
            <w:tcBorders>
              <w:top w:val="nil"/>
              <w:left w:val="single" w:sz="4" w:space="0" w:color="auto"/>
              <w:bottom w:val="nil"/>
              <w:right w:val="nil"/>
            </w:tcBorders>
            <w:shd w:val="clear" w:color="auto" w:fill="auto"/>
            <w:noWrap/>
            <w:vAlign w:val="center"/>
            <w:hideMark/>
          </w:tcPr>
          <w:p w14:paraId="0EF6C57D" w14:textId="77777777" w:rsidR="007122C4" w:rsidRPr="002F6B09" w:rsidRDefault="007122C4" w:rsidP="007122C4">
            <w:pPr>
              <w:spacing w:after="0" w:line="240" w:lineRule="auto"/>
              <w:ind w:firstLine="0"/>
              <w:contextualSpacing w:val="0"/>
              <w:jc w:val="left"/>
              <w:rPr>
                <w:rFonts w:eastAsia="Times New Roman" w:cs="Times New Roman"/>
                <w:color w:val="000000"/>
                <w:sz w:val="20"/>
                <w:szCs w:val="20"/>
                <w:lang w:val="ru-RU" w:eastAsia="ru-RU"/>
              </w:rPr>
            </w:pPr>
            <w:r w:rsidRPr="002F6B09">
              <w:rPr>
                <w:rFonts w:eastAsia="Times New Roman" w:cs="Times New Roman"/>
                <w:color w:val="000000"/>
                <w:sz w:val="20"/>
                <w:szCs w:val="20"/>
                <w:lang w:val="ru-RU" w:eastAsia="ru-RU"/>
              </w:rPr>
              <w:t>AR2 (</w:t>
            </w:r>
            <w:proofErr w:type="spellStart"/>
            <w:r w:rsidRPr="002F6B09">
              <w:rPr>
                <w:rFonts w:eastAsia="Times New Roman" w:cs="Times New Roman"/>
                <w:color w:val="000000"/>
                <w:sz w:val="20"/>
                <w:szCs w:val="20"/>
                <w:lang w:val="ru-RU" w:eastAsia="ru-RU"/>
              </w:rPr>
              <w:t>Quadratic</w:t>
            </w:r>
            <w:proofErr w:type="spellEnd"/>
            <w:r w:rsidRPr="002F6B09">
              <w:rPr>
                <w:rFonts w:eastAsia="Times New Roman" w:cs="Times New Roman"/>
                <w:color w:val="000000"/>
                <w:sz w:val="20"/>
                <w:szCs w:val="20"/>
                <w:lang w:val="ru-RU" w:eastAsia="ru-RU"/>
              </w:rPr>
              <w:t xml:space="preserve"> </w:t>
            </w:r>
            <w:proofErr w:type="spellStart"/>
            <w:r w:rsidRPr="002F6B09">
              <w:rPr>
                <w:rFonts w:eastAsia="Times New Roman" w:cs="Times New Roman"/>
                <w:color w:val="000000"/>
                <w:sz w:val="20"/>
                <w:szCs w:val="20"/>
                <w:lang w:val="ru-RU" w:eastAsia="ru-RU"/>
              </w:rPr>
              <w:t>term</w:t>
            </w:r>
            <w:proofErr w:type="spellEnd"/>
            <w:r w:rsidRPr="002F6B09">
              <w:rPr>
                <w:rFonts w:eastAsia="Times New Roman" w:cs="Times New Roman"/>
                <w:color w:val="000000"/>
                <w:sz w:val="20"/>
                <w:szCs w:val="20"/>
                <w:lang w:val="ru-RU" w:eastAsia="ru-RU"/>
              </w:rPr>
              <w:t>)</w:t>
            </w:r>
          </w:p>
        </w:tc>
        <w:tc>
          <w:tcPr>
            <w:tcW w:w="1091" w:type="dxa"/>
            <w:tcBorders>
              <w:top w:val="nil"/>
              <w:left w:val="single" w:sz="4" w:space="0" w:color="auto"/>
              <w:bottom w:val="nil"/>
              <w:right w:val="nil"/>
            </w:tcBorders>
            <w:shd w:val="clear" w:color="auto" w:fill="auto"/>
            <w:noWrap/>
            <w:vAlign w:val="bottom"/>
            <w:hideMark/>
          </w:tcPr>
          <w:p w14:paraId="2C02F2A0" w14:textId="77777777" w:rsidR="007122C4" w:rsidRPr="002F6B09"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2F6B09">
              <w:rPr>
                <w:rFonts w:eastAsia="Times New Roman" w:cs="Times New Roman"/>
                <w:color w:val="000000"/>
                <w:sz w:val="20"/>
                <w:szCs w:val="20"/>
                <w:lang w:val="ru-RU" w:eastAsia="ru-RU"/>
              </w:rPr>
              <w:t>0,10</w:t>
            </w:r>
          </w:p>
        </w:tc>
        <w:tc>
          <w:tcPr>
            <w:tcW w:w="1330" w:type="dxa"/>
            <w:tcBorders>
              <w:top w:val="nil"/>
              <w:left w:val="nil"/>
              <w:bottom w:val="nil"/>
              <w:right w:val="single" w:sz="4" w:space="0" w:color="auto"/>
            </w:tcBorders>
            <w:shd w:val="clear" w:color="auto" w:fill="auto"/>
            <w:noWrap/>
            <w:vAlign w:val="bottom"/>
            <w:hideMark/>
          </w:tcPr>
          <w:p w14:paraId="0822B008" w14:textId="027FF1BE" w:rsidR="007122C4" w:rsidRPr="002F6B09"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-0,01</w:t>
            </w:r>
          </w:p>
        </w:tc>
      </w:tr>
      <w:tr w:rsidR="007122C4" w:rsidRPr="002F6B09" w14:paraId="239C9A14" w14:textId="77777777" w:rsidTr="007122C4">
        <w:trPr>
          <w:trHeight w:val="255"/>
          <w:jc w:val="center"/>
        </w:trPr>
        <w:tc>
          <w:tcPr>
            <w:tcW w:w="3440" w:type="dxa"/>
            <w:tcBorders>
              <w:top w:val="nil"/>
              <w:left w:val="single" w:sz="4" w:space="0" w:color="auto"/>
              <w:bottom w:val="nil"/>
              <w:right w:val="nil"/>
            </w:tcBorders>
            <w:shd w:val="clear" w:color="auto" w:fill="auto"/>
            <w:noWrap/>
            <w:vAlign w:val="center"/>
            <w:hideMark/>
          </w:tcPr>
          <w:p w14:paraId="4E7B1F25" w14:textId="77777777" w:rsidR="007122C4" w:rsidRPr="002F6B09" w:rsidRDefault="007122C4" w:rsidP="007122C4">
            <w:pPr>
              <w:spacing w:after="0" w:line="240" w:lineRule="auto"/>
              <w:ind w:firstLine="0"/>
              <w:contextualSpacing w:val="0"/>
              <w:jc w:val="left"/>
              <w:rPr>
                <w:rFonts w:eastAsia="Times New Roman" w:cs="Times New Roman"/>
                <w:color w:val="000000"/>
                <w:sz w:val="20"/>
                <w:szCs w:val="20"/>
                <w:lang w:val="ru-RU" w:eastAsia="ru-RU"/>
              </w:rPr>
            </w:pPr>
            <w:proofErr w:type="spellStart"/>
            <w:r w:rsidRPr="002F6B09">
              <w:rPr>
                <w:rFonts w:eastAsia="Times New Roman" w:cs="Times New Roman"/>
                <w:color w:val="000000"/>
                <w:sz w:val="20"/>
                <w:szCs w:val="20"/>
                <w:lang w:val="ru-RU" w:eastAsia="ru-RU"/>
              </w:rPr>
              <w:t>Inv</w:t>
            </w:r>
            <w:proofErr w:type="spellEnd"/>
            <w:r w:rsidRPr="002F6B09">
              <w:rPr>
                <w:rFonts w:eastAsia="Times New Roman" w:cs="Times New Roman"/>
                <w:color w:val="000000"/>
                <w:sz w:val="20"/>
                <w:szCs w:val="20"/>
                <w:lang w:val="ru-RU" w:eastAsia="ru-RU"/>
              </w:rPr>
              <w:t xml:space="preserve"> (</w:t>
            </w:r>
            <w:proofErr w:type="spellStart"/>
            <w:r w:rsidRPr="002F6B09">
              <w:rPr>
                <w:rFonts w:eastAsia="Times New Roman" w:cs="Times New Roman"/>
                <w:color w:val="000000"/>
                <w:sz w:val="20"/>
                <w:szCs w:val="20"/>
                <w:lang w:val="ru-RU" w:eastAsia="ru-RU"/>
              </w:rPr>
              <w:t>Days</w:t>
            </w:r>
            <w:proofErr w:type="spellEnd"/>
            <w:r w:rsidRPr="002F6B09">
              <w:rPr>
                <w:rFonts w:eastAsia="Times New Roman" w:cs="Times New Roman"/>
                <w:color w:val="000000"/>
                <w:sz w:val="20"/>
                <w:szCs w:val="20"/>
                <w:lang w:val="ru-RU" w:eastAsia="ru-RU"/>
              </w:rPr>
              <w:t xml:space="preserve"> </w:t>
            </w:r>
            <w:proofErr w:type="spellStart"/>
            <w:r w:rsidRPr="002F6B09">
              <w:rPr>
                <w:rFonts w:eastAsia="Times New Roman" w:cs="Times New Roman"/>
                <w:color w:val="000000"/>
                <w:sz w:val="20"/>
                <w:szCs w:val="20"/>
                <w:lang w:val="ru-RU" w:eastAsia="ru-RU"/>
              </w:rPr>
              <w:t>in</w:t>
            </w:r>
            <w:proofErr w:type="spellEnd"/>
            <w:r w:rsidRPr="002F6B09">
              <w:rPr>
                <w:rFonts w:eastAsia="Times New Roman" w:cs="Times New Roman"/>
                <w:color w:val="000000"/>
                <w:sz w:val="20"/>
                <w:szCs w:val="20"/>
                <w:lang w:val="ru-RU" w:eastAsia="ru-RU"/>
              </w:rPr>
              <w:t xml:space="preserve"> </w:t>
            </w:r>
            <w:proofErr w:type="spellStart"/>
            <w:r w:rsidRPr="002F6B09">
              <w:rPr>
                <w:rFonts w:eastAsia="Times New Roman" w:cs="Times New Roman"/>
                <w:color w:val="000000"/>
                <w:sz w:val="20"/>
                <w:szCs w:val="20"/>
                <w:lang w:val="ru-RU" w:eastAsia="ru-RU"/>
              </w:rPr>
              <w:t>inventories</w:t>
            </w:r>
            <w:proofErr w:type="spellEnd"/>
            <w:r w:rsidRPr="002F6B09">
              <w:rPr>
                <w:rFonts w:eastAsia="Times New Roman" w:cs="Times New Roman"/>
                <w:color w:val="000000"/>
                <w:sz w:val="20"/>
                <w:szCs w:val="20"/>
                <w:lang w:val="ru-RU" w:eastAsia="ru-RU"/>
              </w:rPr>
              <w:t>)</w:t>
            </w:r>
          </w:p>
        </w:tc>
        <w:tc>
          <w:tcPr>
            <w:tcW w:w="1091" w:type="dxa"/>
            <w:tcBorders>
              <w:top w:val="nil"/>
              <w:left w:val="single" w:sz="4" w:space="0" w:color="auto"/>
              <w:bottom w:val="nil"/>
              <w:right w:val="nil"/>
            </w:tcBorders>
            <w:shd w:val="clear" w:color="auto" w:fill="auto"/>
            <w:noWrap/>
            <w:vAlign w:val="bottom"/>
            <w:hideMark/>
          </w:tcPr>
          <w:p w14:paraId="6466A3B5" w14:textId="77777777" w:rsidR="007122C4" w:rsidRPr="002F6B09"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2F6B09">
              <w:rPr>
                <w:rFonts w:eastAsia="Times New Roman" w:cs="Times New Roman"/>
                <w:color w:val="000000"/>
                <w:sz w:val="20"/>
                <w:szCs w:val="20"/>
                <w:lang w:val="ru-RU" w:eastAsia="ru-RU"/>
              </w:rPr>
              <w:t>0,00</w:t>
            </w:r>
          </w:p>
        </w:tc>
        <w:tc>
          <w:tcPr>
            <w:tcW w:w="1330" w:type="dxa"/>
            <w:tcBorders>
              <w:top w:val="nil"/>
              <w:left w:val="nil"/>
              <w:bottom w:val="nil"/>
              <w:right w:val="single" w:sz="4" w:space="0" w:color="auto"/>
            </w:tcBorders>
            <w:shd w:val="clear" w:color="auto" w:fill="auto"/>
            <w:noWrap/>
            <w:vAlign w:val="bottom"/>
            <w:hideMark/>
          </w:tcPr>
          <w:p w14:paraId="50A34BB7" w14:textId="4D469478" w:rsidR="007122C4" w:rsidRPr="002F6B09"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-2,04</w:t>
            </w:r>
          </w:p>
        </w:tc>
      </w:tr>
      <w:tr w:rsidR="007122C4" w:rsidRPr="002F6B09" w14:paraId="5C0A2DDB" w14:textId="77777777" w:rsidTr="007122C4">
        <w:trPr>
          <w:trHeight w:val="255"/>
          <w:jc w:val="center"/>
        </w:trPr>
        <w:tc>
          <w:tcPr>
            <w:tcW w:w="3440" w:type="dxa"/>
            <w:tcBorders>
              <w:top w:val="nil"/>
              <w:left w:val="single" w:sz="4" w:space="0" w:color="auto"/>
              <w:bottom w:val="nil"/>
              <w:right w:val="nil"/>
            </w:tcBorders>
            <w:shd w:val="clear" w:color="auto" w:fill="auto"/>
            <w:noWrap/>
            <w:vAlign w:val="center"/>
            <w:hideMark/>
          </w:tcPr>
          <w:p w14:paraId="49CFA8A3" w14:textId="77777777" w:rsidR="007122C4" w:rsidRPr="002F6B09" w:rsidRDefault="007122C4" w:rsidP="007122C4">
            <w:pPr>
              <w:spacing w:after="0" w:line="240" w:lineRule="auto"/>
              <w:ind w:firstLine="0"/>
              <w:contextualSpacing w:val="0"/>
              <w:jc w:val="left"/>
              <w:rPr>
                <w:rFonts w:eastAsia="Times New Roman" w:cs="Times New Roman"/>
                <w:color w:val="000000"/>
                <w:sz w:val="20"/>
                <w:szCs w:val="20"/>
                <w:lang w:val="ru-RU" w:eastAsia="ru-RU"/>
              </w:rPr>
            </w:pPr>
            <w:r w:rsidRPr="002F6B09">
              <w:rPr>
                <w:rFonts w:eastAsia="Times New Roman" w:cs="Times New Roman"/>
                <w:color w:val="000000"/>
                <w:sz w:val="20"/>
                <w:szCs w:val="20"/>
                <w:lang w:val="ru-RU" w:eastAsia="ru-RU"/>
              </w:rPr>
              <w:t>Inv2 (</w:t>
            </w:r>
            <w:proofErr w:type="spellStart"/>
            <w:r w:rsidRPr="002F6B09">
              <w:rPr>
                <w:rFonts w:eastAsia="Times New Roman" w:cs="Times New Roman"/>
                <w:color w:val="000000"/>
                <w:sz w:val="20"/>
                <w:szCs w:val="20"/>
                <w:lang w:val="ru-RU" w:eastAsia="ru-RU"/>
              </w:rPr>
              <w:t>Quadratic</w:t>
            </w:r>
            <w:proofErr w:type="spellEnd"/>
            <w:r w:rsidRPr="002F6B09">
              <w:rPr>
                <w:rFonts w:eastAsia="Times New Roman" w:cs="Times New Roman"/>
                <w:color w:val="000000"/>
                <w:sz w:val="20"/>
                <w:szCs w:val="20"/>
                <w:lang w:val="ru-RU" w:eastAsia="ru-RU"/>
              </w:rPr>
              <w:t xml:space="preserve"> </w:t>
            </w:r>
            <w:proofErr w:type="spellStart"/>
            <w:r w:rsidRPr="002F6B09">
              <w:rPr>
                <w:rFonts w:eastAsia="Times New Roman" w:cs="Times New Roman"/>
                <w:color w:val="000000"/>
                <w:sz w:val="20"/>
                <w:szCs w:val="20"/>
                <w:lang w:val="ru-RU" w:eastAsia="ru-RU"/>
              </w:rPr>
              <w:t>term</w:t>
            </w:r>
            <w:proofErr w:type="spellEnd"/>
            <w:r w:rsidRPr="002F6B09">
              <w:rPr>
                <w:rFonts w:eastAsia="Times New Roman" w:cs="Times New Roman"/>
                <w:color w:val="000000"/>
                <w:sz w:val="20"/>
                <w:szCs w:val="20"/>
                <w:lang w:val="ru-RU" w:eastAsia="ru-RU"/>
              </w:rPr>
              <w:t>)</w:t>
            </w:r>
          </w:p>
        </w:tc>
        <w:tc>
          <w:tcPr>
            <w:tcW w:w="1091" w:type="dxa"/>
            <w:tcBorders>
              <w:top w:val="nil"/>
              <w:left w:val="single" w:sz="4" w:space="0" w:color="auto"/>
              <w:bottom w:val="nil"/>
              <w:right w:val="nil"/>
            </w:tcBorders>
            <w:shd w:val="clear" w:color="auto" w:fill="auto"/>
            <w:noWrap/>
            <w:vAlign w:val="bottom"/>
            <w:hideMark/>
          </w:tcPr>
          <w:p w14:paraId="3E8557F9" w14:textId="77777777" w:rsidR="007122C4" w:rsidRPr="002F6B09"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2F6B09">
              <w:rPr>
                <w:rFonts w:eastAsia="Times New Roman" w:cs="Times New Roman"/>
                <w:color w:val="000000"/>
                <w:sz w:val="20"/>
                <w:szCs w:val="20"/>
                <w:lang w:val="ru-RU" w:eastAsia="ru-RU"/>
              </w:rPr>
              <w:t>0,24</w:t>
            </w:r>
          </w:p>
        </w:tc>
        <w:tc>
          <w:tcPr>
            <w:tcW w:w="1330" w:type="dxa"/>
            <w:tcBorders>
              <w:top w:val="nil"/>
              <w:left w:val="nil"/>
              <w:bottom w:val="nil"/>
              <w:right w:val="single" w:sz="4" w:space="0" w:color="auto"/>
            </w:tcBorders>
            <w:shd w:val="clear" w:color="auto" w:fill="auto"/>
            <w:noWrap/>
            <w:vAlign w:val="bottom"/>
            <w:hideMark/>
          </w:tcPr>
          <w:p w14:paraId="1C8CAE5F" w14:textId="3FF848DC" w:rsidR="007122C4" w:rsidRPr="002F6B09"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0,02</w:t>
            </w:r>
          </w:p>
        </w:tc>
      </w:tr>
      <w:tr w:rsidR="007122C4" w:rsidRPr="002F6B09" w14:paraId="07FE72FF" w14:textId="77777777" w:rsidTr="007122C4">
        <w:trPr>
          <w:trHeight w:val="255"/>
          <w:jc w:val="center"/>
        </w:trPr>
        <w:tc>
          <w:tcPr>
            <w:tcW w:w="3440" w:type="dxa"/>
            <w:tcBorders>
              <w:top w:val="nil"/>
              <w:left w:val="single" w:sz="4" w:space="0" w:color="auto"/>
              <w:bottom w:val="nil"/>
              <w:right w:val="nil"/>
            </w:tcBorders>
            <w:shd w:val="clear" w:color="auto" w:fill="auto"/>
            <w:noWrap/>
            <w:vAlign w:val="center"/>
            <w:hideMark/>
          </w:tcPr>
          <w:p w14:paraId="0D8DFF02" w14:textId="77777777" w:rsidR="007122C4" w:rsidRPr="002F6B09" w:rsidRDefault="007122C4" w:rsidP="007122C4">
            <w:pPr>
              <w:spacing w:after="0" w:line="240" w:lineRule="auto"/>
              <w:ind w:firstLine="0"/>
              <w:contextualSpacing w:val="0"/>
              <w:jc w:val="left"/>
              <w:rPr>
                <w:rFonts w:eastAsia="Times New Roman" w:cs="Times New Roman"/>
                <w:color w:val="000000"/>
                <w:sz w:val="20"/>
                <w:szCs w:val="20"/>
                <w:lang w:val="ru-RU" w:eastAsia="ru-RU"/>
              </w:rPr>
            </w:pPr>
            <w:r w:rsidRPr="002F6B09">
              <w:rPr>
                <w:rFonts w:eastAsia="Times New Roman" w:cs="Times New Roman"/>
                <w:color w:val="000000"/>
                <w:sz w:val="20"/>
                <w:szCs w:val="20"/>
                <w:lang w:val="ru-RU" w:eastAsia="ru-RU"/>
              </w:rPr>
              <w:t>AP (</w:t>
            </w:r>
            <w:proofErr w:type="spellStart"/>
            <w:r w:rsidRPr="002F6B09">
              <w:rPr>
                <w:rFonts w:eastAsia="Times New Roman" w:cs="Times New Roman"/>
                <w:color w:val="000000"/>
                <w:sz w:val="20"/>
                <w:szCs w:val="20"/>
                <w:lang w:val="ru-RU" w:eastAsia="ru-RU"/>
              </w:rPr>
              <w:t>Accounts</w:t>
            </w:r>
            <w:proofErr w:type="spellEnd"/>
            <w:r w:rsidRPr="002F6B09">
              <w:rPr>
                <w:rFonts w:eastAsia="Times New Roman" w:cs="Times New Roman"/>
                <w:color w:val="000000"/>
                <w:sz w:val="20"/>
                <w:szCs w:val="20"/>
                <w:lang w:val="ru-RU" w:eastAsia="ru-RU"/>
              </w:rPr>
              <w:t xml:space="preserve"> </w:t>
            </w:r>
            <w:proofErr w:type="spellStart"/>
            <w:r w:rsidRPr="002F6B09">
              <w:rPr>
                <w:rFonts w:eastAsia="Times New Roman" w:cs="Times New Roman"/>
                <w:color w:val="000000"/>
                <w:sz w:val="20"/>
                <w:szCs w:val="20"/>
                <w:lang w:val="ru-RU" w:eastAsia="ru-RU"/>
              </w:rPr>
              <w:t>payable</w:t>
            </w:r>
            <w:proofErr w:type="spellEnd"/>
            <w:r w:rsidRPr="002F6B09">
              <w:rPr>
                <w:rFonts w:eastAsia="Times New Roman" w:cs="Times New Roman"/>
                <w:color w:val="000000"/>
                <w:sz w:val="20"/>
                <w:szCs w:val="20"/>
                <w:lang w:val="ru-RU" w:eastAsia="ru-RU"/>
              </w:rPr>
              <w:t>)</w:t>
            </w:r>
          </w:p>
        </w:tc>
        <w:tc>
          <w:tcPr>
            <w:tcW w:w="1091" w:type="dxa"/>
            <w:tcBorders>
              <w:top w:val="nil"/>
              <w:left w:val="single" w:sz="4" w:space="0" w:color="auto"/>
              <w:bottom w:val="nil"/>
              <w:right w:val="nil"/>
            </w:tcBorders>
            <w:shd w:val="clear" w:color="auto" w:fill="auto"/>
            <w:noWrap/>
            <w:vAlign w:val="bottom"/>
            <w:hideMark/>
          </w:tcPr>
          <w:p w14:paraId="1B7C980A" w14:textId="77777777" w:rsidR="007122C4" w:rsidRPr="002F6B09"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2F6B09">
              <w:rPr>
                <w:rFonts w:eastAsia="Times New Roman" w:cs="Times New Roman"/>
                <w:color w:val="000000"/>
                <w:sz w:val="20"/>
                <w:szCs w:val="20"/>
                <w:lang w:val="ru-RU" w:eastAsia="ru-RU"/>
              </w:rPr>
              <w:t>0,00</w:t>
            </w:r>
          </w:p>
        </w:tc>
        <w:tc>
          <w:tcPr>
            <w:tcW w:w="1330" w:type="dxa"/>
            <w:tcBorders>
              <w:top w:val="nil"/>
              <w:left w:val="nil"/>
              <w:bottom w:val="nil"/>
              <w:right w:val="single" w:sz="4" w:space="0" w:color="auto"/>
            </w:tcBorders>
            <w:shd w:val="clear" w:color="auto" w:fill="auto"/>
            <w:noWrap/>
            <w:vAlign w:val="bottom"/>
            <w:hideMark/>
          </w:tcPr>
          <w:p w14:paraId="15E186D6" w14:textId="04585D43" w:rsidR="007122C4" w:rsidRPr="002F6B09"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-0,26</w:t>
            </w:r>
          </w:p>
        </w:tc>
      </w:tr>
      <w:tr w:rsidR="007122C4" w:rsidRPr="002F6B09" w14:paraId="3689614F" w14:textId="77777777" w:rsidTr="007122C4">
        <w:trPr>
          <w:trHeight w:val="255"/>
          <w:jc w:val="center"/>
        </w:trPr>
        <w:tc>
          <w:tcPr>
            <w:tcW w:w="3440" w:type="dxa"/>
            <w:tcBorders>
              <w:top w:val="nil"/>
              <w:left w:val="single" w:sz="4" w:space="0" w:color="auto"/>
              <w:bottom w:val="nil"/>
              <w:right w:val="nil"/>
            </w:tcBorders>
            <w:shd w:val="clear" w:color="auto" w:fill="auto"/>
            <w:noWrap/>
            <w:vAlign w:val="center"/>
            <w:hideMark/>
          </w:tcPr>
          <w:p w14:paraId="478E5D67" w14:textId="77777777" w:rsidR="007122C4" w:rsidRPr="002F6B09" w:rsidRDefault="007122C4" w:rsidP="007122C4">
            <w:pPr>
              <w:spacing w:after="0" w:line="240" w:lineRule="auto"/>
              <w:ind w:firstLine="0"/>
              <w:contextualSpacing w:val="0"/>
              <w:jc w:val="left"/>
              <w:rPr>
                <w:rFonts w:eastAsia="Times New Roman" w:cs="Times New Roman"/>
                <w:color w:val="000000"/>
                <w:sz w:val="20"/>
                <w:szCs w:val="20"/>
                <w:lang w:val="ru-RU" w:eastAsia="ru-RU"/>
              </w:rPr>
            </w:pPr>
            <w:r w:rsidRPr="002F6B09">
              <w:rPr>
                <w:rFonts w:eastAsia="Times New Roman" w:cs="Times New Roman"/>
                <w:color w:val="000000"/>
                <w:sz w:val="20"/>
                <w:szCs w:val="20"/>
                <w:lang w:val="ru-RU" w:eastAsia="ru-RU"/>
              </w:rPr>
              <w:t>AP2 (</w:t>
            </w:r>
            <w:proofErr w:type="spellStart"/>
            <w:r w:rsidRPr="002F6B09">
              <w:rPr>
                <w:rFonts w:eastAsia="Times New Roman" w:cs="Times New Roman"/>
                <w:color w:val="000000"/>
                <w:sz w:val="20"/>
                <w:szCs w:val="20"/>
                <w:lang w:val="ru-RU" w:eastAsia="ru-RU"/>
              </w:rPr>
              <w:t>Quadratic</w:t>
            </w:r>
            <w:proofErr w:type="spellEnd"/>
            <w:r w:rsidRPr="002F6B09">
              <w:rPr>
                <w:rFonts w:eastAsia="Times New Roman" w:cs="Times New Roman"/>
                <w:color w:val="000000"/>
                <w:sz w:val="20"/>
                <w:szCs w:val="20"/>
                <w:lang w:val="ru-RU" w:eastAsia="ru-RU"/>
              </w:rPr>
              <w:t xml:space="preserve"> </w:t>
            </w:r>
            <w:proofErr w:type="spellStart"/>
            <w:r w:rsidRPr="002F6B09">
              <w:rPr>
                <w:rFonts w:eastAsia="Times New Roman" w:cs="Times New Roman"/>
                <w:color w:val="000000"/>
                <w:sz w:val="20"/>
                <w:szCs w:val="20"/>
                <w:lang w:val="ru-RU" w:eastAsia="ru-RU"/>
              </w:rPr>
              <w:t>term</w:t>
            </w:r>
            <w:proofErr w:type="spellEnd"/>
            <w:r w:rsidRPr="002F6B09">
              <w:rPr>
                <w:rFonts w:eastAsia="Times New Roman" w:cs="Times New Roman"/>
                <w:color w:val="000000"/>
                <w:sz w:val="20"/>
                <w:szCs w:val="20"/>
                <w:lang w:val="ru-RU" w:eastAsia="ru-RU"/>
              </w:rPr>
              <w:t>)</w:t>
            </w:r>
          </w:p>
        </w:tc>
        <w:tc>
          <w:tcPr>
            <w:tcW w:w="1091" w:type="dxa"/>
            <w:tcBorders>
              <w:top w:val="nil"/>
              <w:left w:val="single" w:sz="4" w:space="0" w:color="auto"/>
              <w:bottom w:val="nil"/>
              <w:right w:val="nil"/>
            </w:tcBorders>
            <w:shd w:val="clear" w:color="auto" w:fill="auto"/>
            <w:noWrap/>
            <w:vAlign w:val="bottom"/>
            <w:hideMark/>
          </w:tcPr>
          <w:p w14:paraId="3BA21E2C" w14:textId="77777777" w:rsidR="007122C4" w:rsidRPr="002F6B09"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2F6B09">
              <w:rPr>
                <w:rFonts w:eastAsia="Times New Roman" w:cs="Times New Roman"/>
                <w:color w:val="000000"/>
                <w:sz w:val="20"/>
                <w:szCs w:val="20"/>
                <w:lang w:val="ru-RU" w:eastAsia="ru-RU"/>
              </w:rPr>
              <w:t>0,53</w:t>
            </w:r>
          </w:p>
        </w:tc>
        <w:tc>
          <w:tcPr>
            <w:tcW w:w="1330" w:type="dxa"/>
            <w:tcBorders>
              <w:top w:val="nil"/>
              <w:left w:val="nil"/>
              <w:bottom w:val="nil"/>
              <w:right w:val="single" w:sz="4" w:space="0" w:color="auto"/>
            </w:tcBorders>
            <w:shd w:val="clear" w:color="auto" w:fill="auto"/>
            <w:noWrap/>
            <w:vAlign w:val="bottom"/>
            <w:hideMark/>
          </w:tcPr>
          <w:p w14:paraId="556C4B16" w14:textId="59C665C5" w:rsidR="007122C4" w:rsidRPr="002F6B09"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0,00</w:t>
            </w:r>
          </w:p>
        </w:tc>
      </w:tr>
      <w:tr w:rsidR="007122C4" w:rsidRPr="002F6B09" w14:paraId="33A9C940" w14:textId="77777777" w:rsidTr="007122C4">
        <w:trPr>
          <w:trHeight w:val="255"/>
          <w:jc w:val="center"/>
        </w:trPr>
        <w:tc>
          <w:tcPr>
            <w:tcW w:w="3440" w:type="dxa"/>
            <w:tcBorders>
              <w:top w:val="nil"/>
              <w:left w:val="single" w:sz="4" w:space="0" w:color="auto"/>
              <w:bottom w:val="nil"/>
              <w:right w:val="nil"/>
            </w:tcBorders>
            <w:shd w:val="clear" w:color="auto" w:fill="auto"/>
            <w:noWrap/>
            <w:vAlign w:val="center"/>
            <w:hideMark/>
          </w:tcPr>
          <w:p w14:paraId="4F66F721" w14:textId="77777777" w:rsidR="007122C4" w:rsidRPr="002F6B09" w:rsidRDefault="007122C4" w:rsidP="007122C4">
            <w:pPr>
              <w:spacing w:after="0" w:line="240" w:lineRule="auto"/>
              <w:ind w:firstLine="0"/>
              <w:contextualSpacing w:val="0"/>
              <w:jc w:val="left"/>
              <w:rPr>
                <w:rFonts w:eastAsia="Times New Roman" w:cs="Times New Roman"/>
                <w:color w:val="000000"/>
                <w:sz w:val="20"/>
                <w:szCs w:val="20"/>
                <w:lang w:val="ru-RU" w:eastAsia="ru-RU"/>
              </w:rPr>
            </w:pPr>
            <w:r w:rsidRPr="002F6B09">
              <w:rPr>
                <w:rFonts w:eastAsia="Times New Roman" w:cs="Times New Roman"/>
                <w:color w:val="000000"/>
                <w:sz w:val="20"/>
                <w:szCs w:val="20"/>
                <w:lang w:val="ru-RU" w:eastAsia="ru-RU"/>
              </w:rPr>
              <w:t>DS (</w:t>
            </w:r>
            <w:proofErr w:type="spellStart"/>
            <w:r w:rsidRPr="002F6B09">
              <w:rPr>
                <w:rFonts w:eastAsia="Times New Roman" w:cs="Times New Roman"/>
                <w:color w:val="000000"/>
                <w:sz w:val="20"/>
                <w:szCs w:val="20"/>
                <w:lang w:val="ru-RU" w:eastAsia="ru-RU"/>
              </w:rPr>
              <w:t>Deal</w:t>
            </w:r>
            <w:proofErr w:type="spellEnd"/>
            <w:r w:rsidRPr="002F6B09">
              <w:rPr>
                <w:rFonts w:eastAsia="Times New Roman" w:cs="Times New Roman"/>
                <w:color w:val="000000"/>
                <w:sz w:val="20"/>
                <w:szCs w:val="20"/>
                <w:lang w:val="ru-RU" w:eastAsia="ru-RU"/>
              </w:rPr>
              <w:t xml:space="preserve"> </w:t>
            </w:r>
            <w:proofErr w:type="spellStart"/>
            <w:r w:rsidRPr="002F6B09">
              <w:rPr>
                <w:rFonts w:eastAsia="Times New Roman" w:cs="Times New Roman"/>
                <w:color w:val="000000"/>
                <w:sz w:val="20"/>
                <w:szCs w:val="20"/>
                <w:lang w:val="ru-RU" w:eastAsia="ru-RU"/>
              </w:rPr>
              <w:t>size</w:t>
            </w:r>
            <w:proofErr w:type="spellEnd"/>
            <w:r w:rsidRPr="002F6B09">
              <w:rPr>
                <w:rFonts w:eastAsia="Times New Roman" w:cs="Times New Roman"/>
                <w:color w:val="000000"/>
                <w:sz w:val="20"/>
                <w:szCs w:val="20"/>
                <w:lang w:val="ru-RU" w:eastAsia="ru-RU"/>
              </w:rPr>
              <w:t>)</w:t>
            </w:r>
          </w:p>
        </w:tc>
        <w:tc>
          <w:tcPr>
            <w:tcW w:w="1091" w:type="dxa"/>
            <w:tcBorders>
              <w:top w:val="nil"/>
              <w:left w:val="single" w:sz="4" w:space="0" w:color="auto"/>
              <w:bottom w:val="nil"/>
              <w:right w:val="nil"/>
            </w:tcBorders>
            <w:shd w:val="clear" w:color="auto" w:fill="auto"/>
            <w:noWrap/>
            <w:vAlign w:val="bottom"/>
            <w:hideMark/>
          </w:tcPr>
          <w:p w14:paraId="3C238840" w14:textId="77777777" w:rsidR="007122C4" w:rsidRPr="002F6B09"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2F6B09">
              <w:rPr>
                <w:rFonts w:eastAsia="Times New Roman" w:cs="Times New Roman"/>
                <w:color w:val="000000"/>
                <w:sz w:val="20"/>
                <w:szCs w:val="20"/>
                <w:lang w:val="ru-RU" w:eastAsia="ru-RU"/>
              </w:rPr>
              <w:t>0,07</w:t>
            </w:r>
          </w:p>
        </w:tc>
        <w:tc>
          <w:tcPr>
            <w:tcW w:w="1330" w:type="dxa"/>
            <w:tcBorders>
              <w:top w:val="nil"/>
              <w:left w:val="nil"/>
              <w:bottom w:val="nil"/>
              <w:right w:val="single" w:sz="4" w:space="0" w:color="auto"/>
            </w:tcBorders>
            <w:shd w:val="clear" w:color="auto" w:fill="auto"/>
            <w:noWrap/>
            <w:vAlign w:val="bottom"/>
            <w:hideMark/>
          </w:tcPr>
          <w:p w14:paraId="3A2EE23B" w14:textId="183B460E" w:rsidR="007122C4" w:rsidRPr="002F6B09"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-2,40</w:t>
            </w:r>
          </w:p>
        </w:tc>
      </w:tr>
      <w:tr w:rsidR="007122C4" w:rsidRPr="002F6B09" w14:paraId="0785B5E3" w14:textId="77777777" w:rsidTr="007122C4">
        <w:trPr>
          <w:trHeight w:val="300"/>
          <w:jc w:val="center"/>
        </w:trPr>
        <w:tc>
          <w:tcPr>
            <w:tcW w:w="3440" w:type="dxa"/>
            <w:tcBorders>
              <w:top w:val="nil"/>
              <w:left w:val="single" w:sz="4" w:space="0" w:color="auto"/>
              <w:bottom w:val="nil"/>
              <w:right w:val="nil"/>
            </w:tcBorders>
            <w:shd w:val="clear" w:color="auto" w:fill="auto"/>
            <w:noWrap/>
            <w:vAlign w:val="center"/>
            <w:hideMark/>
          </w:tcPr>
          <w:p w14:paraId="139A7199" w14:textId="77777777" w:rsidR="007122C4" w:rsidRPr="002F6B09" w:rsidRDefault="007122C4" w:rsidP="007122C4">
            <w:pPr>
              <w:spacing w:after="0" w:line="240" w:lineRule="auto"/>
              <w:ind w:firstLine="0"/>
              <w:contextualSpacing w:val="0"/>
              <w:jc w:val="left"/>
              <w:rPr>
                <w:rFonts w:eastAsia="Times New Roman" w:cs="Times New Roman"/>
                <w:color w:val="000000"/>
                <w:sz w:val="20"/>
                <w:szCs w:val="20"/>
                <w:lang w:val="ru-RU" w:eastAsia="ru-RU"/>
              </w:rPr>
            </w:pPr>
            <w:r w:rsidRPr="002F6B09">
              <w:rPr>
                <w:rFonts w:eastAsia="Times New Roman" w:cs="Times New Roman"/>
                <w:color w:val="000000"/>
                <w:sz w:val="20"/>
                <w:szCs w:val="20"/>
                <w:lang w:val="ru-RU" w:eastAsia="ru-RU"/>
              </w:rPr>
              <w:t>IS (</w:t>
            </w:r>
            <w:proofErr w:type="spellStart"/>
            <w:r w:rsidRPr="002F6B09">
              <w:rPr>
                <w:rFonts w:eastAsia="Times New Roman" w:cs="Times New Roman"/>
                <w:color w:val="000000"/>
                <w:sz w:val="20"/>
                <w:szCs w:val="20"/>
                <w:lang w:val="ru-RU" w:eastAsia="ru-RU"/>
              </w:rPr>
              <w:t>Industry</w:t>
            </w:r>
            <w:proofErr w:type="spellEnd"/>
            <w:r w:rsidRPr="002F6B09">
              <w:rPr>
                <w:rFonts w:eastAsia="Times New Roman" w:cs="Times New Roman"/>
                <w:color w:val="000000"/>
                <w:sz w:val="20"/>
                <w:szCs w:val="20"/>
                <w:lang w:val="ru-RU" w:eastAsia="ru-RU"/>
              </w:rPr>
              <w:t xml:space="preserve"> </w:t>
            </w:r>
            <w:proofErr w:type="spellStart"/>
            <w:r w:rsidRPr="002F6B09">
              <w:rPr>
                <w:rFonts w:eastAsia="Times New Roman" w:cs="Times New Roman"/>
                <w:color w:val="000000"/>
                <w:sz w:val="20"/>
                <w:szCs w:val="20"/>
                <w:lang w:val="ru-RU" w:eastAsia="ru-RU"/>
              </w:rPr>
              <w:t>similarity</w:t>
            </w:r>
            <w:proofErr w:type="spellEnd"/>
            <w:r w:rsidRPr="002F6B09">
              <w:rPr>
                <w:rFonts w:eastAsia="Times New Roman" w:cs="Times New Roman"/>
                <w:color w:val="000000"/>
                <w:sz w:val="20"/>
                <w:szCs w:val="20"/>
                <w:lang w:val="ru-RU" w:eastAsia="ru-RU"/>
              </w:rPr>
              <w:t>)</w:t>
            </w:r>
          </w:p>
        </w:tc>
        <w:tc>
          <w:tcPr>
            <w:tcW w:w="1091" w:type="dxa"/>
            <w:tcBorders>
              <w:top w:val="nil"/>
              <w:left w:val="single" w:sz="4" w:space="0" w:color="auto"/>
              <w:bottom w:val="nil"/>
              <w:right w:val="nil"/>
            </w:tcBorders>
            <w:shd w:val="clear" w:color="auto" w:fill="auto"/>
            <w:noWrap/>
            <w:vAlign w:val="bottom"/>
            <w:hideMark/>
          </w:tcPr>
          <w:p w14:paraId="2704A9CA" w14:textId="77777777" w:rsidR="007122C4" w:rsidRPr="002F6B09"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2F6B09">
              <w:rPr>
                <w:rFonts w:eastAsia="Times New Roman" w:cs="Times New Roman"/>
                <w:color w:val="000000"/>
                <w:sz w:val="20"/>
                <w:szCs w:val="20"/>
                <w:lang w:val="ru-RU" w:eastAsia="ru-RU"/>
              </w:rPr>
              <w:t>0,62</w:t>
            </w:r>
          </w:p>
        </w:tc>
        <w:tc>
          <w:tcPr>
            <w:tcW w:w="1330" w:type="dxa"/>
            <w:tcBorders>
              <w:top w:val="nil"/>
              <w:left w:val="nil"/>
              <w:bottom w:val="nil"/>
              <w:right w:val="single" w:sz="4" w:space="0" w:color="auto"/>
            </w:tcBorders>
            <w:shd w:val="clear" w:color="auto" w:fill="auto"/>
            <w:noWrap/>
            <w:vAlign w:val="bottom"/>
            <w:hideMark/>
          </w:tcPr>
          <w:p w14:paraId="78F26E7D" w14:textId="24BD7B17" w:rsidR="007122C4" w:rsidRPr="002F6B09"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2,35</w:t>
            </w:r>
          </w:p>
        </w:tc>
      </w:tr>
      <w:tr w:rsidR="007122C4" w:rsidRPr="002F6B09" w14:paraId="42E06EE8" w14:textId="77777777" w:rsidTr="007122C4">
        <w:trPr>
          <w:trHeight w:val="300"/>
          <w:jc w:val="center"/>
        </w:trPr>
        <w:tc>
          <w:tcPr>
            <w:tcW w:w="3440" w:type="dxa"/>
            <w:tcBorders>
              <w:top w:val="nil"/>
              <w:left w:val="single" w:sz="4" w:space="0" w:color="auto"/>
              <w:bottom w:val="nil"/>
              <w:right w:val="nil"/>
            </w:tcBorders>
            <w:shd w:val="clear" w:color="auto" w:fill="auto"/>
            <w:noWrap/>
            <w:vAlign w:val="center"/>
            <w:hideMark/>
          </w:tcPr>
          <w:p w14:paraId="2F9F7E56" w14:textId="77777777" w:rsidR="007122C4" w:rsidRPr="002F6B09" w:rsidRDefault="007122C4" w:rsidP="007122C4">
            <w:pPr>
              <w:spacing w:after="0" w:line="240" w:lineRule="auto"/>
              <w:ind w:firstLine="0"/>
              <w:contextualSpacing w:val="0"/>
              <w:jc w:val="left"/>
              <w:rPr>
                <w:rFonts w:eastAsia="Times New Roman" w:cs="Times New Roman"/>
                <w:color w:val="000000"/>
                <w:sz w:val="20"/>
                <w:szCs w:val="20"/>
                <w:lang w:eastAsia="ru-RU"/>
              </w:rPr>
            </w:pPr>
            <w:r w:rsidRPr="002F6B09">
              <w:rPr>
                <w:rFonts w:eastAsia="Times New Roman" w:cs="Times New Roman"/>
                <w:color w:val="000000"/>
                <w:sz w:val="20"/>
                <w:szCs w:val="20"/>
                <w:lang w:eastAsia="ru-RU"/>
              </w:rPr>
              <w:t>CLR (Change in leverage ratio)</w:t>
            </w:r>
          </w:p>
        </w:tc>
        <w:tc>
          <w:tcPr>
            <w:tcW w:w="1091" w:type="dxa"/>
            <w:tcBorders>
              <w:top w:val="nil"/>
              <w:left w:val="single" w:sz="4" w:space="0" w:color="auto"/>
              <w:bottom w:val="nil"/>
              <w:right w:val="nil"/>
            </w:tcBorders>
            <w:shd w:val="clear" w:color="auto" w:fill="auto"/>
            <w:noWrap/>
            <w:vAlign w:val="bottom"/>
            <w:hideMark/>
          </w:tcPr>
          <w:p w14:paraId="14BE7DEA" w14:textId="77777777" w:rsidR="007122C4" w:rsidRPr="002F6B09"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2F6B09">
              <w:rPr>
                <w:rFonts w:eastAsia="Times New Roman" w:cs="Times New Roman"/>
                <w:color w:val="000000"/>
                <w:sz w:val="20"/>
                <w:szCs w:val="20"/>
                <w:lang w:val="ru-RU" w:eastAsia="ru-RU"/>
              </w:rPr>
              <w:t>0,06</w:t>
            </w:r>
          </w:p>
        </w:tc>
        <w:tc>
          <w:tcPr>
            <w:tcW w:w="1330" w:type="dxa"/>
            <w:tcBorders>
              <w:top w:val="nil"/>
              <w:left w:val="nil"/>
              <w:bottom w:val="nil"/>
              <w:right w:val="single" w:sz="4" w:space="0" w:color="auto"/>
            </w:tcBorders>
            <w:shd w:val="clear" w:color="auto" w:fill="auto"/>
            <w:noWrap/>
            <w:vAlign w:val="bottom"/>
            <w:hideMark/>
          </w:tcPr>
          <w:p w14:paraId="6AF13739" w14:textId="5A5E5B8C" w:rsidR="007122C4" w:rsidRPr="002F6B09"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0,01</w:t>
            </w:r>
          </w:p>
        </w:tc>
      </w:tr>
      <w:tr w:rsidR="007122C4" w:rsidRPr="002F6B09" w14:paraId="26401AA4" w14:textId="77777777" w:rsidTr="007122C4">
        <w:trPr>
          <w:trHeight w:val="300"/>
          <w:jc w:val="center"/>
        </w:trPr>
        <w:tc>
          <w:tcPr>
            <w:tcW w:w="3440" w:type="dxa"/>
            <w:tcBorders>
              <w:top w:val="nil"/>
              <w:left w:val="single" w:sz="4" w:space="0" w:color="auto"/>
              <w:bottom w:val="nil"/>
              <w:right w:val="nil"/>
            </w:tcBorders>
            <w:shd w:val="clear" w:color="auto" w:fill="auto"/>
            <w:noWrap/>
            <w:vAlign w:val="center"/>
            <w:hideMark/>
          </w:tcPr>
          <w:p w14:paraId="370B9505" w14:textId="77777777" w:rsidR="007122C4" w:rsidRPr="002F6B09" w:rsidRDefault="007122C4" w:rsidP="007122C4">
            <w:pPr>
              <w:spacing w:after="0" w:line="240" w:lineRule="auto"/>
              <w:ind w:firstLine="0"/>
              <w:contextualSpacing w:val="0"/>
              <w:jc w:val="left"/>
              <w:rPr>
                <w:rFonts w:eastAsia="Times New Roman" w:cs="Times New Roman"/>
                <w:color w:val="000000"/>
                <w:sz w:val="20"/>
                <w:szCs w:val="20"/>
                <w:lang w:val="ru-RU" w:eastAsia="ru-RU"/>
              </w:rPr>
            </w:pPr>
            <w:r w:rsidRPr="002F6B09">
              <w:rPr>
                <w:rFonts w:eastAsia="Times New Roman" w:cs="Times New Roman"/>
                <w:color w:val="000000"/>
                <w:sz w:val="20"/>
                <w:szCs w:val="20"/>
                <w:lang w:val="ru-RU" w:eastAsia="ru-RU"/>
              </w:rPr>
              <w:t xml:space="preserve">GDP (GDP </w:t>
            </w:r>
            <w:proofErr w:type="spellStart"/>
            <w:r w:rsidRPr="002F6B09">
              <w:rPr>
                <w:rFonts w:eastAsia="Times New Roman" w:cs="Times New Roman"/>
                <w:color w:val="000000"/>
                <w:sz w:val="20"/>
                <w:szCs w:val="20"/>
                <w:lang w:val="ru-RU" w:eastAsia="ru-RU"/>
              </w:rPr>
              <w:t>growth</w:t>
            </w:r>
            <w:proofErr w:type="spellEnd"/>
            <w:r w:rsidRPr="002F6B09">
              <w:rPr>
                <w:rFonts w:eastAsia="Times New Roman" w:cs="Times New Roman"/>
                <w:color w:val="000000"/>
                <w:sz w:val="20"/>
                <w:szCs w:val="20"/>
                <w:lang w:val="ru-RU" w:eastAsia="ru-RU"/>
              </w:rPr>
              <w:t>)</w:t>
            </w:r>
          </w:p>
        </w:tc>
        <w:tc>
          <w:tcPr>
            <w:tcW w:w="1091" w:type="dxa"/>
            <w:tcBorders>
              <w:top w:val="nil"/>
              <w:left w:val="single" w:sz="4" w:space="0" w:color="auto"/>
              <w:bottom w:val="nil"/>
              <w:right w:val="nil"/>
            </w:tcBorders>
            <w:shd w:val="clear" w:color="auto" w:fill="auto"/>
            <w:noWrap/>
            <w:vAlign w:val="bottom"/>
            <w:hideMark/>
          </w:tcPr>
          <w:p w14:paraId="5260B961" w14:textId="77777777" w:rsidR="007122C4" w:rsidRPr="002F6B09"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2F6B09">
              <w:rPr>
                <w:rFonts w:eastAsia="Times New Roman" w:cs="Times New Roman"/>
                <w:color w:val="000000"/>
                <w:sz w:val="20"/>
                <w:szCs w:val="20"/>
                <w:lang w:val="ru-RU" w:eastAsia="ru-RU"/>
              </w:rPr>
              <w:t>0,06</w:t>
            </w:r>
          </w:p>
        </w:tc>
        <w:tc>
          <w:tcPr>
            <w:tcW w:w="1330" w:type="dxa"/>
            <w:tcBorders>
              <w:top w:val="nil"/>
              <w:left w:val="nil"/>
              <w:bottom w:val="nil"/>
              <w:right w:val="single" w:sz="4" w:space="0" w:color="auto"/>
            </w:tcBorders>
            <w:shd w:val="clear" w:color="auto" w:fill="auto"/>
            <w:noWrap/>
            <w:vAlign w:val="bottom"/>
            <w:hideMark/>
          </w:tcPr>
          <w:p w14:paraId="63B4B2E6" w14:textId="7D3CA68F" w:rsidR="007122C4" w:rsidRPr="002F6B09"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-1,02</w:t>
            </w:r>
          </w:p>
        </w:tc>
      </w:tr>
      <w:tr w:rsidR="007122C4" w:rsidRPr="002F6B09" w14:paraId="7BD50006" w14:textId="77777777" w:rsidTr="007122C4">
        <w:trPr>
          <w:trHeight w:val="300"/>
          <w:jc w:val="center"/>
        </w:trPr>
        <w:tc>
          <w:tcPr>
            <w:tcW w:w="3440" w:type="dxa"/>
            <w:tcBorders>
              <w:top w:val="nil"/>
              <w:left w:val="single" w:sz="4" w:space="0" w:color="auto"/>
              <w:bottom w:val="nil"/>
              <w:right w:val="nil"/>
            </w:tcBorders>
            <w:shd w:val="clear" w:color="auto" w:fill="auto"/>
            <w:noWrap/>
            <w:vAlign w:val="center"/>
            <w:hideMark/>
          </w:tcPr>
          <w:p w14:paraId="044ACD70" w14:textId="77777777" w:rsidR="007122C4" w:rsidRPr="002F6B09" w:rsidRDefault="007122C4" w:rsidP="007122C4">
            <w:pPr>
              <w:spacing w:after="0" w:line="240" w:lineRule="auto"/>
              <w:ind w:firstLine="0"/>
              <w:contextualSpacing w:val="0"/>
              <w:jc w:val="left"/>
              <w:rPr>
                <w:rFonts w:eastAsia="Times New Roman" w:cs="Times New Roman"/>
                <w:color w:val="000000"/>
                <w:sz w:val="20"/>
                <w:szCs w:val="20"/>
                <w:lang w:val="ru-RU" w:eastAsia="ru-RU"/>
              </w:rPr>
            </w:pPr>
            <w:r w:rsidRPr="002F6B09">
              <w:rPr>
                <w:rFonts w:eastAsia="Times New Roman" w:cs="Times New Roman"/>
                <w:color w:val="000000"/>
                <w:sz w:val="20"/>
                <w:szCs w:val="20"/>
                <w:lang w:val="ru-RU" w:eastAsia="ru-RU"/>
              </w:rPr>
              <w:t>OPR (</w:t>
            </w:r>
            <w:proofErr w:type="spellStart"/>
            <w:r w:rsidRPr="002F6B09">
              <w:rPr>
                <w:rFonts w:eastAsia="Times New Roman" w:cs="Times New Roman"/>
                <w:color w:val="000000"/>
                <w:sz w:val="20"/>
                <w:szCs w:val="20"/>
                <w:lang w:val="ru-RU" w:eastAsia="ru-RU"/>
              </w:rPr>
              <w:t>Oil</w:t>
            </w:r>
            <w:proofErr w:type="spellEnd"/>
            <w:r w:rsidRPr="002F6B09">
              <w:rPr>
                <w:rFonts w:eastAsia="Times New Roman" w:cs="Times New Roman"/>
                <w:color w:val="000000"/>
                <w:sz w:val="20"/>
                <w:szCs w:val="20"/>
                <w:lang w:val="ru-RU" w:eastAsia="ru-RU"/>
              </w:rPr>
              <w:t xml:space="preserve"> </w:t>
            </w:r>
            <w:proofErr w:type="spellStart"/>
            <w:r w:rsidRPr="002F6B09">
              <w:rPr>
                <w:rFonts w:eastAsia="Times New Roman" w:cs="Times New Roman"/>
                <w:color w:val="000000"/>
                <w:sz w:val="20"/>
                <w:szCs w:val="20"/>
                <w:lang w:val="ru-RU" w:eastAsia="ru-RU"/>
              </w:rPr>
              <w:t>prices</w:t>
            </w:r>
            <w:proofErr w:type="spellEnd"/>
            <w:r w:rsidRPr="002F6B09">
              <w:rPr>
                <w:rFonts w:eastAsia="Times New Roman" w:cs="Times New Roman"/>
                <w:color w:val="000000"/>
                <w:sz w:val="20"/>
                <w:szCs w:val="20"/>
                <w:lang w:val="ru-RU" w:eastAsia="ru-RU"/>
              </w:rPr>
              <w:t>)</w:t>
            </w:r>
          </w:p>
        </w:tc>
        <w:tc>
          <w:tcPr>
            <w:tcW w:w="1091" w:type="dxa"/>
            <w:tcBorders>
              <w:top w:val="nil"/>
              <w:left w:val="single" w:sz="4" w:space="0" w:color="auto"/>
              <w:bottom w:val="nil"/>
              <w:right w:val="nil"/>
            </w:tcBorders>
            <w:shd w:val="clear" w:color="auto" w:fill="auto"/>
            <w:noWrap/>
            <w:vAlign w:val="bottom"/>
            <w:hideMark/>
          </w:tcPr>
          <w:p w14:paraId="44B7FC95" w14:textId="77777777" w:rsidR="007122C4" w:rsidRPr="002F6B09"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2F6B09">
              <w:rPr>
                <w:rFonts w:eastAsia="Times New Roman" w:cs="Times New Roman"/>
                <w:color w:val="000000"/>
                <w:sz w:val="20"/>
                <w:szCs w:val="20"/>
                <w:lang w:val="ru-RU" w:eastAsia="ru-RU"/>
              </w:rPr>
              <w:t>0,00</w:t>
            </w:r>
          </w:p>
        </w:tc>
        <w:tc>
          <w:tcPr>
            <w:tcW w:w="1330" w:type="dxa"/>
            <w:tcBorders>
              <w:top w:val="nil"/>
              <w:left w:val="nil"/>
              <w:bottom w:val="nil"/>
              <w:right w:val="single" w:sz="4" w:space="0" w:color="auto"/>
            </w:tcBorders>
            <w:shd w:val="clear" w:color="auto" w:fill="auto"/>
            <w:noWrap/>
            <w:vAlign w:val="bottom"/>
            <w:hideMark/>
          </w:tcPr>
          <w:p w14:paraId="6161B120" w14:textId="082BF4E2" w:rsidR="007122C4" w:rsidRPr="002F6B09"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-0,22</w:t>
            </w:r>
          </w:p>
        </w:tc>
      </w:tr>
      <w:tr w:rsidR="007122C4" w:rsidRPr="002F6B09" w14:paraId="371AD2AE" w14:textId="77777777" w:rsidTr="007122C4">
        <w:trPr>
          <w:trHeight w:val="300"/>
          <w:jc w:val="center"/>
        </w:trPr>
        <w:tc>
          <w:tcPr>
            <w:tcW w:w="3440" w:type="dxa"/>
            <w:tcBorders>
              <w:top w:val="nil"/>
              <w:left w:val="single" w:sz="4" w:space="0" w:color="auto"/>
              <w:bottom w:val="nil"/>
              <w:right w:val="nil"/>
            </w:tcBorders>
            <w:shd w:val="clear" w:color="auto" w:fill="auto"/>
            <w:noWrap/>
            <w:vAlign w:val="center"/>
            <w:hideMark/>
          </w:tcPr>
          <w:p w14:paraId="356ED97F" w14:textId="77777777" w:rsidR="007122C4" w:rsidRPr="002F6B09" w:rsidRDefault="007122C4" w:rsidP="007122C4">
            <w:pPr>
              <w:spacing w:after="0" w:line="240" w:lineRule="auto"/>
              <w:ind w:firstLine="0"/>
              <w:contextualSpacing w:val="0"/>
              <w:jc w:val="left"/>
              <w:rPr>
                <w:rFonts w:eastAsia="Times New Roman" w:cs="Times New Roman"/>
                <w:color w:val="000000"/>
                <w:sz w:val="20"/>
                <w:szCs w:val="20"/>
                <w:lang w:val="ru-RU" w:eastAsia="ru-RU"/>
              </w:rPr>
            </w:pPr>
            <w:r w:rsidRPr="002F6B09">
              <w:rPr>
                <w:rFonts w:eastAsia="Times New Roman" w:cs="Times New Roman"/>
                <w:color w:val="000000"/>
                <w:sz w:val="20"/>
                <w:szCs w:val="20"/>
                <w:lang w:val="ru-RU" w:eastAsia="ru-RU"/>
              </w:rPr>
              <w:t>ft1 (</w:t>
            </w:r>
            <w:proofErr w:type="spellStart"/>
            <w:r w:rsidRPr="002F6B09">
              <w:rPr>
                <w:rFonts w:eastAsia="Times New Roman" w:cs="Times New Roman"/>
                <w:color w:val="000000"/>
                <w:sz w:val="20"/>
                <w:szCs w:val="20"/>
                <w:lang w:val="ru-RU" w:eastAsia="ru-RU"/>
              </w:rPr>
              <w:t>Cash</w:t>
            </w:r>
            <w:proofErr w:type="spellEnd"/>
            <w:r w:rsidRPr="002F6B09">
              <w:rPr>
                <w:rFonts w:eastAsia="Times New Roman" w:cs="Times New Roman"/>
                <w:color w:val="000000"/>
                <w:sz w:val="20"/>
                <w:szCs w:val="20"/>
                <w:lang w:val="ru-RU" w:eastAsia="ru-RU"/>
              </w:rPr>
              <w:t xml:space="preserve"> </w:t>
            </w:r>
            <w:proofErr w:type="spellStart"/>
            <w:r w:rsidRPr="002F6B09">
              <w:rPr>
                <w:rFonts w:eastAsia="Times New Roman" w:cs="Times New Roman"/>
                <w:color w:val="000000"/>
                <w:sz w:val="20"/>
                <w:szCs w:val="20"/>
                <w:lang w:val="ru-RU" w:eastAsia="ru-RU"/>
              </w:rPr>
              <w:t>financing</w:t>
            </w:r>
            <w:proofErr w:type="spellEnd"/>
            <w:r w:rsidRPr="002F6B09">
              <w:rPr>
                <w:rFonts w:eastAsia="Times New Roman" w:cs="Times New Roman"/>
                <w:color w:val="000000"/>
                <w:sz w:val="20"/>
                <w:szCs w:val="20"/>
                <w:lang w:val="ru-RU" w:eastAsia="ru-RU"/>
              </w:rPr>
              <w:t xml:space="preserve"> </w:t>
            </w:r>
            <w:proofErr w:type="spellStart"/>
            <w:r w:rsidRPr="002F6B09">
              <w:rPr>
                <w:rFonts w:eastAsia="Times New Roman" w:cs="Times New Roman"/>
                <w:color w:val="000000"/>
                <w:sz w:val="20"/>
                <w:szCs w:val="20"/>
                <w:lang w:val="ru-RU" w:eastAsia="ru-RU"/>
              </w:rPr>
              <w:t>dummy</w:t>
            </w:r>
            <w:proofErr w:type="spellEnd"/>
            <w:r w:rsidRPr="002F6B09">
              <w:rPr>
                <w:rFonts w:eastAsia="Times New Roman" w:cs="Times New Roman"/>
                <w:color w:val="000000"/>
                <w:sz w:val="20"/>
                <w:szCs w:val="20"/>
                <w:lang w:val="ru-RU" w:eastAsia="ru-RU"/>
              </w:rPr>
              <w:t>)</w:t>
            </w:r>
          </w:p>
        </w:tc>
        <w:tc>
          <w:tcPr>
            <w:tcW w:w="1091" w:type="dxa"/>
            <w:tcBorders>
              <w:top w:val="nil"/>
              <w:left w:val="single" w:sz="4" w:space="0" w:color="auto"/>
              <w:bottom w:val="nil"/>
              <w:right w:val="nil"/>
            </w:tcBorders>
            <w:shd w:val="clear" w:color="auto" w:fill="auto"/>
            <w:noWrap/>
            <w:vAlign w:val="bottom"/>
            <w:hideMark/>
          </w:tcPr>
          <w:p w14:paraId="789AA597" w14:textId="77777777" w:rsidR="007122C4" w:rsidRPr="002F6B09"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2F6B09">
              <w:rPr>
                <w:rFonts w:eastAsia="Times New Roman" w:cs="Times New Roman"/>
                <w:color w:val="000000"/>
                <w:sz w:val="20"/>
                <w:szCs w:val="20"/>
                <w:lang w:val="ru-RU" w:eastAsia="ru-RU"/>
              </w:rPr>
              <w:t>0,36</w:t>
            </w:r>
          </w:p>
        </w:tc>
        <w:tc>
          <w:tcPr>
            <w:tcW w:w="1330" w:type="dxa"/>
            <w:tcBorders>
              <w:top w:val="nil"/>
              <w:left w:val="nil"/>
              <w:bottom w:val="nil"/>
              <w:right w:val="single" w:sz="4" w:space="0" w:color="auto"/>
            </w:tcBorders>
            <w:shd w:val="clear" w:color="auto" w:fill="auto"/>
            <w:noWrap/>
            <w:vAlign w:val="bottom"/>
            <w:hideMark/>
          </w:tcPr>
          <w:p w14:paraId="5FCF847F" w14:textId="50034BE0" w:rsidR="007122C4" w:rsidRPr="002F6B09"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-5,46</w:t>
            </w:r>
          </w:p>
        </w:tc>
      </w:tr>
      <w:tr w:rsidR="007122C4" w:rsidRPr="002F6B09" w14:paraId="71EF9190" w14:textId="77777777" w:rsidTr="007122C4">
        <w:trPr>
          <w:trHeight w:val="300"/>
          <w:jc w:val="center"/>
        </w:trPr>
        <w:tc>
          <w:tcPr>
            <w:tcW w:w="3440" w:type="dxa"/>
            <w:tcBorders>
              <w:top w:val="nil"/>
              <w:left w:val="single" w:sz="4" w:space="0" w:color="auto"/>
              <w:bottom w:val="nil"/>
              <w:right w:val="nil"/>
            </w:tcBorders>
            <w:shd w:val="clear" w:color="auto" w:fill="auto"/>
            <w:noWrap/>
            <w:vAlign w:val="center"/>
            <w:hideMark/>
          </w:tcPr>
          <w:p w14:paraId="1B112F2F" w14:textId="77777777" w:rsidR="007122C4" w:rsidRPr="002F6B09" w:rsidRDefault="007122C4" w:rsidP="007122C4">
            <w:pPr>
              <w:spacing w:after="0" w:line="240" w:lineRule="auto"/>
              <w:ind w:firstLine="0"/>
              <w:contextualSpacing w:val="0"/>
              <w:jc w:val="left"/>
              <w:rPr>
                <w:rFonts w:eastAsia="Times New Roman" w:cs="Times New Roman"/>
                <w:color w:val="000000"/>
                <w:sz w:val="20"/>
                <w:szCs w:val="20"/>
                <w:lang w:val="ru-RU" w:eastAsia="ru-RU"/>
              </w:rPr>
            </w:pPr>
            <w:r w:rsidRPr="002F6B09">
              <w:rPr>
                <w:rFonts w:eastAsia="Times New Roman" w:cs="Times New Roman"/>
                <w:color w:val="000000"/>
                <w:sz w:val="20"/>
                <w:szCs w:val="20"/>
                <w:lang w:val="ru-RU" w:eastAsia="ru-RU"/>
              </w:rPr>
              <w:t>ft2 (</w:t>
            </w:r>
            <w:proofErr w:type="spellStart"/>
            <w:r w:rsidRPr="002F6B09">
              <w:rPr>
                <w:rFonts w:eastAsia="Times New Roman" w:cs="Times New Roman"/>
                <w:color w:val="000000"/>
                <w:sz w:val="20"/>
                <w:szCs w:val="20"/>
                <w:lang w:val="ru-RU" w:eastAsia="ru-RU"/>
              </w:rPr>
              <w:t>Stocks</w:t>
            </w:r>
            <w:proofErr w:type="spellEnd"/>
            <w:r w:rsidRPr="002F6B09">
              <w:rPr>
                <w:rFonts w:eastAsia="Times New Roman" w:cs="Times New Roman"/>
                <w:color w:val="000000"/>
                <w:sz w:val="20"/>
                <w:szCs w:val="20"/>
                <w:lang w:val="ru-RU" w:eastAsia="ru-RU"/>
              </w:rPr>
              <w:t xml:space="preserve"> </w:t>
            </w:r>
            <w:proofErr w:type="spellStart"/>
            <w:r w:rsidRPr="002F6B09">
              <w:rPr>
                <w:rFonts w:eastAsia="Times New Roman" w:cs="Times New Roman"/>
                <w:color w:val="000000"/>
                <w:sz w:val="20"/>
                <w:szCs w:val="20"/>
                <w:lang w:val="ru-RU" w:eastAsia="ru-RU"/>
              </w:rPr>
              <w:t>financing</w:t>
            </w:r>
            <w:proofErr w:type="spellEnd"/>
            <w:r w:rsidRPr="002F6B09">
              <w:rPr>
                <w:rFonts w:eastAsia="Times New Roman" w:cs="Times New Roman"/>
                <w:color w:val="000000"/>
                <w:sz w:val="20"/>
                <w:szCs w:val="20"/>
                <w:lang w:val="ru-RU" w:eastAsia="ru-RU"/>
              </w:rPr>
              <w:t xml:space="preserve"> </w:t>
            </w:r>
            <w:proofErr w:type="spellStart"/>
            <w:r w:rsidRPr="002F6B09">
              <w:rPr>
                <w:rFonts w:eastAsia="Times New Roman" w:cs="Times New Roman"/>
                <w:color w:val="000000"/>
                <w:sz w:val="20"/>
                <w:szCs w:val="20"/>
                <w:lang w:val="ru-RU" w:eastAsia="ru-RU"/>
              </w:rPr>
              <w:t>dummy</w:t>
            </w:r>
            <w:proofErr w:type="spellEnd"/>
            <w:r w:rsidRPr="002F6B09">
              <w:rPr>
                <w:rFonts w:eastAsia="Times New Roman" w:cs="Times New Roman"/>
                <w:color w:val="000000"/>
                <w:sz w:val="20"/>
                <w:szCs w:val="20"/>
                <w:lang w:val="ru-RU" w:eastAsia="ru-RU"/>
              </w:rPr>
              <w:t>)</w:t>
            </w:r>
          </w:p>
        </w:tc>
        <w:tc>
          <w:tcPr>
            <w:tcW w:w="1091" w:type="dxa"/>
            <w:tcBorders>
              <w:top w:val="nil"/>
              <w:left w:val="single" w:sz="4" w:space="0" w:color="auto"/>
              <w:bottom w:val="nil"/>
              <w:right w:val="nil"/>
            </w:tcBorders>
            <w:shd w:val="clear" w:color="auto" w:fill="auto"/>
            <w:noWrap/>
            <w:vAlign w:val="bottom"/>
            <w:hideMark/>
          </w:tcPr>
          <w:p w14:paraId="7D4BECF8" w14:textId="77777777" w:rsidR="007122C4" w:rsidRPr="002F6B09"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2F6B09">
              <w:rPr>
                <w:rFonts w:eastAsia="Times New Roman" w:cs="Times New Roman"/>
                <w:color w:val="000000"/>
                <w:sz w:val="20"/>
                <w:szCs w:val="20"/>
                <w:lang w:val="ru-RU" w:eastAsia="ru-RU"/>
              </w:rPr>
              <w:t>0,43</w:t>
            </w:r>
          </w:p>
        </w:tc>
        <w:tc>
          <w:tcPr>
            <w:tcW w:w="1330" w:type="dxa"/>
            <w:tcBorders>
              <w:top w:val="nil"/>
              <w:left w:val="nil"/>
              <w:bottom w:val="nil"/>
              <w:right w:val="single" w:sz="4" w:space="0" w:color="auto"/>
            </w:tcBorders>
            <w:shd w:val="clear" w:color="auto" w:fill="auto"/>
            <w:noWrap/>
            <w:vAlign w:val="bottom"/>
            <w:hideMark/>
          </w:tcPr>
          <w:p w14:paraId="64CEF08F" w14:textId="1441B7BC" w:rsidR="007122C4" w:rsidRPr="002F6B09"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-5,43</w:t>
            </w:r>
          </w:p>
        </w:tc>
      </w:tr>
      <w:tr w:rsidR="007122C4" w:rsidRPr="002F6B09" w14:paraId="10F59B55" w14:textId="77777777" w:rsidTr="007122C4">
        <w:trPr>
          <w:trHeight w:val="300"/>
          <w:jc w:val="center"/>
        </w:trPr>
        <w:tc>
          <w:tcPr>
            <w:tcW w:w="3440" w:type="dxa"/>
            <w:tcBorders>
              <w:top w:val="nil"/>
              <w:left w:val="single" w:sz="4" w:space="0" w:color="auto"/>
              <w:bottom w:val="single" w:sz="4" w:space="0" w:color="auto"/>
              <w:right w:val="nil"/>
            </w:tcBorders>
            <w:shd w:val="clear" w:color="auto" w:fill="auto"/>
            <w:noWrap/>
            <w:vAlign w:val="center"/>
            <w:hideMark/>
          </w:tcPr>
          <w:p w14:paraId="0EB02592" w14:textId="77777777" w:rsidR="007122C4" w:rsidRPr="002F6B09" w:rsidRDefault="007122C4" w:rsidP="007122C4">
            <w:pPr>
              <w:spacing w:after="0" w:line="240" w:lineRule="auto"/>
              <w:ind w:firstLine="0"/>
              <w:contextualSpacing w:val="0"/>
              <w:jc w:val="left"/>
              <w:rPr>
                <w:rFonts w:eastAsia="Times New Roman" w:cs="Times New Roman"/>
                <w:color w:val="000000"/>
                <w:sz w:val="20"/>
                <w:szCs w:val="20"/>
                <w:lang w:val="ru-RU" w:eastAsia="ru-RU"/>
              </w:rPr>
            </w:pPr>
            <w:proofErr w:type="spellStart"/>
            <w:r w:rsidRPr="002F6B09">
              <w:rPr>
                <w:rFonts w:eastAsia="Times New Roman" w:cs="Times New Roman"/>
                <w:color w:val="000000"/>
                <w:sz w:val="20"/>
                <w:szCs w:val="20"/>
                <w:lang w:val="ru-RU" w:eastAsia="ru-RU"/>
              </w:rPr>
              <w:t>cons</w:t>
            </w:r>
            <w:proofErr w:type="spellEnd"/>
          </w:p>
        </w:tc>
        <w:tc>
          <w:tcPr>
            <w:tcW w:w="1091" w:type="dxa"/>
            <w:tcBorders>
              <w:top w:val="nil"/>
              <w:left w:val="single" w:sz="4" w:space="0" w:color="auto"/>
              <w:bottom w:val="single" w:sz="4" w:space="0" w:color="auto"/>
              <w:right w:val="nil"/>
            </w:tcBorders>
            <w:shd w:val="clear" w:color="auto" w:fill="auto"/>
            <w:noWrap/>
            <w:vAlign w:val="bottom"/>
            <w:hideMark/>
          </w:tcPr>
          <w:p w14:paraId="169E0704" w14:textId="77777777" w:rsidR="007122C4" w:rsidRPr="002F6B09"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2F6B09">
              <w:rPr>
                <w:rFonts w:eastAsia="Times New Roman" w:cs="Times New Roman"/>
                <w:color w:val="000000"/>
                <w:sz w:val="20"/>
                <w:szCs w:val="20"/>
                <w:lang w:val="ru-RU" w:eastAsia="ru-RU"/>
              </w:rPr>
              <w:t>0,02</w:t>
            </w:r>
          </w:p>
        </w:tc>
        <w:tc>
          <w:tcPr>
            <w:tcW w:w="1330" w:type="dxa"/>
            <w:tcBorders>
              <w:top w:val="nil"/>
              <w:left w:val="nil"/>
              <w:bottom w:val="single" w:sz="4" w:space="0" w:color="auto"/>
              <w:right w:val="single" w:sz="4" w:space="0" w:color="auto"/>
            </w:tcBorders>
            <w:shd w:val="clear" w:color="auto" w:fill="auto"/>
            <w:noWrap/>
            <w:vAlign w:val="bottom"/>
            <w:hideMark/>
          </w:tcPr>
          <w:p w14:paraId="477FE80A" w14:textId="7F07CD24" w:rsidR="007122C4" w:rsidRPr="002F6B09"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39,67</w:t>
            </w:r>
          </w:p>
        </w:tc>
      </w:tr>
    </w:tbl>
    <w:p w14:paraId="4DB92FAE" w14:textId="77777777" w:rsidR="001D62D4" w:rsidRPr="001D62D4" w:rsidRDefault="001D62D4" w:rsidP="001D62D4">
      <w:pPr>
        <w:rPr>
          <w:highlight w:val="yellow"/>
        </w:rPr>
      </w:pPr>
    </w:p>
    <w:p w14:paraId="0D92F599" w14:textId="27299D4E" w:rsidR="00AF2C07" w:rsidRDefault="00AF2C07" w:rsidP="004D2A38">
      <w:pPr>
        <w:tabs>
          <w:tab w:val="left" w:pos="0"/>
        </w:tabs>
      </w:pPr>
      <w:r>
        <w:t>According to the results of the regression analysis (</w:t>
      </w:r>
      <w:r w:rsidR="00415B58" w:rsidRPr="005223FD">
        <w:fldChar w:fldCharType="begin"/>
      </w:r>
      <w:r w:rsidR="00415B58" w:rsidRPr="005223FD">
        <w:instrText xml:space="preserve"> REF _Ref514671702 \r \h  \* MERGEFORMAT </w:instrText>
      </w:r>
      <w:r w:rsidR="00415B58" w:rsidRPr="005223FD">
        <w:fldChar w:fldCharType="separate"/>
      </w:r>
      <w:r w:rsidR="00154E78">
        <w:t>Table 10</w:t>
      </w:r>
      <w:r w:rsidR="00415B58" w:rsidRPr="005223FD">
        <w:fldChar w:fldCharType="end"/>
      </w:r>
      <w:r>
        <w:t>) several key interpretations could be mentioned. However, first of all the model was tested for</w:t>
      </w:r>
      <w:r w:rsidR="0065247A">
        <w:t xml:space="preserve"> the heteroscedasticity and multicollinearity problem. </w:t>
      </w:r>
      <w:r w:rsidR="009D6C7F">
        <w:t xml:space="preserve">Heteroscedasticity might be a big problem for the regression models and it appears when with the increase in value of the independent variable the variance of modelling errors </w:t>
      </w:r>
      <w:r w:rsidR="00AA09B5">
        <w:t>increases.</w:t>
      </w:r>
      <w:r w:rsidR="009D6C7F">
        <w:t xml:space="preserve"> </w:t>
      </w:r>
      <w:r w:rsidR="00AA09B5">
        <w:t>In order to check for the heteroscedasticity problem, we</w:t>
      </w:r>
      <w:r w:rsidR="009D6C7F">
        <w:t xml:space="preserve"> </w:t>
      </w:r>
      <w:r w:rsidR="00AA09B5">
        <w:t>u</w:t>
      </w:r>
      <w:r w:rsidR="0065247A">
        <w:t>s</w:t>
      </w:r>
      <w:r w:rsidR="00AA09B5">
        <w:t>ed</w:t>
      </w:r>
      <w:r w:rsidR="0065247A">
        <w:t xml:space="preserve"> the Breusch-Pagan test </w:t>
      </w:r>
      <w:r w:rsidR="00AA09B5">
        <w:t xml:space="preserve">and </w:t>
      </w:r>
      <w:r w:rsidR="0065247A">
        <w:t xml:space="preserve">obtained </w:t>
      </w:r>
      <w:r w:rsidR="009D6C7F">
        <w:t>1</w:t>
      </w:r>
      <w:r w:rsidR="0065247A">
        <w:t>,</w:t>
      </w:r>
      <w:r w:rsidR="009D6C7F">
        <w:t>71</w:t>
      </w:r>
      <w:r w:rsidR="0065247A">
        <w:t xml:space="preserve"> </w:t>
      </w:r>
      <w:r w:rsidR="00B32F1F">
        <w:t>statistics</w:t>
      </w:r>
      <w:r w:rsidR="0065247A">
        <w:t xml:space="preserve"> corresponding to </w:t>
      </w:r>
      <w:r w:rsidR="009D6C7F">
        <w:t>19,2</w:t>
      </w:r>
      <w:r w:rsidR="0065247A">
        <w:t>%</w:t>
      </w:r>
      <w:r w:rsidR="009D6C7F">
        <w:t xml:space="preserve"> confidence level, that essentially means that we </w:t>
      </w:r>
      <w:r w:rsidR="00E21322">
        <w:t>cannot</w:t>
      </w:r>
      <w:r w:rsidR="009D6C7F">
        <w:t xml:space="preserve"> reject the null hypothesis and that the data set is homoscedastic. </w:t>
      </w:r>
      <w:r w:rsidR="00AA09B5">
        <w:t xml:space="preserve">Another problem of multiple regression analysis is multicollinearity between independent variables. </w:t>
      </w:r>
      <w:r w:rsidR="009D6C7F">
        <w:t xml:space="preserve">Performing the VIF (Variance Inflation Factor) test we quantified the severity of multicollinearity between independent variables. According to the test results none of the reported VIF results was higher than 10, which in turn suggests that there is no severe multicollinearity between variables. </w:t>
      </w:r>
      <w:r w:rsidR="001772A2">
        <w:t xml:space="preserve">In the </w:t>
      </w:r>
      <w:r w:rsidR="008E1BB6">
        <w:fldChar w:fldCharType="begin"/>
      </w:r>
      <w:r w:rsidR="008E1BB6">
        <w:instrText xml:space="preserve"> REF _Ref514671702 \r \h </w:instrText>
      </w:r>
      <w:r w:rsidR="008E1BB6">
        <w:fldChar w:fldCharType="separate"/>
      </w:r>
      <w:r w:rsidR="00154E78">
        <w:t>Table 10</w:t>
      </w:r>
      <w:r w:rsidR="008E1BB6">
        <w:fldChar w:fldCharType="end"/>
      </w:r>
      <w:r w:rsidR="008E1BB6">
        <w:t xml:space="preserve"> </w:t>
      </w:r>
      <w:r w:rsidR="001772A2">
        <w:t xml:space="preserve">we might also see the </w:t>
      </w:r>
      <w:r w:rsidR="00895D56">
        <w:t>results of F-test, R-squared, t-test and beta coefficients of the regressors. The F-test essentially shows us if the R-squared might be equal to zero and that the regression model has no power to explain any of the variations between tested variables. Of we look at the p-value of the F-test that is equal to 0,000</w:t>
      </w:r>
      <w:r w:rsidR="000D3765">
        <w:t>0</w:t>
      </w:r>
      <w:r w:rsidR="00895D56">
        <w:t xml:space="preserve"> we can conclude that the null hypothesis could be rejected and with the 99% confidence level conclude that the regression model has some power to interpret the variables tested. Further, the R-squared shows us that </w:t>
      </w:r>
      <w:r w:rsidR="008E1BB6">
        <w:t>66</w:t>
      </w:r>
      <w:r w:rsidR="00895D56">
        <w:t xml:space="preserve">% of the variations could be explained with </w:t>
      </w:r>
      <w:r w:rsidR="000D3765">
        <w:t xml:space="preserve">the </w:t>
      </w:r>
      <w:r w:rsidR="00895D56">
        <w:t xml:space="preserve">model produced by the </w:t>
      </w:r>
      <w:r w:rsidR="00895D56">
        <w:lastRenderedPageBreak/>
        <w:t xml:space="preserve">analysis. This result is slightly low, but still the model is statistically significant and can be used further. </w:t>
      </w:r>
    </w:p>
    <w:p w14:paraId="25C997B9" w14:textId="0630F7E9" w:rsidR="00FC6599" w:rsidRDefault="00FC6599" w:rsidP="004D2A38">
      <w:pPr>
        <w:tabs>
          <w:tab w:val="left" w:pos="0"/>
        </w:tabs>
      </w:pPr>
      <w:r>
        <w:t>Beside the change</w:t>
      </w:r>
      <w:r w:rsidR="008E1BB6">
        <w:t>s</w:t>
      </w:r>
      <w:r>
        <w:t xml:space="preserve"> in </w:t>
      </w:r>
      <w:r w:rsidR="008E1BB6">
        <w:t xml:space="preserve">working capital structure expressed as AR, </w:t>
      </w:r>
      <w:proofErr w:type="spellStart"/>
      <w:r w:rsidR="008E1BB6">
        <w:t>Inv</w:t>
      </w:r>
      <w:proofErr w:type="spellEnd"/>
      <w:r w:rsidR="008E1BB6">
        <w:t xml:space="preserve"> and AP</w:t>
      </w:r>
      <w:r>
        <w:t xml:space="preserve"> there are also DS (Deal Size), IS (Industry Similarity), ft1-ft2-ft3 (Financing Type dummy variables), CLR (Change in Leverage ratio), GDP (GDP growth) and OPR (Oil prices) as the control variables. Ft1 equals to 1 when financing type is “Cash” and 0 in all other cases. Ft 2 equals, in turn, 1 when Financing type is “Stocks” and 0 zero in all other cases. There is no possibility to introduce the third dummy variable of “Mix” financing type, since we can predict the value of ft3 based on the values of other dummy variables ft1 and ft2. That is why these three dummy variables are perfectly collinear and one of them is excluded (omitted) from the model. </w:t>
      </w:r>
      <w:r w:rsidR="00CC57A9">
        <w:t>We will interpret the results of the individual variables further on and compare in all periods simultaneously.</w:t>
      </w:r>
    </w:p>
    <w:p w14:paraId="6271FBF3" w14:textId="7B8DE122" w:rsidR="00CC57A9" w:rsidRDefault="00CC57A9" w:rsidP="004D2A38">
      <w:pPr>
        <w:tabs>
          <w:tab w:val="left" w:pos="0"/>
        </w:tabs>
      </w:pPr>
      <w:r>
        <w:t xml:space="preserve">But the most important is the p-values of T-test for independent variables. As we can see based on the p-values </w:t>
      </w:r>
      <w:r w:rsidR="008E1BB6">
        <w:t>AR</w:t>
      </w:r>
      <w:r w:rsidR="008E1BB6" w:rsidRPr="008E1BB6">
        <w:t xml:space="preserve"> </w:t>
      </w:r>
      <w:r w:rsidR="008E1BB6">
        <w:t xml:space="preserve">(Days Accounts receivables), </w:t>
      </w:r>
      <w:proofErr w:type="spellStart"/>
      <w:r w:rsidR="008E1BB6">
        <w:t>Inv</w:t>
      </w:r>
      <w:proofErr w:type="spellEnd"/>
      <w:r w:rsidR="008E1BB6" w:rsidRPr="008E1BB6">
        <w:t xml:space="preserve"> </w:t>
      </w:r>
      <w:r w:rsidR="008E1BB6">
        <w:t>(Days in inventories), AP</w:t>
      </w:r>
      <w:r w:rsidR="008E1BB6" w:rsidRPr="008E1BB6">
        <w:t xml:space="preserve"> </w:t>
      </w:r>
      <w:r w:rsidR="008E1BB6">
        <w:t>(Days in accounts payable)</w:t>
      </w:r>
      <w:r>
        <w:t xml:space="preserve">, CLR (change in leverage ratio), GDP (GDP growth), OPR (oil prices change) and </w:t>
      </w:r>
      <w:r w:rsidR="008E1BB6">
        <w:t>DS</w:t>
      </w:r>
      <w:r>
        <w:t xml:space="preserve"> (</w:t>
      </w:r>
      <w:r w:rsidR="008E1BB6">
        <w:t>Deal Size</w:t>
      </w:r>
      <w:r>
        <w:t xml:space="preserve">) are statistically significant. </w:t>
      </w:r>
      <w:r w:rsidR="008E1BB6">
        <w:t>AR2, Inv2, AP2</w:t>
      </w:r>
      <w:r>
        <w:t>, IS (industry similarity) and ft1</w:t>
      </w:r>
      <w:r w:rsidR="008E1BB6">
        <w:t>- f2</w:t>
      </w:r>
      <w:r>
        <w:t xml:space="preserve"> (financing Type</w:t>
      </w:r>
      <w:r w:rsidR="008E1BB6">
        <w:t>s</w:t>
      </w:r>
      <w:r>
        <w:t>) are not statistically significant since the p-values are above 10% confidence level and we can reject the null hypothes</w:t>
      </w:r>
      <w:r w:rsidR="008E1BB6">
        <w:t>e</w:t>
      </w:r>
      <w:r>
        <w:t>s. However, T-test for ft1, ft2 and ft3 together showed us that we can reject the null hypothesis of ft1=</w:t>
      </w:r>
      <w:proofErr w:type="spellStart"/>
      <w:r>
        <w:t>ft</w:t>
      </w:r>
      <w:proofErr w:type="spellEnd"/>
      <w:r>
        <w:t xml:space="preserve">=ft3=0, that is why all variables are not statistically insignificant when treated all together. </w:t>
      </w:r>
    </w:p>
    <w:p w14:paraId="551C856A" w14:textId="4F58C978" w:rsidR="00FC6599" w:rsidRDefault="00FC6599" w:rsidP="004D2A38">
      <w:pPr>
        <w:tabs>
          <w:tab w:val="left" w:pos="0"/>
        </w:tabs>
      </w:pPr>
      <w:r>
        <w:t>Further, we will try to estimate the medium-run influence of working capital structure onto the corporate performance. The model specification this time is exactly the same as it was previously. The only difference is that variables are taken for t+3 period of time (three years after the deal execution). Results of the regression analysis are presented in the table below (</w:t>
      </w:r>
      <w:r w:rsidR="00415B58" w:rsidRPr="005223FD">
        <w:fldChar w:fldCharType="begin"/>
      </w:r>
      <w:r w:rsidR="00415B58" w:rsidRPr="005223FD">
        <w:instrText xml:space="preserve"> REF _Ref514671773 \r \h  \* MERGEFORMAT </w:instrText>
      </w:r>
      <w:r w:rsidR="00415B58" w:rsidRPr="005223FD">
        <w:fldChar w:fldCharType="separate"/>
      </w:r>
      <w:r w:rsidR="00154E78">
        <w:rPr>
          <w:b/>
          <w:bCs/>
          <w:lang w:val="ru-RU"/>
        </w:rPr>
        <w:t>Ошибка</w:t>
      </w:r>
      <w:r w:rsidR="00154E78" w:rsidRPr="00154E78">
        <w:rPr>
          <w:b/>
          <w:bCs/>
        </w:rPr>
        <w:t xml:space="preserve">! </w:t>
      </w:r>
      <w:r w:rsidR="00154E78">
        <w:rPr>
          <w:b/>
          <w:bCs/>
          <w:lang w:val="ru-RU"/>
        </w:rPr>
        <w:t>Источник ссылки не найден.</w:t>
      </w:r>
      <w:r w:rsidR="00415B58" w:rsidRPr="005223FD">
        <w:fldChar w:fldCharType="end"/>
      </w:r>
      <w:r>
        <w:t>).</w:t>
      </w:r>
      <w:r w:rsidR="00CC57A9">
        <w:t xml:space="preserve"> </w:t>
      </w:r>
    </w:p>
    <w:p w14:paraId="525A112E" w14:textId="30DF7E9F" w:rsidR="008E1BB6" w:rsidRDefault="008E1BB6" w:rsidP="004D2A38">
      <w:pPr>
        <w:tabs>
          <w:tab w:val="left" w:pos="0"/>
        </w:tabs>
      </w:pPr>
    </w:p>
    <w:p w14:paraId="090954E2" w14:textId="516DB5EA" w:rsidR="008E1BB6" w:rsidRDefault="008E1BB6" w:rsidP="004D2A38">
      <w:pPr>
        <w:tabs>
          <w:tab w:val="left" w:pos="0"/>
        </w:tabs>
      </w:pPr>
    </w:p>
    <w:p w14:paraId="78E8AE04" w14:textId="14D2DF82" w:rsidR="008E1BB6" w:rsidRDefault="008E1BB6" w:rsidP="004D2A38">
      <w:pPr>
        <w:tabs>
          <w:tab w:val="left" w:pos="0"/>
        </w:tabs>
      </w:pPr>
    </w:p>
    <w:p w14:paraId="78D528B5" w14:textId="539816A1" w:rsidR="008E1BB6" w:rsidRDefault="008E1BB6" w:rsidP="004D2A38">
      <w:pPr>
        <w:tabs>
          <w:tab w:val="left" w:pos="0"/>
        </w:tabs>
      </w:pPr>
    </w:p>
    <w:p w14:paraId="0CA90704" w14:textId="7652A547" w:rsidR="008E1BB6" w:rsidRDefault="008E1BB6" w:rsidP="004D2A38">
      <w:pPr>
        <w:tabs>
          <w:tab w:val="left" w:pos="0"/>
        </w:tabs>
      </w:pPr>
    </w:p>
    <w:p w14:paraId="5B9B9B4A" w14:textId="41AF945F" w:rsidR="008E1BB6" w:rsidRDefault="008E1BB6" w:rsidP="004D2A38">
      <w:pPr>
        <w:tabs>
          <w:tab w:val="left" w:pos="0"/>
        </w:tabs>
      </w:pPr>
    </w:p>
    <w:p w14:paraId="07DBD63C" w14:textId="2F2EDEB9" w:rsidR="008E1BB6" w:rsidRDefault="008E1BB6" w:rsidP="004D2A38">
      <w:pPr>
        <w:tabs>
          <w:tab w:val="left" w:pos="0"/>
        </w:tabs>
      </w:pPr>
    </w:p>
    <w:p w14:paraId="34231C80" w14:textId="4B1B687D" w:rsidR="008E1BB6" w:rsidRDefault="008E1BB6" w:rsidP="004D2A38">
      <w:pPr>
        <w:tabs>
          <w:tab w:val="left" w:pos="0"/>
        </w:tabs>
      </w:pPr>
    </w:p>
    <w:p w14:paraId="75846676" w14:textId="77777777" w:rsidR="008E1BB6" w:rsidRDefault="008E1BB6" w:rsidP="004D2A38">
      <w:pPr>
        <w:tabs>
          <w:tab w:val="left" w:pos="0"/>
        </w:tabs>
      </w:pPr>
    </w:p>
    <w:p w14:paraId="79841D43" w14:textId="5797D044" w:rsidR="005223FD" w:rsidRDefault="005223FD" w:rsidP="005223FD">
      <w:pPr>
        <w:pStyle w:val="a0"/>
        <w:tabs>
          <w:tab w:val="left" w:pos="0"/>
        </w:tabs>
        <w:ind w:left="0"/>
      </w:pPr>
      <w:r>
        <w:t>Working capital structure regression results for T+3</w:t>
      </w:r>
    </w:p>
    <w:tbl>
      <w:tblPr>
        <w:tblW w:w="5720" w:type="dxa"/>
        <w:jc w:val="center"/>
        <w:tblLook w:val="04A0" w:firstRow="1" w:lastRow="0" w:firstColumn="1" w:lastColumn="0" w:noHBand="0" w:noVBand="1"/>
      </w:tblPr>
      <w:tblGrid>
        <w:gridCol w:w="3440"/>
        <w:gridCol w:w="950"/>
        <w:gridCol w:w="1330"/>
      </w:tblGrid>
      <w:tr w:rsidR="00F21B0B" w:rsidRPr="00F21B0B" w14:paraId="1BC1AB8A" w14:textId="77777777" w:rsidTr="00F21B0B">
        <w:trPr>
          <w:trHeight w:val="300"/>
          <w:jc w:val="center"/>
        </w:trPr>
        <w:tc>
          <w:tcPr>
            <w:tcW w:w="3440" w:type="dxa"/>
            <w:tcBorders>
              <w:top w:val="single" w:sz="4" w:space="0" w:color="auto"/>
              <w:left w:val="single" w:sz="4" w:space="0" w:color="auto"/>
              <w:bottom w:val="nil"/>
              <w:right w:val="nil"/>
            </w:tcBorders>
            <w:shd w:val="clear" w:color="auto" w:fill="auto"/>
            <w:noWrap/>
            <w:vAlign w:val="center"/>
            <w:hideMark/>
          </w:tcPr>
          <w:p w14:paraId="34D63AD8" w14:textId="77777777" w:rsidR="00F21B0B" w:rsidRPr="00F21B0B" w:rsidRDefault="00F21B0B" w:rsidP="00F21B0B">
            <w:pPr>
              <w:spacing w:after="0" w:line="240" w:lineRule="auto"/>
              <w:ind w:firstLine="0"/>
              <w:contextualSpacing w:val="0"/>
              <w:jc w:val="left"/>
              <w:rPr>
                <w:rFonts w:eastAsia="Times New Roman" w:cs="Times New Roman"/>
                <w:color w:val="000000"/>
                <w:sz w:val="20"/>
                <w:szCs w:val="20"/>
                <w:lang w:val="ru-RU" w:eastAsia="ru-RU"/>
              </w:rPr>
            </w:pPr>
            <w:proofErr w:type="spellStart"/>
            <w:r w:rsidRPr="00F21B0B">
              <w:rPr>
                <w:rFonts w:eastAsia="Times New Roman" w:cs="Times New Roman"/>
                <w:color w:val="000000"/>
                <w:sz w:val="20"/>
                <w:szCs w:val="20"/>
                <w:lang w:val="ru-RU" w:eastAsia="ru-RU"/>
              </w:rPr>
              <w:t>Number</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of</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observations</w:t>
            </w:r>
            <w:proofErr w:type="spellEnd"/>
          </w:p>
        </w:tc>
        <w:tc>
          <w:tcPr>
            <w:tcW w:w="2280"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199C49A3" w14:textId="77777777" w:rsidR="00F21B0B" w:rsidRPr="00F21B0B" w:rsidRDefault="00F21B0B" w:rsidP="00F21B0B">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123</w:t>
            </w:r>
          </w:p>
        </w:tc>
      </w:tr>
      <w:tr w:rsidR="00F21B0B" w:rsidRPr="00F21B0B" w14:paraId="088B2FF4" w14:textId="77777777" w:rsidTr="00F21B0B">
        <w:trPr>
          <w:trHeight w:val="300"/>
          <w:jc w:val="center"/>
        </w:trPr>
        <w:tc>
          <w:tcPr>
            <w:tcW w:w="3440" w:type="dxa"/>
            <w:tcBorders>
              <w:top w:val="nil"/>
              <w:left w:val="single" w:sz="4" w:space="0" w:color="auto"/>
              <w:bottom w:val="nil"/>
              <w:right w:val="nil"/>
            </w:tcBorders>
            <w:shd w:val="clear" w:color="auto" w:fill="auto"/>
            <w:noWrap/>
            <w:vAlign w:val="center"/>
            <w:hideMark/>
          </w:tcPr>
          <w:p w14:paraId="6FDE7EE2" w14:textId="77777777" w:rsidR="00F21B0B" w:rsidRPr="00F21B0B" w:rsidRDefault="00F21B0B" w:rsidP="00F21B0B">
            <w:pPr>
              <w:spacing w:after="0" w:line="240" w:lineRule="auto"/>
              <w:ind w:firstLine="0"/>
              <w:contextualSpacing w:val="0"/>
              <w:jc w:val="left"/>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F-</w:t>
            </w:r>
            <w:proofErr w:type="spellStart"/>
            <w:r w:rsidRPr="00F21B0B">
              <w:rPr>
                <w:rFonts w:eastAsia="Times New Roman" w:cs="Times New Roman"/>
                <w:color w:val="000000"/>
                <w:sz w:val="20"/>
                <w:szCs w:val="20"/>
                <w:lang w:val="ru-RU" w:eastAsia="ru-RU"/>
              </w:rPr>
              <w:t>test</w:t>
            </w:r>
            <w:proofErr w:type="spellEnd"/>
            <w:r w:rsidRPr="00F21B0B">
              <w:rPr>
                <w:rFonts w:eastAsia="Times New Roman" w:cs="Times New Roman"/>
                <w:color w:val="000000"/>
                <w:sz w:val="20"/>
                <w:szCs w:val="20"/>
                <w:lang w:val="ru-RU" w:eastAsia="ru-RU"/>
              </w:rPr>
              <w:t>, p-</w:t>
            </w:r>
            <w:proofErr w:type="spellStart"/>
            <w:r w:rsidRPr="00F21B0B">
              <w:rPr>
                <w:rFonts w:eastAsia="Times New Roman" w:cs="Times New Roman"/>
                <w:color w:val="000000"/>
                <w:sz w:val="20"/>
                <w:szCs w:val="20"/>
                <w:lang w:val="ru-RU" w:eastAsia="ru-RU"/>
              </w:rPr>
              <w:t>value</w:t>
            </w:r>
            <w:proofErr w:type="spellEnd"/>
          </w:p>
        </w:tc>
        <w:tc>
          <w:tcPr>
            <w:tcW w:w="2280" w:type="dxa"/>
            <w:gridSpan w:val="2"/>
            <w:tcBorders>
              <w:top w:val="nil"/>
              <w:left w:val="single" w:sz="4" w:space="0" w:color="auto"/>
              <w:bottom w:val="nil"/>
              <w:right w:val="single" w:sz="4" w:space="0" w:color="000000"/>
            </w:tcBorders>
            <w:shd w:val="clear" w:color="auto" w:fill="auto"/>
            <w:noWrap/>
            <w:vAlign w:val="bottom"/>
            <w:hideMark/>
          </w:tcPr>
          <w:p w14:paraId="45B69551" w14:textId="77777777" w:rsidR="00F21B0B" w:rsidRPr="00F21B0B" w:rsidRDefault="00F21B0B" w:rsidP="00F21B0B">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0,00</w:t>
            </w:r>
          </w:p>
        </w:tc>
      </w:tr>
      <w:tr w:rsidR="00F21B0B" w:rsidRPr="00F21B0B" w14:paraId="5CEFE2C8" w14:textId="77777777" w:rsidTr="00F21B0B">
        <w:trPr>
          <w:trHeight w:val="330"/>
          <w:jc w:val="center"/>
        </w:trPr>
        <w:tc>
          <w:tcPr>
            <w:tcW w:w="3440" w:type="dxa"/>
            <w:tcBorders>
              <w:top w:val="nil"/>
              <w:left w:val="single" w:sz="4" w:space="0" w:color="auto"/>
              <w:bottom w:val="single" w:sz="4" w:space="0" w:color="auto"/>
              <w:right w:val="nil"/>
            </w:tcBorders>
            <w:shd w:val="clear" w:color="auto" w:fill="auto"/>
            <w:noWrap/>
            <w:vAlign w:val="bottom"/>
            <w:hideMark/>
          </w:tcPr>
          <w:p w14:paraId="5EBB49DA" w14:textId="77777777" w:rsidR="00F21B0B" w:rsidRPr="00F21B0B" w:rsidRDefault="00F21B0B" w:rsidP="00F21B0B">
            <w:pPr>
              <w:spacing w:after="0" w:line="240" w:lineRule="auto"/>
              <w:ind w:firstLine="0"/>
              <w:contextualSpacing w:val="0"/>
              <w:jc w:val="left"/>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R</w:t>
            </w:r>
            <w:r w:rsidRPr="00F21B0B">
              <w:rPr>
                <w:rFonts w:eastAsia="Times New Roman" w:cs="Times New Roman"/>
                <w:color w:val="000000"/>
                <w:sz w:val="20"/>
                <w:szCs w:val="20"/>
                <w:vertAlign w:val="superscript"/>
                <w:lang w:val="ru-RU" w:eastAsia="ru-RU"/>
              </w:rPr>
              <w:t>2</w:t>
            </w:r>
          </w:p>
        </w:tc>
        <w:tc>
          <w:tcPr>
            <w:tcW w:w="2280"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520D2276" w14:textId="77777777" w:rsidR="00F21B0B" w:rsidRPr="00F21B0B" w:rsidRDefault="00F21B0B" w:rsidP="00F21B0B">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0,68</w:t>
            </w:r>
          </w:p>
        </w:tc>
      </w:tr>
      <w:tr w:rsidR="00F21B0B" w:rsidRPr="00F21B0B" w14:paraId="3429CE94" w14:textId="77777777" w:rsidTr="007122C4">
        <w:trPr>
          <w:trHeight w:val="300"/>
          <w:jc w:val="center"/>
        </w:trPr>
        <w:tc>
          <w:tcPr>
            <w:tcW w:w="3440" w:type="dxa"/>
            <w:tcBorders>
              <w:top w:val="nil"/>
              <w:left w:val="single" w:sz="4" w:space="0" w:color="auto"/>
              <w:bottom w:val="single" w:sz="4" w:space="0" w:color="auto"/>
              <w:right w:val="nil"/>
            </w:tcBorders>
            <w:shd w:val="clear" w:color="auto" w:fill="auto"/>
            <w:noWrap/>
            <w:vAlign w:val="center"/>
            <w:hideMark/>
          </w:tcPr>
          <w:p w14:paraId="79DBEB4B" w14:textId="77777777" w:rsidR="00F21B0B" w:rsidRPr="00F21B0B" w:rsidRDefault="00F21B0B" w:rsidP="00F21B0B">
            <w:pPr>
              <w:spacing w:after="0" w:line="240" w:lineRule="auto"/>
              <w:ind w:firstLine="0"/>
              <w:contextualSpacing w:val="0"/>
              <w:jc w:val="left"/>
              <w:rPr>
                <w:rFonts w:eastAsia="Times New Roman" w:cs="Times New Roman"/>
                <w:b/>
                <w:bCs/>
                <w:color w:val="000000"/>
                <w:sz w:val="20"/>
                <w:szCs w:val="20"/>
                <w:lang w:val="ru-RU" w:eastAsia="ru-RU"/>
              </w:rPr>
            </w:pPr>
            <w:r w:rsidRPr="00F21B0B">
              <w:rPr>
                <w:rFonts w:eastAsia="Times New Roman" w:cs="Times New Roman"/>
                <w:b/>
                <w:bCs/>
                <w:color w:val="000000"/>
                <w:sz w:val="20"/>
                <w:szCs w:val="20"/>
                <w:lang w:val="ru-RU" w:eastAsia="ru-RU"/>
              </w:rPr>
              <w:t>CTQ</w:t>
            </w:r>
          </w:p>
        </w:tc>
        <w:tc>
          <w:tcPr>
            <w:tcW w:w="950" w:type="dxa"/>
            <w:tcBorders>
              <w:top w:val="nil"/>
              <w:left w:val="single" w:sz="4" w:space="0" w:color="auto"/>
              <w:bottom w:val="single" w:sz="4" w:space="0" w:color="auto"/>
              <w:right w:val="nil"/>
            </w:tcBorders>
            <w:shd w:val="clear" w:color="auto" w:fill="auto"/>
            <w:noWrap/>
            <w:vAlign w:val="bottom"/>
            <w:hideMark/>
          </w:tcPr>
          <w:p w14:paraId="04DE97E2" w14:textId="77777777" w:rsidR="00F21B0B" w:rsidRPr="00F21B0B" w:rsidRDefault="00F21B0B" w:rsidP="00F21B0B">
            <w:pPr>
              <w:spacing w:after="0" w:line="240" w:lineRule="auto"/>
              <w:ind w:firstLine="0"/>
              <w:contextualSpacing w:val="0"/>
              <w:jc w:val="center"/>
              <w:rPr>
                <w:rFonts w:eastAsia="Times New Roman" w:cs="Times New Roman"/>
                <w:b/>
                <w:bCs/>
                <w:color w:val="000000"/>
                <w:sz w:val="20"/>
                <w:szCs w:val="20"/>
                <w:lang w:val="ru-RU" w:eastAsia="ru-RU"/>
              </w:rPr>
            </w:pPr>
            <w:r w:rsidRPr="00F21B0B">
              <w:rPr>
                <w:rFonts w:eastAsia="Times New Roman" w:cs="Times New Roman"/>
                <w:b/>
                <w:bCs/>
                <w:color w:val="000000"/>
                <w:sz w:val="20"/>
                <w:szCs w:val="20"/>
                <w:lang w:val="ru-RU" w:eastAsia="ru-RU"/>
              </w:rPr>
              <w:t>p-</w:t>
            </w:r>
            <w:proofErr w:type="spellStart"/>
            <w:r w:rsidRPr="00F21B0B">
              <w:rPr>
                <w:rFonts w:eastAsia="Times New Roman" w:cs="Times New Roman"/>
                <w:b/>
                <w:bCs/>
                <w:color w:val="000000"/>
                <w:sz w:val="20"/>
                <w:szCs w:val="20"/>
                <w:lang w:val="ru-RU" w:eastAsia="ru-RU"/>
              </w:rPr>
              <w:t>value</w:t>
            </w:r>
            <w:proofErr w:type="spellEnd"/>
          </w:p>
        </w:tc>
        <w:tc>
          <w:tcPr>
            <w:tcW w:w="1330" w:type="dxa"/>
            <w:tcBorders>
              <w:top w:val="nil"/>
              <w:left w:val="nil"/>
              <w:bottom w:val="single" w:sz="4" w:space="0" w:color="auto"/>
              <w:right w:val="single" w:sz="4" w:space="0" w:color="auto"/>
            </w:tcBorders>
            <w:shd w:val="clear" w:color="auto" w:fill="auto"/>
            <w:noWrap/>
            <w:vAlign w:val="bottom"/>
            <w:hideMark/>
          </w:tcPr>
          <w:p w14:paraId="6A75617C" w14:textId="77777777" w:rsidR="00F21B0B" w:rsidRPr="00F21B0B" w:rsidRDefault="00F21B0B" w:rsidP="00F21B0B">
            <w:pPr>
              <w:spacing w:after="0" w:line="240" w:lineRule="auto"/>
              <w:ind w:firstLine="0"/>
              <w:contextualSpacing w:val="0"/>
              <w:jc w:val="left"/>
              <w:rPr>
                <w:rFonts w:eastAsia="Times New Roman" w:cs="Times New Roman"/>
                <w:b/>
                <w:bCs/>
                <w:color w:val="000000"/>
                <w:sz w:val="20"/>
                <w:szCs w:val="20"/>
                <w:lang w:val="ru-RU" w:eastAsia="ru-RU"/>
              </w:rPr>
            </w:pPr>
            <w:proofErr w:type="spellStart"/>
            <w:r w:rsidRPr="00F21B0B">
              <w:rPr>
                <w:rFonts w:eastAsia="Times New Roman" w:cs="Times New Roman"/>
                <w:b/>
                <w:bCs/>
                <w:color w:val="000000"/>
                <w:sz w:val="20"/>
                <w:szCs w:val="20"/>
                <w:lang w:val="ru-RU" w:eastAsia="ru-RU"/>
              </w:rPr>
              <w:t>Coefficients</w:t>
            </w:r>
            <w:proofErr w:type="spellEnd"/>
          </w:p>
        </w:tc>
      </w:tr>
      <w:tr w:rsidR="007122C4" w:rsidRPr="00F21B0B" w14:paraId="2D477BDE" w14:textId="77777777" w:rsidTr="007122C4">
        <w:trPr>
          <w:trHeight w:val="300"/>
          <w:jc w:val="center"/>
        </w:trPr>
        <w:tc>
          <w:tcPr>
            <w:tcW w:w="3440" w:type="dxa"/>
            <w:tcBorders>
              <w:top w:val="nil"/>
              <w:left w:val="single" w:sz="4" w:space="0" w:color="auto"/>
              <w:bottom w:val="nil"/>
              <w:right w:val="nil"/>
            </w:tcBorders>
            <w:shd w:val="clear" w:color="auto" w:fill="auto"/>
            <w:noWrap/>
            <w:vAlign w:val="center"/>
            <w:hideMark/>
          </w:tcPr>
          <w:p w14:paraId="42E6D942" w14:textId="77777777" w:rsidR="007122C4" w:rsidRPr="00F21B0B" w:rsidRDefault="007122C4" w:rsidP="007122C4">
            <w:pPr>
              <w:spacing w:after="0" w:line="240" w:lineRule="auto"/>
              <w:ind w:firstLine="0"/>
              <w:contextualSpacing w:val="0"/>
              <w:jc w:val="left"/>
              <w:rPr>
                <w:rFonts w:eastAsia="Times New Roman" w:cs="Times New Roman"/>
                <w:color w:val="000000"/>
                <w:sz w:val="20"/>
                <w:szCs w:val="20"/>
                <w:lang w:eastAsia="ru-RU"/>
              </w:rPr>
            </w:pPr>
            <w:r w:rsidRPr="00F21B0B">
              <w:rPr>
                <w:rFonts w:eastAsia="Times New Roman" w:cs="Times New Roman"/>
                <w:color w:val="000000"/>
                <w:sz w:val="20"/>
                <w:szCs w:val="20"/>
                <w:lang w:eastAsia="ru-RU"/>
              </w:rPr>
              <w:t>AR (Days in Accounts receivables)</w:t>
            </w:r>
          </w:p>
        </w:tc>
        <w:tc>
          <w:tcPr>
            <w:tcW w:w="950" w:type="dxa"/>
            <w:tcBorders>
              <w:top w:val="nil"/>
              <w:left w:val="single" w:sz="4" w:space="0" w:color="auto"/>
              <w:bottom w:val="nil"/>
              <w:right w:val="nil"/>
            </w:tcBorders>
            <w:shd w:val="clear" w:color="auto" w:fill="auto"/>
            <w:noWrap/>
            <w:vAlign w:val="bottom"/>
            <w:hideMark/>
          </w:tcPr>
          <w:p w14:paraId="2D299C7C" w14:textId="7777777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0,00</w:t>
            </w:r>
          </w:p>
        </w:tc>
        <w:tc>
          <w:tcPr>
            <w:tcW w:w="1330" w:type="dxa"/>
            <w:tcBorders>
              <w:top w:val="nil"/>
              <w:left w:val="nil"/>
              <w:bottom w:val="nil"/>
              <w:right w:val="single" w:sz="4" w:space="0" w:color="auto"/>
            </w:tcBorders>
            <w:shd w:val="clear" w:color="auto" w:fill="auto"/>
            <w:noWrap/>
            <w:vAlign w:val="bottom"/>
            <w:hideMark/>
          </w:tcPr>
          <w:p w14:paraId="3064FCEA" w14:textId="10DDDAD5"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-0,46</w:t>
            </w:r>
          </w:p>
        </w:tc>
      </w:tr>
      <w:tr w:rsidR="007122C4" w:rsidRPr="00F21B0B" w14:paraId="343602A8" w14:textId="77777777" w:rsidTr="007122C4">
        <w:trPr>
          <w:trHeight w:val="300"/>
          <w:jc w:val="center"/>
        </w:trPr>
        <w:tc>
          <w:tcPr>
            <w:tcW w:w="3440" w:type="dxa"/>
            <w:tcBorders>
              <w:top w:val="nil"/>
              <w:left w:val="single" w:sz="4" w:space="0" w:color="auto"/>
              <w:bottom w:val="nil"/>
              <w:right w:val="nil"/>
            </w:tcBorders>
            <w:shd w:val="clear" w:color="auto" w:fill="auto"/>
            <w:noWrap/>
            <w:vAlign w:val="center"/>
            <w:hideMark/>
          </w:tcPr>
          <w:p w14:paraId="2A67CBD7" w14:textId="77777777" w:rsidR="007122C4" w:rsidRPr="00F21B0B" w:rsidRDefault="007122C4" w:rsidP="007122C4">
            <w:pPr>
              <w:spacing w:after="0" w:line="240" w:lineRule="auto"/>
              <w:ind w:firstLine="0"/>
              <w:contextualSpacing w:val="0"/>
              <w:jc w:val="left"/>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AR2 (</w:t>
            </w:r>
            <w:proofErr w:type="spellStart"/>
            <w:r w:rsidRPr="00F21B0B">
              <w:rPr>
                <w:rFonts w:eastAsia="Times New Roman" w:cs="Times New Roman"/>
                <w:color w:val="000000"/>
                <w:sz w:val="20"/>
                <w:szCs w:val="20"/>
                <w:lang w:val="ru-RU" w:eastAsia="ru-RU"/>
              </w:rPr>
              <w:t>Quadratic</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term</w:t>
            </w:r>
            <w:proofErr w:type="spellEnd"/>
            <w:r w:rsidRPr="00F21B0B">
              <w:rPr>
                <w:rFonts w:eastAsia="Times New Roman" w:cs="Times New Roman"/>
                <w:color w:val="000000"/>
                <w:sz w:val="20"/>
                <w:szCs w:val="20"/>
                <w:lang w:val="ru-RU" w:eastAsia="ru-RU"/>
              </w:rPr>
              <w:t>)</w:t>
            </w:r>
          </w:p>
        </w:tc>
        <w:tc>
          <w:tcPr>
            <w:tcW w:w="950" w:type="dxa"/>
            <w:tcBorders>
              <w:top w:val="nil"/>
              <w:left w:val="single" w:sz="4" w:space="0" w:color="auto"/>
              <w:bottom w:val="nil"/>
              <w:right w:val="nil"/>
            </w:tcBorders>
            <w:shd w:val="clear" w:color="auto" w:fill="auto"/>
            <w:noWrap/>
            <w:vAlign w:val="bottom"/>
            <w:hideMark/>
          </w:tcPr>
          <w:p w14:paraId="6B03C8ED" w14:textId="7777777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0,23</w:t>
            </w:r>
          </w:p>
        </w:tc>
        <w:tc>
          <w:tcPr>
            <w:tcW w:w="1330" w:type="dxa"/>
            <w:tcBorders>
              <w:top w:val="nil"/>
              <w:left w:val="nil"/>
              <w:bottom w:val="nil"/>
              <w:right w:val="single" w:sz="4" w:space="0" w:color="auto"/>
            </w:tcBorders>
            <w:shd w:val="clear" w:color="auto" w:fill="auto"/>
            <w:noWrap/>
            <w:vAlign w:val="bottom"/>
            <w:hideMark/>
          </w:tcPr>
          <w:p w14:paraId="0B40136D" w14:textId="4735BC06"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-1,08</w:t>
            </w:r>
          </w:p>
        </w:tc>
      </w:tr>
      <w:tr w:rsidR="007122C4" w:rsidRPr="00F21B0B" w14:paraId="33A596B9" w14:textId="77777777" w:rsidTr="007122C4">
        <w:trPr>
          <w:trHeight w:val="255"/>
          <w:jc w:val="center"/>
        </w:trPr>
        <w:tc>
          <w:tcPr>
            <w:tcW w:w="3440" w:type="dxa"/>
            <w:tcBorders>
              <w:top w:val="nil"/>
              <w:left w:val="single" w:sz="4" w:space="0" w:color="auto"/>
              <w:bottom w:val="nil"/>
              <w:right w:val="nil"/>
            </w:tcBorders>
            <w:shd w:val="clear" w:color="auto" w:fill="auto"/>
            <w:noWrap/>
            <w:vAlign w:val="center"/>
            <w:hideMark/>
          </w:tcPr>
          <w:p w14:paraId="1710BA81" w14:textId="77777777" w:rsidR="007122C4" w:rsidRPr="00F21B0B" w:rsidRDefault="007122C4" w:rsidP="007122C4">
            <w:pPr>
              <w:spacing w:after="0" w:line="240" w:lineRule="auto"/>
              <w:ind w:firstLine="0"/>
              <w:contextualSpacing w:val="0"/>
              <w:jc w:val="left"/>
              <w:rPr>
                <w:rFonts w:eastAsia="Times New Roman" w:cs="Times New Roman"/>
                <w:color w:val="000000"/>
                <w:sz w:val="20"/>
                <w:szCs w:val="20"/>
                <w:lang w:val="ru-RU" w:eastAsia="ru-RU"/>
              </w:rPr>
            </w:pPr>
            <w:proofErr w:type="spellStart"/>
            <w:r w:rsidRPr="00F21B0B">
              <w:rPr>
                <w:rFonts w:eastAsia="Times New Roman" w:cs="Times New Roman"/>
                <w:color w:val="000000"/>
                <w:sz w:val="20"/>
                <w:szCs w:val="20"/>
                <w:lang w:val="ru-RU" w:eastAsia="ru-RU"/>
              </w:rPr>
              <w:t>Inv</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Days</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in</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inventories</w:t>
            </w:r>
            <w:proofErr w:type="spellEnd"/>
            <w:r w:rsidRPr="00F21B0B">
              <w:rPr>
                <w:rFonts w:eastAsia="Times New Roman" w:cs="Times New Roman"/>
                <w:color w:val="000000"/>
                <w:sz w:val="20"/>
                <w:szCs w:val="20"/>
                <w:lang w:val="ru-RU" w:eastAsia="ru-RU"/>
              </w:rPr>
              <w:t>)</w:t>
            </w:r>
          </w:p>
        </w:tc>
        <w:tc>
          <w:tcPr>
            <w:tcW w:w="950" w:type="dxa"/>
            <w:tcBorders>
              <w:top w:val="nil"/>
              <w:left w:val="single" w:sz="4" w:space="0" w:color="auto"/>
              <w:bottom w:val="nil"/>
              <w:right w:val="nil"/>
            </w:tcBorders>
            <w:shd w:val="clear" w:color="auto" w:fill="auto"/>
            <w:noWrap/>
            <w:vAlign w:val="bottom"/>
            <w:hideMark/>
          </w:tcPr>
          <w:p w14:paraId="77CFA7AC" w14:textId="7777777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0,06</w:t>
            </w:r>
          </w:p>
        </w:tc>
        <w:tc>
          <w:tcPr>
            <w:tcW w:w="1330" w:type="dxa"/>
            <w:tcBorders>
              <w:top w:val="nil"/>
              <w:left w:val="nil"/>
              <w:bottom w:val="nil"/>
              <w:right w:val="single" w:sz="4" w:space="0" w:color="auto"/>
            </w:tcBorders>
            <w:shd w:val="clear" w:color="auto" w:fill="auto"/>
            <w:noWrap/>
            <w:vAlign w:val="bottom"/>
            <w:hideMark/>
          </w:tcPr>
          <w:p w14:paraId="74607641" w14:textId="54381A1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-0,29</w:t>
            </w:r>
          </w:p>
        </w:tc>
      </w:tr>
      <w:tr w:rsidR="007122C4" w:rsidRPr="00F21B0B" w14:paraId="2772762E" w14:textId="77777777" w:rsidTr="007122C4">
        <w:trPr>
          <w:trHeight w:val="255"/>
          <w:jc w:val="center"/>
        </w:trPr>
        <w:tc>
          <w:tcPr>
            <w:tcW w:w="3440" w:type="dxa"/>
            <w:tcBorders>
              <w:top w:val="nil"/>
              <w:left w:val="single" w:sz="4" w:space="0" w:color="auto"/>
              <w:bottom w:val="nil"/>
              <w:right w:val="nil"/>
            </w:tcBorders>
            <w:shd w:val="clear" w:color="auto" w:fill="auto"/>
            <w:noWrap/>
            <w:vAlign w:val="center"/>
            <w:hideMark/>
          </w:tcPr>
          <w:p w14:paraId="7293FB77" w14:textId="77777777" w:rsidR="007122C4" w:rsidRPr="00F21B0B" w:rsidRDefault="007122C4" w:rsidP="007122C4">
            <w:pPr>
              <w:spacing w:after="0" w:line="240" w:lineRule="auto"/>
              <w:ind w:firstLine="0"/>
              <w:contextualSpacing w:val="0"/>
              <w:jc w:val="left"/>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Inv2 (</w:t>
            </w:r>
            <w:proofErr w:type="spellStart"/>
            <w:r w:rsidRPr="00F21B0B">
              <w:rPr>
                <w:rFonts w:eastAsia="Times New Roman" w:cs="Times New Roman"/>
                <w:color w:val="000000"/>
                <w:sz w:val="20"/>
                <w:szCs w:val="20"/>
                <w:lang w:val="ru-RU" w:eastAsia="ru-RU"/>
              </w:rPr>
              <w:t>Quadratic</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term</w:t>
            </w:r>
            <w:proofErr w:type="spellEnd"/>
            <w:r w:rsidRPr="00F21B0B">
              <w:rPr>
                <w:rFonts w:eastAsia="Times New Roman" w:cs="Times New Roman"/>
                <w:color w:val="000000"/>
                <w:sz w:val="20"/>
                <w:szCs w:val="20"/>
                <w:lang w:val="ru-RU" w:eastAsia="ru-RU"/>
              </w:rPr>
              <w:t>)</w:t>
            </w:r>
          </w:p>
        </w:tc>
        <w:tc>
          <w:tcPr>
            <w:tcW w:w="950" w:type="dxa"/>
            <w:tcBorders>
              <w:top w:val="nil"/>
              <w:left w:val="single" w:sz="4" w:space="0" w:color="auto"/>
              <w:bottom w:val="nil"/>
              <w:right w:val="nil"/>
            </w:tcBorders>
            <w:shd w:val="clear" w:color="auto" w:fill="auto"/>
            <w:noWrap/>
            <w:vAlign w:val="bottom"/>
            <w:hideMark/>
          </w:tcPr>
          <w:p w14:paraId="3222F047" w14:textId="7777777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0,36</w:t>
            </w:r>
          </w:p>
        </w:tc>
        <w:tc>
          <w:tcPr>
            <w:tcW w:w="1330" w:type="dxa"/>
            <w:tcBorders>
              <w:top w:val="nil"/>
              <w:left w:val="nil"/>
              <w:bottom w:val="nil"/>
              <w:right w:val="single" w:sz="4" w:space="0" w:color="auto"/>
            </w:tcBorders>
            <w:shd w:val="clear" w:color="auto" w:fill="auto"/>
            <w:noWrap/>
            <w:vAlign w:val="bottom"/>
            <w:hideMark/>
          </w:tcPr>
          <w:p w14:paraId="0168AAF0" w14:textId="4BCE5E1D"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0,00</w:t>
            </w:r>
          </w:p>
        </w:tc>
      </w:tr>
      <w:tr w:rsidR="007122C4" w:rsidRPr="00F21B0B" w14:paraId="21BC3181" w14:textId="77777777" w:rsidTr="007122C4">
        <w:trPr>
          <w:trHeight w:val="255"/>
          <w:jc w:val="center"/>
        </w:trPr>
        <w:tc>
          <w:tcPr>
            <w:tcW w:w="3440" w:type="dxa"/>
            <w:tcBorders>
              <w:top w:val="nil"/>
              <w:left w:val="single" w:sz="4" w:space="0" w:color="auto"/>
              <w:bottom w:val="nil"/>
              <w:right w:val="nil"/>
            </w:tcBorders>
            <w:shd w:val="clear" w:color="auto" w:fill="auto"/>
            <w:noWrap/>
            <w:vAlign w:val="center"/>
            <w:hideMark/>
          </w:tcPr>
          <w:p w14:paraId="6D2C9701" w14:textId="77777777" w:rsidR="007122C4" w:rsidRPr="00F21B0B" w:rsidRDefault="007122C4" w:rsidP="007122C4">
            <w:pPr>
              <w:spacing w:after="0" w:line="240" w:lineRule="auto"/>
              <w:ind w:firstLine="0"/>
              <w:contextualSpacing w:val="0"/>
              <w:jc w:val="left"/>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AP (</w:t>
            </w:r>
            <w:proofErr w:type="spellStart"/>
            <w:r w:rsidRPr="00F21B0B">
              <w:rPr>
                <w:rFonts w:eastAsia="Times New Roman" w:cs="Times New Roman"/>
                <w:color w:val="000000"/>
                <w:sz w:val="20"/>
                <w:szCs w:val="20"/>
                <w:lang w:val="ru-RU" w:eastAsia="ru-RU"/>
              </w:rPr>
              <w:t>Accounts</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payable</w:t>
            </w:r>
            <w:proofErr w:type="spellEnd"/>
            <w:r w:rsidRPr="00F21B0B">
              <w:rPr>
                <w:rFonts w:eastAsia="Times New Roman" w:cs="Times New Roman"/>
                <w:color w:val="000000"/>
                <w:sz w:val="20"/>
                <w:szCs w:val="20"/>
                <w:lang w:val="ru-RU" w:eastAsia="ru-RU"/>
              </w:rPr>
              <w:t>)</w:t>
            </w:r>
          </w:p>
        </w:tc>
        <w:tc>
          <w:tcPr>
            <w:tcW w:w="950" w:type="dxa"/>
            <w:tcBorders>
              <w:top w:val="nil"/>
              <w:left w:val="single" w:sz="4" w:space="0" w:color="auto"/>
              <w:bottom w:val="nil"/>
              <w:right w:val="nil"/>
            </w:tcBorders>
            <w:shd w:val="clear" w:color="auto" w:fill="auto"/>
            <w:noWrap/>
            <w:vAlign w:val="bottom"/>
            <w:hideMark/>
          </w:tcPr>
          <w:p w14:paraId="62A9F3F7" w14:textId="7777777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0,05</w:t>
            </w:r>
          </w:p>
        </w:tc>
        <w:tc>
          <w:tcPr>
            <w:tcW w:w="1330" w:type="dxa"/>
            <w:tcBorders>
              <w:top w:val="nil"/>
              <w:left w:val="nil"/>
              <w:bottom w:val="nil"/>
              <w:right w:val="single" w:sz="4" w:space="0" w:color="auto"/>
            </w:tcBorders>
            <w:shd w:val="clear" w:color="auto" w:fill="auto"/>
            <w:noWrap/>
            <w:vAlign w:val="bottom"/>
            <w:hideMark/>
          </w:tcPr>
          <w:p w14:paraId="2D0130DC" w14:textId="7F6AF599"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-0,30</w:t>
            </w:r>
          </w:p>
        </w:tc>
      </w:tr>
      <w:tr w:rsidR="007122C4" w:rsidRPr="00F21B0B" w14:paraId="2D04E4D4" w14:textId="77777777" w:rsidTr="007122C4">
        <w:trPr>
          <w:trHeight w:val="255"/>
          <w:jc w:val="center"/>
        </w:trPr>
        <w:tc>
          <w:tcPr>
            <w:tcW w:w="3440" w:type="dxa"/>
            <w:tcBorders>
              <w:top w:val="nil"/>
              <w:left w:val="single" w:sz="4" w:space="0" w:color="auto"/>
              <w:bottom w:val="nil"/>
              <w:right w:val="nil"/>
            </w:tcBorders>
            <w:shd w:val="clear" w:color="auto" w:fill="auto"/>
            <w:noWrap/>
            <w:vAlign w:val="center"/>
            <w:hideMark/>
          </w:tcPr>
          <w:p w14:paraId="4BC3E393" w14:textId="77777777" w:rsidR="007122C4" w:rsidRPr="00F21B0B" w:rsidRDefault="007122C4" w:rsidP="007122C4">
            <w:pPr>
              <w:spacing w:after="0" w:line="240" w:lineRule="auto"/>
              <w:ind w:firstLine="0"/>
              <w:contextualSpacing w:val="0"/>
              <w:jc w:val="left"/>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AP2 (</w:t>
            </w:r>
            <w:proofErr w:type="spellStart"/>
            <w:r w:rsidRPr="00F21B0B">
              <w:rPr>
                <w:rFonts w:eastAsia="Times New Roman" w:cs="Times New Roman"/>
                <w:color w:val="000000"/>
                <w:sz w:val="20"/>
                <w:szCs w:val="20"/>
                <w:lang w:val="ru-RU" w:eastAsia="ru-RU"/>
              </w:rPr>
              <w:t>Quadratic</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term</w:t>
            </w:r>
            <w:proofErr w:type="spellEnd"/>
            <w:r w:rsidRPr="00F21B0B">
              <w:rPr>
                <w:rFonts w:eastAsia="Times New Roman" w:cs="Times New Roman"/>
                <w:color w:val="000000"/>
                <w:sz w:val="20"/>
                <w:szCs w:val="20"/>
                <w:lang w:val="ru-RU" w:eastAsia="ru-RU"/>
              </w:rPr>
              <w:t>)</w:t>
            </w:r>
          </w:p>
        </w:tc>
        <w:tc>
          <w:tcPr>
            <w:tcW w:w="950" w:type="dxa"/>
            <w:tcBorders>
              <w:top w:val="nil"/>
              <w:left w:val="single" w:sz="4" w:space="0" w:color="auto"/>
              <w:bottom w:val="nil"/>
              <w:right w:val="nil"/>
            </w:tcBorders>
            <w:shd w:val="clear" w:color="auto" w:fill="auto"/>
            <w:noWrap/>
            <w:vAlign w:val="bottom"/>
            <w:hideMark/>
          </w:tcPr>
          <w:p w14:paraId="34FE63B5" w14:textId="7777777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0,97</w:t>
            </w:r>
          </w:p>
        </w:tc>
        <w:tc>
          <w:tcPr>
            <w:tcW w:w="1330" w:type="dxa"/>
            <w:tcBorders>
              <w:top w:val="nil"/>
              <w:left w:val="nil"/>
              <w:bottom w:val="nil"/>
              <w:right w:val="single" w:sz="4" w:space="0" w:color="auto"/>
            </w:tcBorders>
            <w:shd w:val="clear" w:color="auto" w:fill="auto"/>
            <w:noWrap/>
            <w:vAlign w:val="bottom"/>
            <w:hideMark/>
          </w:tcPr>
          <w:p w14:paraId="1E43E069" w14:textId="166D075C"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0,00</w:t>
            </w:r>
          </w:p>
        </w:tc>
      </w:tr>
      <w:tr w:rsidR="007122C4" w:rsidRPr="00F21B0B" w14:paraId="4FF8DDEE" w14:textId="77777777" w:rsidTr="007122C4">
        <w:trPr>
          <w:trHeight w:val="255"/>
          <w:jc w:val="center"/>
        </w:trPr>
        <w:tc>
          <w:tcPr>
            <w:tcW w:w="3440" w:type="dxa"/>
            <w:tcBorders>
              <w:top w:val="nil"/>
              <w:left w:val="single" w:sz="4" w:space="0" w:color="auto"/>
              <w:bottom w:val="nil"/>
              <w:right w:val="nil"/>
            </w:tcBorders>
            <w:shd w:val="clear" w:color="auto" w:fill="auto"/>
            <w:noWrap/>
            <w:vAlign w:val="center"/>
            <w:hideMark/>
          </w:tcPr>
          <w:p w14:paraId="2FCB53D6" w14:textId="77777777" w:rsidR="007122C4" w:rsidRPr="00F21B0B" w:rsidRDefault="007122C4" w:rsidP="007122C4">
            <w:pPr>
              <w:spacing w:after="0" w:line="240" w:lineRule="auto"/>
              <w:ind w:firstLine="0"/>
              <w:contextualSpacing w:val="0"/>
              <w:jc w:val="left"/>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DS (</w:t>
            </w:r>
            <w:proofErr w:type="spellStart"/>
            <w:r w:rsidRPr="00F21B0B">
              <w:rPr>
                <w:rFonts w:eastAsia="Times New Roman" w:cs="Times New Roman"/>
                <w:color w:val="000000"/>
                <w:sz w:val="20"/>
                <w:szCs w:val="20"/>
                <w:lang w:val="ru-RU" w:eastAsia="ru-RU"/>
              </w:rPr>
              <w:t>Deal</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size</w:t>
            </w:r>
            <w:proofErr w:type="spellEnd"/>
            <w:r w:rsidRPr="00F21B0B">
              <w:rPr>
                <w:rFonts w:eastAsia="Times New Roman" w:cs="Times New Roman"/>
                <w:color w:val="000000"/>
                <w:sz w:val="20"/>
                <w:szCs w:val="20"/>
                <w:lang w:val="ru-RU" w:eastAsia="ru-RU"/>
              </w:rPr>
              <w:t>)</w:t>
            </w:r>
          </w:p>
        </w:tc>
        <w:tc>
          <w:tcPr>
            <w:tcW w:w="950" w:type="dxa"/>
            <w:tcBorders>
              <w:top w:val="nil"/>
              <w:left w:val="single" w:sz="4" w:space="0" w:color="auto"/>
              <w:bottom w:val="nil"/>
              <w:right w:val="nil"/>
            </w:tcBorders>
            <w:shd w:val="clear" w:color="auto" w:fill="auto"/>
            <w:noWrap/>
            <w:vAlign w:val="bottom"/>
            <w:hideMark/>
          </w:tcPr>
          <w:p w14:paraId="265C02C6" w14:textId="7777777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0,22</w:t>
            </w:r>
          </w:p>
        </w:tc>
        <w:tc>
          <w:tcPr>
            <w:tcW w:w="1330" w:type="dxa"/>
            <w:tcBorders>
              <w:top w:val="nil"/>
              <w:left w:val="nil"/>
              <w:bottom w:val="nil"/>
              <w:right w:val="single" w:sz="4" w:space="0" w:color="auto"/>
            </w:tcBorders>
            <w:shd w:val="clear" w:color="auto" w:fill="auto"/>
            <w:noWrap/>
            <w:vAlign w:val="bottom"/>
            <w:hideMark/>
          </w:tcPr>
          <w:p w14:paraId="32E32B17" w14:textId="365D6452"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27,84</w:t>
            </w:r>
          </w:p>
        </w:tc>
      </w:tr>
      <w:tr w:rsidR="007122C4" w:rsidRPr="00F21B0B" w14:paraId="2B388835" w14:textId="77777777" w:rsidTr="007122C4">
        <w:trPr>
          <w:trHeight w:val="300"/>
          <w:jc w:val="center"/>
        </w:trPr>
        <w:tc>
          <w:tcPr>
            <w:tcW w:w="3440" w:type="dxa"/>
            <w:tcBorders>
              <w:top w:val="nil"/>
              <w:left w:val="single" w:sz="4" w:space="0" w:color="auto"/>
              <w:bottom w:val="nil"/>
              <w:right w:val="nil"/>
            </w:tcBorders>
            <w:shd w:val="clear" w:color="auto" w:fill="auto"/>
            <w:noWrap/>
            <w:vAlign w:val="center"/>
            <w:hideMark/>
          </w:tcPr>
          <w:p w14:paraId="1966E5BB" w14:textId="77777777" w:rsidR="007122C4" w:rsidRPr="00F21B0B" w:rsidRDefault="007122C4" w:rsidP="007122C4">
            <w:pPr>
              <w:spacing w:after="0" w:line="240" w:lineRule="auto"/>
              <w:ind w:firstLine="0"/>
              <w:contextualSpacing w:val="0"/>
              <w:jc w:val="left"/>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IS (</w:t>
            </w:r>
            <w:proofErr w:type="spellStart"/>
            <w:r w:rsidRPr="00F21B0B">
              <w:rPr>
                <w:rFonts w:eastAsia="Times New Roman" w:cs="Times New Roman"/>
                <w:color w:val="000000"/>
                <w:sz w:val="20"/>
                <w:szCs w:val="20"/>
                <w:lang w:val="ru-RU" w:eastAsia="ru-RU"/>
              </w:rPr>
              <w:t>Industry</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similarity</w:t>
            </w:r>
            <w:proofErr w:type="spellEnd"/>
            <w:r w:rsidRPr="00F21B0B">
              <w:rPr>
                <w:rFonts w:eastAsia="Times New Roman" w:cs="Times New Roman"/>
                <w:color w:val="000000"/>
                <w:sz w:val="20"/>
                <w:szCs w:val="20"/>
                <w:lang w:val="ru-RU" w:eastAsia="ru-RU"/>
              </w:rPr>
              <w:t>)</w:t>
            </w:r>
          </w:p>
        </w:tc>
        <w:tc>
          <w:tcPr>
            <w:tcW w:w="950" w:type="dxa"/>
            <w:tcBorders>
              <w:top w:val="nil"/>
              <w:left w:val="single" w:sz="4" w:space="0" w:color="auto"/>
              <w:bottom w:val="nil"/>
              <w:right w:val="nil"/>
            </w:tcBorders>
            <w:shd w:val="clear" w:color="auto" w:fill="auto"/>
            <w:noWrap/>
            <w:vAlign w:val="bottom"/>
            <w:hideMark/>
          </w:tcPr>
          <w:p w14:paraId="1B87EA7D" w14:textId="7777777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0,05</w:t>
            </w:r>
          </w:p>
        </w:tc>
        <w:tc>
          <w:tcPr>
            <w:tcW w:w="1330" w:type="dxa"/>
            <w:tcBorders>
              <w:top w:val="nil"/>
              <w:left w:val="nil"/>
              <w:bottom w:val="nil"/>
              <w:right w:val="single" w:sz="4" w:space="0" w:color="auto"/>
            </w:tcBorders>
            <w:shd w:val="clear" w:color="auto" w:fill="auto"/>
            <w:noWrap/>
            <w:vAlign w:val="bottom"/>
            <w:hideMark/>
          </w:tcPr>
          <w:p w14:paraId="483B6FB0" w14:textId="6B587BE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-14,73</w:t>
            </w:r>
          </w:p>
        </w:tc>
      </w:tr>
      <w:tr w:rsidR="007122C4" w:rsidRPr="00F21B0B" w14:paraId="3A2FFCA8" w14:textId="77777777" w:rsidTr="007122C4">
        <w:trPr>
          <w:trHeight w:val="300"/>
          <w:jc w:val="center"/>
        </w:trPr>
        <w:tc>
          <w:tcPr>
            <w:tcW w:w="3440" w:type="dxa"/>
            <w:tcBorders>
              <w:top w:val="nil"/>
              <w:left w:val="single" w:sz="4" w:space="0" w:color="auto"/>
              <w:bottom w:val="nil"/>
              <w:right w:val="nil"/>
            </w:tcBorders>
            <w:shd w:val="clear" w:color="auto" w:fill="auto"/>
            <w:noWrap/>
            <w:vAlign w:val="center"/>
            <w:hideMark/>
          </w:tcPr>
          <w:p w14:paraId="32CE27DB" w14:textId="77777777" w:rsidR="007122C4" w:rsidRPr="00F21B0B" w:rsidRDefault="007122C4" w:rsidP="007122C4">
            <w:pPr>
              <w:spacing w:after="0" w:line="240" w:lineRule="auto"/>
              <w:ind w:firstLine="0"/>
              <w:contextualSpacing w:val="0"/>
              <w:jc w:val="left"/>
              <w:rPr>
                <w:rFonts w:eastAsia="Times New Roman" w:cs="Times New Roman"/>
                <w:color w:val="000000"/>
                <w:sz w:val="20"/>
                <w:szCs w:val="20"/>
                <w:lang w:eastAsia="ru-RU"/>
              </w:rPr>
            </w:pPr>
            <w:r w:rsidRPr="00F21B0B">
              <w:rPr>
                <w:rFonts w:eastAsia="Times New Roman" w:cs="Times New Roman"/>
                <w:color w:val="000000"/>
                <w:sz w:val="20"/>
                <w:szCs w:val="20"/>
                <w:lang w:eastAsia="ru-RU"/>
              </w:rPr>
              <w:t>CLR (Change in leverage ratio)</w:t>
            </w:r>
          </w:p>
        </w:tc>
        <w:tc>
          <w:tcPr>
            <w:tcW w:w="950" w:type="dxa"/>
            <w:tcBorders>
              <w:top w:val="nil"/>
              <w:left w:val="single" w:sz="4" w:space="0" w:color="auto"/>
              <w:bottom w:val="nil"/>
              <w:right w:val="nil"/>
            </w:tcBorders>
            <w:shd w:val="clear" w:color="auto" w:fill="auto"/>
            <w:noWrap/>
            <w:vAlign w:val="bottom"/>
            <w:hideMark/>
          </w:tcPr>
          <w:p w14:paraId="29DBC4CB" w14:textId="7777777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0,03</w:t>
            </w:r>
          </w:p>
        </w:tc>
        <w:tc>
          <w:tcPr>
            <w:tcW w:w="1330" w:type="dxa"/>
            <w:tcBorders>
              <w:top w:val="nil"/>
              <w:left w:val="nil"/>
              <w:bottom w:val="nil"/>
              <w:right w:val="single" w:sz="4" w:space="0" w:color="auto"/>
            </w:tcBorders>
            <w:shd w:val="clear" w:color="auto" w:fill="auto"/>
            <w:noWrap/>
            <w:vAlign w:val="bottom"/>
            <w:hideMark/>
          </w:tcPr>
          <w:p w14:paraId="6F19571E" w14:textId="68B2A2B4"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-0,09</w:t>
            </w:r>
          </w:p>
        </w:tc>
      </w:tr>
      <w:tr w:rsidR="007122C4" w:rsidRPr="00F21B0B" w14:paraId="16081451" w14:textId="77777777" w:rsidTr="007122C4">
        <w:trPr>
          <w:trHeight w:val="300"/>
          <w:jc w:val="center"/>
        </w:trPr>
        <w:tc>
          <w:tcPr>
            <w:tcW w:w="3440" w:type="dxa"/>
            <w:tcBorders>
              <w:top w:val="nil"/>
              <w:left w:val="single" w:sz="4" w:space="0" w:color="auto"/>
              <w:bottom w:val="nil"/>
              <w:right w:val="nil"/>
            </w:tcBorders>
            <w:shd w:val="clear" w:color="auto" w:fill="auto"/>
            <w:noWrap/>
            <w:vAlign w:val="center"/>
            <w:hideMark/>
          </w:tcPr>
          <w:p w14:paraId="5DFC7C17" w14:textId="77777777" w:rsidR="007122C4" w:rsidRPr="00F21B0B" w:rsidRDefault="007122C4" w:rsidP="007122C4">
            <w:pPr>
              <w:spacing w:after="0" w:line="240" w:lineRule="auto"/>
              <w:ind w:firstLine="0"/>
              <w:contextualSpacing w:val="0"/>
              <w:jc w:val="left"/>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 xml:space="preserve">GDP (GDP </w:t>
            </w:r>
            <w:proofErr w:type="spellStart"/>
            <w:r w:rsidRPr="00F21B0B">
              <w:rPr>
                <w:rFonts w:eastAsia="Times New Roman" w:cs="Times New Roman"/>
                <w:color w:val="000000"/>
                <w:sz w:val="20"/>
                <w:szCs w:val="20"/>
                <w:lang w:val="ru-RU" w:eastAsia="ru-RU"/>
              </w:rPr>
              <w:t>growth</w:t>
            </w:r>
            <w:proofErr w:type="spellEnd"/>
            <w:r w:rsidRPr="00F21B0B">
              <w:rPr>
                <w:rFonts w:eastAsia="Times New Roman" w:cs="Times New Roman"/>
                <w:color w:val="000000"/>
                <w:sz w:val="20"/>
                <w:szCs w:val="20"/>
                <w:lang w:val="ru-RU" w:eastAsia="ru-RU"/>
              </w:rPr>
              <w:t>)</w:t>
            </w:r>
          </w:p>
        </w:tc>
        <w:tc>
          <w:tcPr>
            <w:tcW w:w="950" w:type="dxa"/>
            <w:tcBorders>
              <w:top w:val="nil"/>
              <w:left w:val="single" w:sz="4" w:space="0" w:color="auto"/>
              <w:bottom w:val="nil"/>
              <w:right w:val="nil"/>
            </w:tcBorders>
            <w:shd w:val="clear" w:color="auto" w:fill="auto"/>
            <w:noWrap/>
            <w:vAlign w:val="bottom"/>
            <w:hideMark/>
          </w:tcPr>
          <w:p w14:paraId="3A316E00" w14:textId="7777777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0,00</w:t>
            </w:r>
          </w:p>
        </w:tc>
        <w:tc>
          <w:tcPr>
            <w:tcW w:w="1330" w:type="dxa"/>
            <w:tcBorders>
              <w:top w:val="nil"/>
              <w:left w:val="nil"/>
              <w:bottom w:val="nil"/>
              <w:right w:val="single" w:sz="4" w:space="0" w:color="auto"/>
            </w:tcBorders>
            <w:shd w:val="clear" w:color="auto" w:fill="auto"/>
            <w:noWrap/>
            <w:vAlign w:val="bottom"/>
            <w:hideMark/>
          </w:tcPr>
          <w:p w14:paraId="1555C234" w14:textId="57558F9C"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-1,30</w:t>
            </w:r>
          </w:p>
        </w:tc>
      </w:tr>
      <w:tr w:rsidR="007122C4" w:rsidRPr="00F21B0B" w14:paraId="04DDB214" w14:textId="77777777" w:rsidTr="007122C4">
        <w:trPr>
          <w:trHeight w:val="300"/>
          <w:jc w:val="center"/>
        </w:trPr>
        <w:tc>
          <w:tcPr>
            <w:tcW w:w="3440" w:type="dxa"/>
            <w:tcBorders>
              <w:top w:val="nil"/>
              <w:left w:val="single" w:sz="4" w:space="0" w:color="auto"/>
              <w:bottom w:val="nil"/>
              <w:right w:val="nil"/>
            </w:tcBorders>
            <w:shd w:val="clear" w:color="auto" w:fill="auto"/>
            <w:noWrap/>
            <w:vAlign w:val="center"/>
            <w:hideMark/>
          </w:tcPr>
          <w:p w14:paraId="4F002F95" w14:textId="77777777" w:rsidR="007122C4" w:rsidRPr="00F21B0B" w:rsidRDefault="007122C4" w:rsidP="007122C4">
            <w:pPr>
              <w:spacing w:after="0" w:line="240" w:lineRule="auto"/>
              <w:ind w:firstLine="0"/>
              <w:contextualSpacing w:val="0"/>
              <w:jc w:val="left"/>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OPR (</w:t>
            </w:r>
            <w:proofErr w:type="spellStart"/>
            <w:r w:rsidRPr="00F21B0B">
              <w:rPr>
                <w:rFonts w:eastAsia="Times New Roman" w:cs="Times New Roman"/>
                <w:color w:val="000000"/>
                <w:sz w:val="20"/>
                <w:szCs w:val="20"/>
                <w:lang w:val="ru-RU" w:eastAsia="ru-RU"/>
              </w:rPr>
              <w:t>Oil</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prices</w:t>
            </w:r>
            <w:proofErr w:type="spellEnd"/>
            <w:r w:rsidRPr="00F21B0B">
              <w:rPr>
                <w:rFonts w:eastAsia="Times New Roman" w:cs="Times New Roman"/>
                <w:color w:val="000000"/>
                <w:sz w:val="20"/>
                <w:szCs w:val="20"/>
                <w:lang w:val="ru-RU" w:eastAsia="ru-RU"/>
              </w:rPr>
              <w:t>)</w:t>
            </w:r>
          </w:p>
        </w:tc>
        <w:tc>
          <w:tcPr>
            <w:tcW w:w="950" w:type="dxa"/>
            <w:tcBorders>
              <w:top w:val="nil"/>
              <w:left w:val="single" w:sz="4" w:space="0" w:color="auto"/>
              <w:bottom w:val="nil"/>
              <w:right w:val="nil"/>
            </w:tcBorders>
            <w:shd w:val="clear" w:color="auto" w:fill="auto"/>
            <w:noWrap/>
            <w:vAlign w:val="bottom"/>
            <w:hideMark/>
          </w:tcPr>
          <w:p w14:paraId="552E3DE5" w14:textId="7777777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0,06</w:t>
            </w:r>
          </w:p>
        </w:tc>
        <w:tc>
          <w:tcPr>
            <w:tcW w:w="1330" w:type="dxa"/>
            <w:tcBorders>
              <w:top w:val="nil"/>
              <w:left w:val="nil"/>
              <w:bottom w:val="nil"/>
              <w:right w:val="single" w:sz="4" w:space="0" w:color="auto"/>
            </w:tcBorders>
            <w:shd w:val="clear" w:color="auto" w:fill="auto"/>
            <w:noWrap/>
            <w:vAlign w:val="bottom"/>
            <w:hideMark/>
          </w:tcPr>
          <w:p w14:paraId="6A096111" w14:textId="494082BF"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0,14</w:t>
            </w:r>
          </w:p>
        </w:tc>
      </w:tr>
      <w:tr w:rsidR="007122C4" w:rsidRPr="00F21B0B" w14:paraId="3CA61A22" w14:textId="77777777" w:rsidTr="007122C4">
        <w:trPr>
          <w:trHeight w:val="300"/>
          <w:jc w:val="center"/>
        </w:trPr>
        <w:tc>
          <w:tcPr>
            <w:tcW w:w="3440" w:type="dxa"/>
            <w:tcBorders>
              <w:top w:val="nil"/>
              <w:left w:val="single" w:sz="4" w:space="0" w:color="auto"/>
              <w:bottom w:val="nil"/>
              <w:right w:val="nil"/>
            </w:tcBorders>
            <w:shd w:val="clear" w:color="auto" w:fill="auto"/>
            <w:noWrap/>
            <w:vAlign w:val="center"/>
            <w:hideMark/>
          </w:tcPr>
          <w:p w14:paraId="48056821" w14:textId="77777777" w:rsidR="007122C4" w:rsidRPr="00F21B0B" w:rsidRDefault="007122C4" w:rsidP="007122C4">
            <w:pPr>
              <w:spacing w:after="0" w:line="240" w:lineRule="auto"/>
              <w:ind w:firstLine="0"/>
              <w:contextualSpacing w:val="0"/>
              <w:jc w:val="left"/>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ft1 (</w:t>
            </w:r>
            <w:proofErr w:type="spellStart"/>
            <w:r w:rsidRPr="00F21B0B">
              <w:rPr>
                <w:rFonts w:eastAsia="Times New Roman" w:cs="Times New Roman"/>
                <w:color w:val="000000"/>
                <w:sz w:val="20"/>
                <w:szCs w:val="20"/>
                <w:lang w:val="ru-RU" w:eastAsia="ru-RU"/>
              </w:rPr>
              <w:t>Cash</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financing</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dummy</w:t>
            </w:r>
            <w:proofErr w:type="spellEnd"/>
            <w:r w:rsidRPr="00F21B0B">
              <w:rPr>
                <w:rFonts w:eastAsia="Times New Roman" w:cs="Times New Roman"/>
                <w:color w:val="000000"/>
                <w:sz w:val="20"/>
                <w:szCs w:val="20"/>
                <w:lang w:val="ru-RU" w:eastAsia="ru-RU"/>
              </w:rPr>
              <w:t>)</w:t>
            </w:r>
          </w:p>
        </w:tc>
        <w:tc>
          <w:tcPr>
            <w:tcW w:w="950" w:type="dxa"/>
            <w:tcBorders>
              <w:top w:val="nil"/>
              <w:left w:val="single" w:sz="4" w:space="0" w:color="auto"/>
              <w:bottom w:val="nil"/>
              <w:right w:val="nil"/>
            </w:tcBorders>
            <w:shd w:val="clear" w:color="auto" w:fill="auto"/>
            <w:noWrap/>
            <w:vAlign w:val="bottom"/>
            <w:hideMark/>
          </w:tcPr>
          <w:p w14:paraId="1278A30A" w14:textId="7777777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0,99</w:t>
            </w:r>
          </w:p>
        </w:tc>
        <w:tc>
          <w:tcPr>
            <w:tcW w:w="1330" w:type="dxa"/>
            <w:tcBorders>
              <w:top w:val="nil"/>
              <w:left w:val="nil"/>
              <w:bottom w:val="nil"/>
              <w:right w:val="single" w:sz="4" w:space="0" w:color="auto"/>
            </w:tcBorders>
            <w:shd w:val="clear" w:color="auto" w:fill="auto"/>
            <w:noWrap/>
            <w:vAlign w:val="bottom"/>
            <w:hideMark/>
          </w:tcPr>
          <w:p w14:paraId="3913836F" w14:textId="45A5083F"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0,15</w:t>
            </w:r>
          </w:p>
        </w:tc>
      </w:tr>
      <w:tr w:rsidR="007122C4" w:rsidRPr="00F21B0B" w14:paraId="484E174E" w14:textId="77777777" w:rsidTr="007122C4">
        <w:trPr>
          <w:trHeight w:val="300"/>
          <w:jc w:val="center"/>
        </w:trPr>
        <w:tc>
          <w:tcPr>
            <w:tcW w:w="3440" w:type="dxa"/>
            <w:tcBorders>
              <w:top w:val="nil"/>
              <w:left w:val="single" w:sz="4" w:space="0" w:color="auto"/>
              <w:bottom w:val="nil"/>
              <w:right w:val="nil"/>
            </w:tcBorders>
            <w:shd w:val="clear" w:color="auto" w:fill="auto"/>
            <w:noWrap/>
            <w:vAlign w:val="center"/>
            <w:hideMark/>
          </w:tcPr>
          <w:p w14:paraId="4B4557E7" w14:textId="77777777" w:rsidR="007122C4" w:rsidRPr="00F21B0B" w:rsidRDefault="007122C4" w:rsidP="007122C4">
            <w:pPr>
              <w:spacing w:after="0" w:line="240" w:lineRule="auto"/>
              <w:ind w:firstLine="0"/>
              <w:contextualSpacing w:val="0"/>
              <w:jc w:val="left"/>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ft2 (</w:t>
            </w:r>
            <w:proofErr w:type="spellStart"/>
            <w:r w:rsidRPr="00F21B0B">
              <w:rPr>
                <w:rFonts w:eastAsia="Times New Roman" w:cs="Times New Roman"/>
                <w:color w:val="000000"/>
                <w:sz w:val="20"/>
                <w:szCs w:val="20"/>
                <w:lang w:val="ru-RU" w:eastAsia="ru-RU"/>
              </w:rPr>
              <w:t>Stocks</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financing</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dummy</w:t>
            </w:r>
            <w:proofErr w:type="spellEnd"/>
            <w:r w:rsidRPr="00F21B0B">
              <w:rPr>
                <w:rFonts w:eastAsia="Times New Roman" w:cs="Times New Roman"/>
                <w:color w:val="000000"/>
                <w:sz w:val="20"/>
                <w:szCs w:val="20"/>
                <w:lang w:val="ru-RU" w:eastAsia="ru-RU"/>
              </w:rPr>
              <w:t>)</w:t>
            </w:r>
          </w:p>
        </w:tc>
        <w:tc>
          <w:tcPr>
            <w:tcW w:w="950" w:type="dxa"/>
            <w:tcBorders>
              <w:top w:val="nil"/>
              <w:left w:val="single" w:sz="4" w:space="0" w:color="auto"/>
              <w:bottom w:val="nil"/>
              <w:right w:val="nil"/>
            </w:tcBorders>
            <w:shd w:val="clear" w:color="auto" w:fill="auto"/>
            <w:noWrap/>
            <w:vAlign w:val="bottom"/>
            <w:hideMark/>
          </w:tcPr>
          <w:p w14:paraId="3E4A12AF" w14:textId="7777777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0,60</w:t>
            </w:r>
          </w:p>
        </w:tc>
        <w:tc>
          <w:tcPr>
            <w:tcW w:w="1330" w:type="dxa"/>
            <w:tcBorders>
              <w:top w:val="nil"/>
              <w:left w:val="nil"/>
              <w:bottom w:val="nil"/>
              <w:right w:val="single" w:sz="4" w:space="0" w:color="auto"/>
            </w:tcBorders>
            <w:shd w:val="clear" w:color="auto" w:fill="auto"/>
            <w:noWrap/>
            <w:vAlign w:val="bottom"/>
            <w:hideMark/>
          </w:tcPr>
          <w:p w14:paraId="3ABB8E47" w14:textId="3FAD3040"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-5,48</w:t>
            </w:r>
          </w:p>
        </w:tc>
      </w:tr>
      <w:tr w:rsidR="007122C4" w:rsidRPr="00F21B0B" w14:paraId="4C077CC7" w14:textId="77777777" w:rsidTr="007122C4">
        <w:trPr>
          <w:trHeight w:val="300"/>
          <w:jc w:val="center"/>
        </w:trPr>
        <w:tc>
          <w:tcPr>
            <w:tcW w:w="3440" w:type="dxa"/>
            <w:tcBorders>
              <w:top w:val="nil"/>
              <w:left w:val="single" w:sz="4" w:space="0" w:color="auto"/>
              <w:bottom w:val="single" w:sz="4" w:space="0" w:color="auto"/>
              <w:right w:val="nil"/>
            </w:tcBorders>
            <w:shd w:val="clear" w:color="auto" w:fill="auto"/>
            <w:noWrap/>
            <w:vAlign w:val="center"/>
            <w:hideMark/>
          </w:tcPr>
          <w:p w14:paraId="76E0D92F" w14:textId="77777777" w:rsidR="007122C4" w:rsidRPr="00F21B0B" w:rsidRDefault="007122C4" w:rsidP="007122C4">
            <w:pPr>
              <w:spacing w:after="0" w:line="240" w:lineRule="auto"/>
              <w:ind w:firstLine="0"/>
              <w:contextualSpacing w:val="0"/>
              <w:jc w:val="left"/>
              <w:rPr>
                <w:rFonts w:eastAsia="Times New Roman" w:cs="Times New Roman"/>
                <w:color w:val="000000"/>
                <w:sz w:val="20"/>
                <w:szCs w:val="20"/>
                <w:lang w:val="ru-RU" w:eastAsia="ru-RU"/>
              </w:rPr>
            </w:pPr>
            <w:proofErr w:type="spellStart"/>
            <w:r w:rsidRPr="00F21B0B">
              <w:rPr>
                <w:rFonts w:eastAsia="Times New Roman" w:cs="Times New Roman"/>
                <w:color w:val="000000"/>
                <w:sz w:val="20"/>
                <w:szCs w:val="20"/>
                <w:lang w:val="ru-RU" w:eastAsia="ru-RU"/>
              </w:rPr>
              <w:t>cons</w:t>
            </w:r>
            <w:proofErr w:type="spellEnd"/>
          </w:p>
        </w:tc>
        <w:tc>
          <w:tcPr>
            <w:tcW w:w="950" w:type="dxa"/>
            <w:tcBorders>
              <w:top w:val="nil"/>
              <w:left w:val="single" w:sz="4" w:space="0" w:color="auto"/>
              <w:bottom w:val="single" w:sz="4" w:space="0" w:color="auto"/>
              <w:right w:val="nil"/>
            </w:tcBorders>
            <w:shd w:val="clear" w:color="auto" w:fill="auto"/>
            <w:noWrap/>
            <w:vAlign w:val="bottom"/>
            <w:hideMark/>
          </w:tcPr>
          <w:p w14:paraId="2AF8D5B7" w14:textId="7777777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0,20</w:t>
            </w:r>
          </w:p>
        </w:tc>
        <w:tc>
          <w:tcPr>
            <w:tcW w:w="1330" w:type="dxa"/>
            <w:tcBorders>
              <w:top w:val="nil"/>
              <w:left w:val="nil"/>
              <w:bottom w:val="single" w:sz="4" w:space="0" w:color="auto"/>
              <w:right w:val="single" w:sz="4" w:space="0" w:color="auto"/>
            </w:tcBorders>
            <w:shd w:val="clear" w:color="auto" w:fill="auto"/>
            <w:noWrap/>
            <w:vAlign w:val="bottom"/>
            <w:hideMark/>
          </w:tcPr>
          <w:p w14:paraId="272B87DA" w14:textId="71962A7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-184,98</w:t>
            </w:r>
          </w:p>
        </w:tc>
      </w:tr>
    </w:tbl>
    <w:p w14:paraId="761DA1A8" w14:textId="77777777" w:rsidR="008E1BB6" w:rsidRPr="008E1BB6" w:rsidRDefault="008E1BB6" w:rsidP="008E1BB6"/>
    <w:p w14:paraId="28384E4A" w14:textId="3F4F08C4" w:rsidR="00182E12" w:rsidRDefault="00182E12" w:rsidP="004D2A38">
      <w:pPr>
        <w:tabs>
          <w:tab w:val="left" w:pos="0"/>
        </w:tabs>
      </w:pPr>
      <w:r>
        <w:t>To begin with another regression analysis for middle-run effect of working capital structure, we should start again with tests results. As previously this model lacks the heteroscedasticity and multicollinearity problems. At the same time F-test stated that the model has some explanatory power at 9</w:t>
      </w:r>
      <w:r w:rsidR="00F21B0B">
        <w:t>9</w:t>
      </w:r>
      <w:r>
        <w:t xml:space="preserve">% confidence level. As for the R-squared, its value is </w:t>
      </w:r>
      <w:r w:rsidR="00F21B0B">
        <w:t>still around</w:t>
      </w:r>
      <w:r>
        <w:t xml:space="preserve"> </w:t>
      </w:r>
      <w:r w:rsidR="00F21B0B">
        <w:t>68</w:t>
      </w:r>
      <w:r>
        <w:t xml:space="preserve">%. The summary of t-tests and interpretations of </w:t>
      </w:r>
      <w:proofErr w:type="spellStart"/>
      <w:r>
        <w:t>he</w:t>
      </w:r>
      <w:proofErr w:type="spellEnd"/>
      <w:r>
        <w:t xml:space="preserve"> individual variables will be summarized further on (</w:t>
      </w:r>
      <w:r w:rsidR="0031101A" w:rsidRPr="005223FD">
        <w:fldChar w:fldCharType="begin"/>
      </w:r>
      <w:r w:rsidR="0031101A" w:rsidRPr="005223FD">
        <w:instrText xml:space="preserve"> REF _Ref514671773 \r \h  \* MERGEFORMAT </w:instrText>
      </w:r>
      <w:r w:rsidR="0031101A" w:rsidRPr="005223FD">
        <w:fldChar w:fldCharType="separate"/>
      </w:r>
      <w:r w:rsidR="00154E78">
        <w:rPr>
          <w:b/>
          <w:bCs/>
          <w:lang w:val="ru-RU"/>
        </w:rPr>
        <w:t>Ошибка</w:t>
      </w:r>
      <w:r w:rsidR="00154E78" w:rsidRPr="00154E78">
        <w:rPr>
          <w:b/>
          <w:bCs/>
        </w:rPr>
        <w:t xml:space="preserve">! </w:t>
      </w:r>
      <w:r w:rsidR="00154E78">
        <w:rPr>
          <w:b/>
          <w:bCs/>
          <w:lang w:val="ru-RU"/>
        </w:rPr>
        <w:t>Источник ссылки не найден.</w:t>
      </w:r>
      <w:r w:rsidR="0031101A" w:rsidRPr="005223FD">
        <w:fldChar w:fldCharType="end"/>
      </w:r>
      <w:r>
        <w:t>).</w:t>
      </w:r>
    </w:p>
    <w:p w14:paraId="4763C55D" w14:textId="532C59A2" w:rsidR="00182E12" w:rsidRDefault="00182E12" w:rsidP="004D2A38">
      <w:pPr>
        <w:tabs>
          <w:tab w:val="left" w:pos="0"/>
        </w:tabs>
      </w:pPr>
      <w:r>
        <w:t>And the last regression analysis was performed to estimate the relationship between control factors and the long-run performance expressed in t+5 period of time for the same set of dependent variables. Summary of the last regression model is presented below (</w:t>
      </w:r>
      <w:r w:rsidR="00415B58" w:rsidRPr="00415B58">
        <w:fldChar w:fldCharType="begin"/>
      </w:r>
      <w:r w:rsidR="00415B58" w:rsidRPr="00415B58">
        <w:instrText xml:space="preserve"> REF _Ref514671820 \r \h </w:instrText>
      </w:r>
      <w:r w:rsidR="00415B58">
        <w:instrText xml:space="preserve"> \* MERGEFORMAT </w:instrText>
      </w:r>
      <w:r w:rsidR="00415B58" w:rsidRPr="00415B58">
        <w:fldChar w:fldCharType="separate"/>
      </w:r>
      <w:r w:rsidR="00154E78">
        <w:rPr>
          <w:b/>
          <w:bCs/>
          <w:lang w:val="ru-RU"/>
        </w:rPr>
        <w:t>Ошибка</w:t>
      </w:r>
      <w:r w:rsidR="00154E78" w:rsidRPr="00154E78">
        <w:rPr>
          <w:b/>
          <w:bCs/>
        </w:rPr>
        <w:t xml:space="preserve">! </w:t>
      </w:r>
      <w:r w:rsidR="00154E78">
        <w:rPr>
          <w:b/>
          <w:bCs/>
          <w:lang w:val="ru-RU"/>
        </w:rPr>
        <w:t>Источник ссылки не найден.</w:t>
      </w:r>
      <w:r w:rsidR="00415B58" w:rsidRPr="00415B58">
        <w:fldChar w:fldCharType="end"/>
      </w:r>
      <w:r>
        <w:t>).</w:t>
      </w:r>
    </w:p>
    <w:p w14:paraId="766B2447" w14:textId="00B83C1D" w:rsidR="00F21B0B" w:rsidRDefault="00F21B0B" w:rsidP="004D2A38">
      <w:pPr>
        <w:tabs>
          <w:tab w:val="left" w:pos="0"/>
        </w:tabs>
      </w:pPr>
    </w:p>
    <w:p w14:paraId="36E6CA26" w14:textId="3014F163" w:rsidR="00F21B0B" w:rsidRDefault="00F21B0B" w:rsidP="004D2A38">
      <w:pPr>
        <w:tabs>
          <w:tab w:val="left" w:pos="0"/>
        </w:tabs>
      </w:pPr>
    </w:p>
    <w:p w14:paraId="2E7D3264" w14:textId="7D97D3C5" w:rsidR="00F21B0B" w:rsidRDefault="00F21B0B" w:rsidP="004D2A38">
      <w:pPr>
        <w:tabs>
          <w:tab w:val="left" w:pos="0"/>
        </w:tabs>
      </w:pPr>
    </w:p>
    <w:p w14:paraId="44A4152B" w14:textId="54A91512" w:rsidR="00F21B0B" w:rsidRDefault="00F21B0B" w:rsidP="004D2A38">
      <w:pPr>
        <w:tabs>
          <w:tab w:val="left" w:pos="0"/>
        </w:tabs>
      </w:pPr>
    </w:p>
    <w:p w14:paraId="759A4640" w14:textId="77B52731" w:rsidR="00F21B0B" w:rsidRDefault="00F21B0B" w:rsidP="004D2A38">
      <w:pPr>
        <w:tabs>
          <w:tab w:val="left" w:pos="0"/>
        </w:tabs>
      </w:pPr>
    </w:p>
    <w:p w14:paraId="7BAD7656" w14:textId="1278C16F" w:rsidR="00F21B0B" w:rsidRDefault="00F21B0B" w:rsidP="004D2A38">
      <w:pPr>
        <w:tabs>
          <w:tab w:val="left" w:pos="0"/>
        </w:tabs>
      </w:pPr>
    </w:p>
    <w:p w14:paraId="3DA169F5" w14:textId="7283791C" w:rsidR="00F21B0B" w:rsidRDefault="00F21B0B" w:rsidP="004D2A38">
      <w:pPr>
        <w:tabs>
          <w:tab w:val="left" w:pos="0"/>
        </w:tabs>
      </w:pPr>
    </w:p>
    <w:p w14:paraId="38CA1C83" w14:textId="6AC4FD6F" w:rsidR="00F21B0B" w:rsidRDefault="00F21B0B" w:rsidP="004D2A38">
      <w:pPr>
        <w:tabs>
          <w:tab w:val="left" w:pos="0"/>
        </w:tabs>
      </w:pPr>
    </w:p>
    <w:p w14:paraId="223B8742" w14:textId="571F9EE6" w:rsidR="00F21B0B" w:rsidRDefault="00F21B0B" w:rsidP="004D2A38">
      <w:pPr>
        <w:tabs>
          <w:tab w:val="left" w:pos="0"/>
        </w:tabs>
      </w:pPr>
    </w:p>
    <w:p w14:paraId="731FB24C" w14:textId="77777777" w:rsidR="00F21B0B" w:rsidRDefault="00F21B0B" w:rsidP="004D2A38">
      <w:pPr>
        <w:tabs>
          <w:tab w:val="left" w:pos="0"/>
        </w:tabs>
      </w:pPr>
    </w:p>
    <w:p w14:paraId="1642E28B" w14:textId="3EA4AF3C" w:rsidR="005223FD" w:rsidRDefault="005223FD" w:rsidP="005223FD">
      <w:pPr>
        <w:pStyle w:val="a0"/>
        <w:tabs>
          <w:tab w:val="left" w:pos="0"/>
        </w:tabs>
        <w:ind w:left="0"/>
      </w:pPr>
      <w:r>
        <w:t>Working capital structure regression results for T+5</w:t>
      </w:r>
    </w:p>
    <w:tbl>
      <w:tblPr>
        <w:tblW w:w="0" w:type="auto"/>
        <w:jc w:val="center"/>
        <w:tblLook w:val="04A0" w:firstRow="1" w:lastRow="0" w:firstColumn="1" w:lastColumn="0" w:noHBand="0" w:noVBand="1"/>
      </w:tblPr>
      <w:tblGrid>
        <w:gridCol w:w="3681"/>
        <w:gridCol w:w="1134"/>
        <w:gridCol w:w="1345"/>
      </w:tblGrid>
      <w:tr w:rsidR="00F21B0B" w:rsidRPr="00F21B0B" w14:paraId="653A58C2" w14:textId="77777777" w:rsidTr="007122C4">
        <w:trPr>
          <w:trHeight w:val="300"/>
          <w:jc w:val="center"/>
        </w:trPr>
        <w:tc>
          <w:tcPr>
            <w:tcW w:w="3681" w:type="dxa"/>
            <w:tcBorders>
              <w:top w:val="single" w:sz="4" w:space="0" w:color="auto"/>
              <w:left w:val="single" w:sz="4" w:space="0" w:color="auto"/>
              <w:bottom w:val="nil"/>
              <w:right w:val="nil"/>
            </w:tcBorders>
            <w:shd w:val="clear" w:color="auto" w:fill="auto"/>
            <w:noWrap/>
            <w:vAlign w:val="center"/>
            <w:hideMark/>
          </w:tcPr>
          <w:p w14:paraId="622E9A8C" w14:textId="77777777" w:rsidR="00F21B0B" w:rsidRPr="00F21B0B" w:rsidRDefault="00F21B0B" w:rsidP="00F21B0B">
            <w:pPr>
              <w:spacing w:after="0" w:line="240" w:lineRule="auto"/>
              <w:ind w:firstLine="0"/>
              <w:contextualSpacing w:val="0"/>
              <w:jc w:val="left"/>
              <w:rPr>
                <w:rFonts w:eastAsia="Times New Roman" w:cs="Times New Roman"/>
                <w:color w:val="000000"/>
                <w:sz w:val="20"/>
                <w:szCs w:val="20"/>
                <w:lang w:val="ru-RU" w:eastAsia="ru-RU"/>
              </w:rPr>
            </w:pPr>
            <w:proofErr w:type="spellStart"/>
            <w:r w:rsidRPr="00F21B0B">
              <w:rPr>
                <w:rFonts w:eastAsia="Times New Roman" w:cs="Times New Roman"/>
                <w:color w:val="000000"/>
                <w:sz w:val="20"/>
                <w:szCs w:val="20"/>
                <w:lang w:val="ru-RU" w:eastAsia="ru-RU"/>
              </w:rPr>
              <w:t>Number</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of</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observations</w:t>
            </w:r>
            <w:proofErr w:type="spellEnd"/>
          </w:p>
        </w:tc>
        <w:tc>
          <w:tcPr>
            <w:tcW w:w="2479"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30EBE844" w14:textId="77777777" w:rsidR="00F21B0B" w:rsidRPr="00F21B0B" w:rsidRDefault="00F21B0B" w:rsidP="00F21B0B">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123</w:t>
            </w:r>
          </w:p>
        </w:tc>
      </w:tr>
      <w:tr w:rsidR="00F21B0B" w:rsidRPr="00F21B0B" w14:paraId="7F1C7124" w14:textId="77777777" w:rsidTr="007122C4">
        <w:trPr>
          <w:trHeight w:val="300"/>
          <w:jc w:val="center"/>
        </w:trPr>
        <w:tc>
          <w:tcPr>
            <w:tcW w:w="3681" w:type="dxa"/>
            <w:tcBorders>
              <w:top w:val="nil"/>
              <w:left w:val="single" w:sz="4" w:space="0" w:color="auto"/>
              <w:bottom w:val="nil"/>
              <w:right w:val="nil"/>
            </w:tcBorders>
            <w:shd w:val="clear" w:color="auto" w:fill="auto"/>
            <w:noWrap/>
            <w:vAlign w:val="center"/>
            <w:hideMark/>
          </w:tcPr>
          <w:p w14:paraId="0A6C0570" w14:textId="77777777" w:rsidR="00F21B0B" w:rsidRPr="00F21B0B" w:rsidRDefault="00F21B0B" w:rsidP="00F21B0B">
            <w:pPr>
              <w:spacing w:after="0" w:line="240" w:lineRule="auto"/>
              <w:ind w:firstLine="0"/>
              <w:contextualSpacing w:val="0"/>
              <w:jc w:val="left"/>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F-</w:t>
            </w:r>
            <w:proofErr w:type="spellStart"/>
            <w:r w:rsidRPr="00F21B0B">
              <w:rPr>
                <w:rFonts w:eastAsia="Times New Roman" w:cs="Times New Roman"/>
                <w:color w:val="000000"/>
                <w:sz w:val="20"/>
                <w:szCs w:val="20"/>
                <w:lang w:val="ru-RU" w:eastAsia="ru-RU"/>
              </w:rPr>
              <w:t>test</w:t>
            </w:r>
            <w:proofErr w:type="spellEnd"/>
            <w:r w:rsidRPr="00F21B0B">
              <w:rPr>
                <w:rFonts w:eastAsia="Times New Roman" w:cs="Times New Roman"/>
                <w:color w:val="000000"/>
                <w:sz w:val="20"/>
                <w:szCs w:val="20"/>
                <w:lang w:val="ru-RU" w:eastAsia="ru-RU"/>
              </w:rPr>
              <w:t>, p-</w:t>
            </w:r>
            <w:proofErr w:type="spellStart"/>
            <w:r w:rsidRPr="00F21B0B">
              <w:rPr>
                <w:rFonts w:eastAsia="Times New Roman" w:cs="Times New Roman"/>
                <w:color w:val="000000"/>
                <w:sz w:val="20"/>
                <w:szCs w:val="20"/>
                <w:lang w:val="ru-RU" w:eastAsia="ru-RU"/>
              </w:rPr>
              <w:t>value</w:t>
            </w:r>
            <w:proofErr w:type="spellEnd"/>
          </w:p>
        </w:tc>
        <w:tc>
          <w:tcPr>
            <w:tcW w:w="2479" w:type="dxa"/>
            <w:gridSpan w:val="2"/>
            <w:tcBorders>
              <w:top w:val="nil"/>
              <w:left w:val="single" w:sz="4" w:space="0" w:color="auto"/>
              <w:bottom w:val="nil"/>
              <w:right w:val="single" w:sz="4" w:space="0" w:color="000000"/>
            </w:tcBorders>
            <w:shd w:val="clear" w:color="auto" w:fill="auto"/>
            <w:noWrap/>
            <w:vAlign w:val="bottom"/>
            <w:hideMark/>
          </w:tcPr>
          <w:p w14:paraId="6D194FEF" w14:textId="77777777" w:rsidR="00F21B0B" w:rsidRPr="00F21B0B" w:rsidRDefault="00F21B0B" w:rsidP="00F21B0B">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0,00</w:t>
            </w:r>
          </w:p>
        </w:tc>
      </w:tr>
      <w:tr w:rsidR="00F21B0B" w:rsidRPr="00F21B0B" w14:paraId="6DD09E66" w14:textId="77777777" w:rsidTr="007122C4">
        <w:trPr>
          <w:trHeight w:val="330"/>
          <w:jc w:val="center"/>
        </w:trPr>
        <w:tc>
          <w:tcPr>
            <w:tcW w:w="3681" w:type="dxa"/>
            <w:tcBorders>
              <w:top w:val="nil"/>
              <w:left w:val="single" w:sz="4" w:space="0" w:color="auto"/>
              <w:bottom w:val="single" w:sz="4" w:space="0" w:color="auto"/>
              <w:right w:val="nil"/>
            </w:tcBorders>
            <w:shd w:val="clear" w:color="auto" w:fill="auto"/>
            <w:noWrap/>
            <w:vAlign w:val="bottom"/>
            <w:hideMark/>
          </w:tcPr>
          <w:p w14:paraId="012D72E2" w14:textId="77777777" w:rsidR="00F21B0B" w:rsidRPr="00F21B0B" w:rsidRDefault="00F21B0B" w:rsidP="00F21B0B">
            <w:pPr>
              <w:spacing w:after="0" w:line="240" w:lineRule="auto"/>
              <w:ind w:firstLine="0"/>
              <w:contextualSpacing w:val="0"/>
              <w:jc w:val="left"/>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R</w:t>
            </w:r>
            <w:r w:rsidRPr="00F21B0B">
              <w:rPr>
                <w:rFonts w:eastAsia="Times New Roman" w:cs="Times New Roman"/>
                <w:color w:val="000000"/>
                <w:sz w:val="20"/>
                <w:szCs w:val="20"/>
                <w:vertAlign w:val="superscript"/>
                <w:lang w:val="ru-RU" w:eastAsia="ru-RU"/>
              </w:rPr>
              <w:t>2</w:t>
            </w:r>
          </w:p>
        </w:tc>
        <w:tc>
          <w:tcPr>
            <w:tcW w:w="2479"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479D04DE" w14:textId="57478770" w:rsidR="00F21B0B" w:rsidRPr="00F21B0B" w:rsidRDefault="00F21B0B" w:rsidP="00F21B0B">
            <w:pPr>
              <w:spacing w:after="0" w:line="240" w:lineRule="auto"/>
              <w:ind w:firstLine="0"/>
              <w:contextualSpacing w:val="0"/>
              <w:jc w:val="center"/>
              <w:rPr>
                <w:rFonts w:eastAsia="Times New Roman" w:cs="Times New Roman"/>
                <w:color w:val="000000"/>
                <w:sz w:val="20"/>
                <w:szCs w:val="20"/>
                <w:lang w:eastAsia="ru-RU"/>
              </w:rPr>
            </w:pPr>
            <w:r w:rsidRPr="00F21B0B">
              <w:rPr>
                <w:rFonts w:eastAsia="Times New Roman" w:cs="Times New Roman"/>
                <w:color w:val="000000"/>
                <w:sz w:val="20"/>
                <w:szCs w:val="20"/>
                <w:lang w:val="ru-RU" w:eastAsia="ru-RU"/>
              </w:rPr>
              <w:t>0,6</w:t>
            </w:r>
            <w:r w:rsidR="007122C4">
              <w:rPr>
                <w:rFonts w:eastAsia="Times New Roman" w:cs="Times New Roman"/>
                <w:color w:val="000000"/>
                <w:sz w:val="20"/>
                <w:szCs w:val="20"/>
                <w:lang w:eastAsia="ru-RU"/>
              </w:rPr>
              <w:t>9</w:t>
            </w:r>
          </w:p>
        </w:tc>
      </w:tr>
      <w:tr w:rsidR="00F21B0B" w:rsidRPr="00F21B0B" w14:paraId="6BBD9818" w14:textId="77777777" w:rsidTr="007122C4">
        <w:trPr>
          <w:trHeight w:val="300"/>
          <w:jc w:val="center"/>
        </w:trPr>
        <w:tc>
          <w:tcPr>
            <w:tcW w:w="3681" w:type="dxa"/>
            <w:tcBorders>
              <w:top w:val="nil"/>
              <w:left w:val="single" w:sz="4" w:space="0" w:color="auto"/>
              <w:bottom w:val="single" w:sz="4" w:space="0" w:color="auto"/>
              <w:right w:val="nil"/>
            </w:tcBorders>
            <w:shd w:val="clear" w:color="auto" w:fill="auto"/>
            <w:noWrap/>
            <w:vAlign w:val="center"/>
            <w:hideMark/>
          </w:tcPr>
          <w:p w14:paraId="7759ADFB" w14:textId="77777777" w:rsidR="00F21B0B" w:rsidRPr="00F21B0B" w:rsidRDefault="00F21B0B" w:rsidP="00F21B0B">
            <w:pPr>
              <w:spacing w:after="0" w:line="240" w:lineRule="auto"/>
              <w:ind w:firstLine="0"/>
              <w:contextualSpacing w:val="0"/>
              <w:jc w:val="left"/>
              <w:rPr>
                <w:rFonts w:eastAsia="Times New Roman" w:cs="Times New Roman"/>
                <w:b/>
                <w:bCs/>
                <w:color w:val="000000"/>
                <w:sz w:val="20"/>
                <w:szCs w:val="20"/>
                <w:lang w:val="ru-RU" w:eastAsia="ru-RU"/>
              </w:rPr>
            </w:pPr>
            <w:r w:rsidRPr="00F21B0B">
              <w:rPr>
                <w:rFonts w:eastAsia="Times New Roman" w:cs="Times New Roman"/>
                <w:b/>
                <w:bCs/>
                <w:color w:val="000000"/>
                <w:sz w:val="20"/>
                <w:szCs w:val="20"/>
                <w:lang w:val="ru-RU" w:eastAsia="ru-RU"/>
              </w:rPr>
              <w:t>CTQ</w:t>
            </w:r>
          </w:p>
        </w:tc>
        <w:tc>
          <w:tcPr>
            <w:tcW w:w="1134" w:type="dxa"/>
            <w:tcBorders>
              <w:top w:val="nil"/>
              <w:left w:val="single" w:sz="4" w:space="0" w:color="auto"/>
              <w:bottom w:val="single" w:sz="4" w:space="0" w:color="auto"/>
              <w:right w:val="nil"/>
            </w:tcBorders>
            <w:shd w:val="clear" w:color="auto" w:fill="auto"/>
            <w:noWrap/>
            <w:vAlign w:val="bottom"/>
            <w:hideMark/>
          </w:tcPr>
          <w:p w14:paraId="46746AFF" w14:textId="77777777" w:rsidR="00F21B0B" w:rsidRPr="00F21B0B" w:rsidRDefault="00F21B0B" w:rsidP="00F21B0B">
            <w:pPr>
              <w:spacing w:after="0" w:line="240" w:lineRule="auto"/>
              <w:ind w:firstLine="0"/>
              <w:contextualSpacing w:val="0"/>
              <w:jc w:val="center"/>
              <w:rPr>
                <w:rFonts w:eastAsia="Times New Roman" w:cs="Times New Roman"/>
                <w:b/>
                <w:bCs/>
                <w:color w:val="000000"/>
                <w:sz w:val="20"/>
                <w:szCs w:val="20"/>
                <w:lang w:val="ru-RU" w:eastAsia="ru-RU"/>
              </w:rPr>
            </w:pPr>
            <w:r w:rsidRPr="00F21B0B">
              <w:rPr>
                <w:rFonts w:eastAsia="Times New Roman" w:cs="Times New Roman"/>
                <w:b/>
                <w:bCs/>
                <w:color w:val="000000"/>
                <w:sz w:val="20"/>
                <w:szCs w:val="20"/>
                <w:lang w:val="ru-RU" w:eastAsia="ru-RU"/>
              </w:rPr>
              <w:t>p-</w:t>
            </w:r>
            <w:proofErr w:type="spellStart"/>
            <w:r w:rsidRPr="00F21B0B">
              <w:rPr>
                <w:rFonts w:eastAsia="Times New Roman" w:cs="Times New Roman"/>
                <w:b/>
                <w:bCs/>
                <w:color w:val="000000"/>
                <w:sz w:val="20"/>
                <w:szCs w:val="20"/>
                <w:lang w:val="ru-RU" w:eastAsia="ru-RU"/>
              </w:rPr>
              <w:t>value</w:t>
            </w:r>
            <w:proofErr w:type="spellEnd"/>
          </w:p>
        </w:tc>
        <w:tc>
          <w:tcPr>
            <w:tcW w:w="1345" w:type="dxa"/>
            <w:tcBorders>
              <w:top w:val="nil"/>
              <w:left w:val="nil"/>
              <w:bottom w:val="single" w:sz="4" w:space="0" w:color="auto"/>
              <w:right w:val="single" w:sz="4" w:space="0" w:color="auto"/>
            </w:tcBorders>
            <w:shd w:val="clear" w:color="auto" w:fill="auto"/>
            <w:noWrap/>
            <w:vAlign w:val="bottom"/>
            <w:hideMark/>
          </w:tcPr>
          <w:p w14:paraId="7B39995E" w14:textId="77777777" w:rsidR="00F21B0B" w:rsidRPr="00F21B0B" w:rsidRDefault="00F21B0B" w:rsidP="00F21B0B">
            <w:pPr>
              <w:spacing w:after="0" w:line="240" w:lineRule="auto"/>
              <w:ind w:firstLine="0"/>
              <w:contextualSpacing w:val="0"/>
              <w:jc w:val="left"/>
              <w:rPr>
                <w:rFonts w:eastAsia="Times New Roman" w:cs="Times New Roman"/>
                <w:b/>
                <w:bCs/>
                <w:color w:val="000000"/>
                <w:sz w:val="20"/>
                <w:szCs w:val="20"/>
                <w:lang w:val="ru-RU" w:eastAsia="ru-RU"/>
              </w:rPr>
            </w:pPr>
            <w:proofErr w:type="spellStart"/>
            <w:r w:rsidRPr="00F21B0B">
              <w:rPr>
                <w:rFonts w:eastAsia="Times New Roman" w:cs="Times New Roman"/>
                <w:b/>
                <w:bCs/>
                <w:color w:val="000000"/>
                <w:sz w:val="20"/>
                <w:szCs w:val="20"/>
                <w:lang w:val="ru-RU" w:eastAsia="ru-RU"/>
              </w:rPr>
              <w:t>Coefficients</w:t>
            </w:r>
            <w:proofErr w:type="spellEnd"/>
          </w:p>
        </w:tc>
      </w:tr>
      <w:tr w:rsidR="007122C4" w:rsidRPr="00F21B0B" w14:paraId="3BC53DA4" w14:textId="77777777" w:rsidTr="007122C4">
        <w:trPr>
          <w:trHeight w:val="300"/>
          <w:jc w:val="center"/>
        </w:trPr>
        <w:tc>
          <w:tcPr>
            <w:tcW w:w="3681" w:type="dxa"/>
            <w:tcBorders>
              <w:top w:val="nil"/>
              <w:left w:val="single" w:sz="4" w:space="0" w:color="auto"/>
              <w:bottom w:val="nil"/>
              <w:right w:val="nil"/>
            </w:tcBorders>
            <w:shd w:val="clear" w:color="auto" w:fill="auto"/>
            <w:noWrap/>
            <w:vAlign w:val="center"/>
            <w:hideMark/>
          </w:tcPr>
          <w:p w14:paraId="6380AEC0" w14:textId="77777777" w:rsidR="007122C4" w:rsidRPr="00F21B0B" w:rsidRDefault="007122C4" w:rsidP="007122C4">
            <w:pPr>
              <w:spacing w:after="0" w:line="240" w:lineRule="auto"/>
              <w:ind w:firstLine="0"/>
              <w:contextualSpacing w:val="0"/>
              <w:jc w:val="left"/>
              <w:rPr>
                <w:rFonts w:eastAsia="Times New Roman" w:cs="Times New Roman"/>
                <w:color w:val="000000"/>
                <w:sz w:val="20"/>
                <w:szCs w:val="20"/>
                <w:lang w:eastAsia="ru-RU"/>
              </w:rPr>
            </w:pPr>
            <w:r w:rsidRPr="00F21B0B">
              <w:rPr>
                <w:rFonts w:eastAsia="Times New Roman" w:cs="Times New Roman"/>
                <w:color w:val="000000"/>
                <w:sz w:val="20"/>
                <w:szCs w:val="20"/>
                <w:lang w:eastAsia="ru-RU"/>
              </w:rPr>
              <w:t>AR (Days in Accounts receivables)</w:t>
            </w:r>
          </w:p>
        </w:tc>
        <w:tc>
          <w:tcPr>
            <w:tcW w:w="1134" w:type="dxa"/>
            <w:tcBorders>
              <w:top w:val="nil"/>
              <w:left w:val="single" w:sz="4" w:space="0" w:color="auto"/>
              <w:bottom w:val="nil"/>
              <w:right w:val="nil"/>
            </w:tcBorders>
            <w:shd w:val="clear" w:color="auto" w:fill="auto"/>
            <w:noWrap/>
            <w:vAlign w:val="bottom"/>
            <w:hideMark/>
          </w:tcPr>
          <w:p w14:paraId="5ABCFA74" w14:textId="7777777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0,03</w:t>
            </w:r>
          </w:p>
        </w:tc>
        <w:tc>
          <w:tcPr>
            <w:tcW w:w="1345" w:type="dxa"/>
            <w:tcBorders>
              <w:top w:val="nil"/>
              <w:left w:val="nil"/>
              <w:bottom w:val="nil"/>
              <w:right w:val="single" w:sz="4" w:space="0" w:color="auto"/>
            </w:tcBorders>
            <w:shd w:val="clear" w:color="auto" w:fill="auto"/>
            <w:noWrap/>
            <w:vAlign w:val="bottom"/>
            <w:hideMark/>
          </w:tcPr>
          <w:p w14:paraId="1EE113E7" w14:textId="084E082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-0,03</w:t>
            </w:r>
          </w:p>
        </w:tc>
      </w:tr>
      <w:tr w:rsidR="007122C4" w:rsidRPr="00F21B0B" w14:paraId="4D22DFFC" w14:textId="77777777" w:rsidTr="007122C4">
        <w:trPr>
          <w:trHeight w:val="300"/>
          <w:jc w:val="center"/>
        </w:trPr>
        <w:tc>
          <w:tcPr>
            <w:tcW w:w="3681" w:type="dxa"/>
            <w:tcBorders>
              <w:top w:val="nil"/>
              <w:left w:val="single" w:sz="4" w:space="0" w:color="auto"/>
              <w:bottom w:val="nil"/>
              <w:right w:val="nil"/>
            </w:tcBorders>
            <w:shd w:val="clear" w:color="auto" w:fill="auto"/>
            <w:noWrap/>
            <w:vAlign w:val="center"/>
            <w:hideMark/>
          </w:tcPr>
          <w:p w14:paraId="18DA8350" w14:textId="77777777" w:rsidR="007122C4" w:rsidRPr="00F21B0B" w:rsidRDefault="007122C4" w:rsidP="007122C4">
            <w:pPr>
              <w:spacing w:after="0" w:line="240" w:lineRule="auto"/>
              <w:ind w:firstLine="0"/>
              <w:contextualSpacing w:val="0"/>
              <w:jc w:val="left"/>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AR2 (</w:t>
            </w:r>
            <w:proofErr w:type="spellStart"/>
            <w:r w:rsidRPr="00F21B0B">
              <w:rPr>
                <w:rFonts w:eastAsia="Times New Roman" w:cs="Times New Roman"/>
                <w:color w:val="000000"/>
                <w:sz w:val="20"/>
                <w:szCs w:val="20"/>
                <w:lang w:val="ru-RU" w:eastAsia="ru-RU"/>
              </w:rPr>
              <w:t>Quadratic</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term</w:t>
            </w:r>
            <w:proofErr w:type="spellEnd"/>
            <w:r w:rsidRPr="00F21B0B">
              <w:rPr>
                <w:rFonts w:eastAsia="Times New Roman" w:cs="Times New Roman"/>
                <w:color w:val="000000"/>
                <w:sz w:val="20"/>
                <w:szCs w:val="20"/>
                <w:lang w:val="ru-RU" w:eastAsia="ru-RU"/>
              </w:rPr>
              <w:t>)</w:t>
            </w:r>
          </w:p>
        </w:tc>
        <w:tc>
          <w:tcPr>
            <w:tcW w:w="1134" w:type="dxa"/>
            <w:tcBorders>
              <w:top w:val="nil"/>
              <w:left w:val="single" w:sz="4" w:space="0" w:color="auto"/>
              <w:bottom w:val="nil"/>
              <w:right w:val="nil"/>
            </w:tcBorders>
            <w:shd w:val="clear" w:color="auto" w:fill="auto"/>
            <w:noWrap/>
            <w:vAlign w:val="bottom"/>
            <w:hideMark/>
          </w:tcPr>
          <w:p w14:paraId="11EC5986" w14:textId="7777777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0,22</w:t>
            </w:r>
          </w:p>
        </w:tc>
        <w:tc>
          <w:tcPr>
            <w:tcW w:w="1345" w:type="dxa"/>
            <w:tcBorders>
              <w:top w:val="nil"/>
              <w:left w:val="nil"/>
              <w:bottom w:val="nil"/>
              <w:right w:val="single" w:sz="4" w:space="0" w:color="auto"/>
            </w:tcBorders>
            <w:shd w:val="clear" w:color="auto" w:fill="auto"/>
            <w:noWrap/>
            <w:vAlign w:val="bottom"/>
            <w:hideMark/>
          </w:tcPr>
          <w:p w14:paraId="33332BC4" w14:textId="4D9BB0FD"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-0,01</w:t>
            </w:r>
          </w:p>
        </w:tc>
      </w:tr>
      <w:tr w:rsidR="007122C4" w:rsidRPr="00F21B0B" w14:paraId="6C2C49CA" w14:textId="77777777" w:rsidTr="007122C4">
        <w:trPr>
          <w:trHeight w:val="255"/>
          <w:jc w:val="center"/>
        </w:trPr>
        <w:tc>
          <w:tcPr>
            <w:tcW w:w="3681" w:type="dxa"/>
            <w:tcBorders>
              <w:top w:val="nil"/>
              <w:left w:val="single" w:sz="4" w:space="0" w:color="auto"/>
              <w:bottom w:val="nil"/>
              <w:right w:val="nil"/>
            </w:tcBorders>
            <w:shd w:val="clear" w:color="auto" w:fill="auto"/>
            <w:noWrap/>
            <w:vAlign w:val="center"/>
            <w:hideMark/>
          </w:tcPr>
          <w:p w14:paraId="4DF7A1F5" w14:textId="77777777" w:rsidR="007122C4" w:rsidRPr="00F21B0B" w:rsidRDefault="007122C4" w:rsidP="007122C4">
            <w:pPr>
              <w:spacing w:after="0" w:line="240" w:lineRule="auto"/>
              <w:ind w:firstLine="0"/>
              <w:contextualSpacing w:val="0"/>
              <w:jc w:val="left"/>
              <w:rPr>
                <w:rFonts w:eastAsia="Times New Roman" w:cs="Times New Roman"/>
                <w:color w:val="000000"/>
                <w:sz w:val="20"/>
                <w:szCs w:val="20"/>
                <w:lang w:val="ru-RU" w:eastAsia="ru-RU"/>
              </w:rPr>
            </w:pPr>
            <w:proofErr w:type="spellStart"/>
            <w:r w:rsidRPr="00F21B0B">
              <w:rPr>
                <w:rFonts w:eastAsia="Times New Roman" w:cs="Times New Roman"/>
                <w:color w:val="000000"/>
                <w:sz w:val="20"/>
                <w:szCs w:val="20"/>
                <w:lang w:val="ru-RU" w:eastAsia="ru-RU"/>
              </w:rPr>
              <w:t>Inv</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Days</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in</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inventories</w:t>
            </w:r>
            <w:proofErr w:type="spellEnd"/>
            <w:r w:rsidRPr="00F21B0B">
              <w:rPr>
                <w:rFonts w:eastAsia="Times New Roman" w:cs="Times New Roman"/>
                <w:color w:val="000000"/>
                <w:sz w:val="20"/>
                <w:szCs w:val="20"/>
                <w:lang w:val="ru-RU" w:eastAsia="ru-RU"/>
              </w:rPr>
              <w:t>)</w:t>
            </w:r>
          </w:p>
        </w:tc>
        <w:tc>
          <w:tcPr>
            <w:tcW w:w="1134" w:type="dxa"/>
            <w:tcBorders>
              <w:top w:val="nil"/>
              <w:left w:val="single" w:sz="4" w:space="0" w:color="auto"/>
              <w:bottom w:val="nil"/>
              <w:right w:val="nil"/>
            </w:tcBorders>
            <w:shd w:val="clear" w:color="auto" w:fill="auto"/>
            <w:noWrap/>
            <w:vAlign w:val="bottom"/>
            <w:hideMark/>
          </w:tcPr>
          <w:p w14:paraId="300D24EC" w14:textId="7777777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0,02</w:t>
            </w:r>
          </w:p>
        </w:tc>
        <w:tc>
          <w:tcPr>
            <w:tcW w:w="1345" w:type="dxa"/>
            <w:tcBorders>
              <w:top w:val="nil"/>
              <w:left w:val="nil"/>
              <w:bottom w:val="nil"/>
              <w:right w:val="single" w:sz="4" w:space="0" w:color="auto"/>
            </w:tcBorders>
            <w:shd w:val="clear" w:color="auto" w:fill="auto"/>
            <w:noWrap/>
            <w:vAlign w:val="bottom"/>
            <w:hideMark/>
          </w:tcPr>
          <w:p w14:paraId="034E4150" w14:textId="360FDA8B"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-0,96</w:t>
            </w:r>
          </w:p>
        </w:tc>
      </w:tr>
      <w:tr w:rsidR="007122C4" w:rsidRPr="00F21B0B" w14:paraId="0B42582F" w14:textId="77777777" w:rsidTr="007122C4">
        <w:trPr>
          <w:trHeight w:val="255"/>
          <w:jc w:val="center"/>
        </w:trPr>
        <w:tc>
          <w:tcPr>
            <w:tcW w:w="3681" w:type="dxa"/>
            <w:tcBorders>
              <w:top w:val="nil"/>
              <w:left w:val="single" w:sz="4" w:space="0" w:color="auto"/>
              <w:bottom w:val="nil"/>
              <w:right w:val="nil"/>
            </w:tcBorders>
            <w:shd w:val="clear" w:color="auto" w:fill="auto"/>
            <w:noWrap/>
            <w:vAlign w:val="center"/>
            <w:hideMark/>
          </w:tcPr>
          <w:p w14:paraId="7A17BF45" w14:textId="77777777" w:rsidR="007122C4" w:rsidRPr="00F21B0B" w:rsidRDefault="007122C4" w:rsidP="007122C4">
            <w:pPr>
              <w:spacing w:after="0" w:line="240" w:lineRule="auto"/>
              <w:ind w:firstLine="0"/>
              <w:contextualSpacing w:val="0"/>
              <w:jc w:val="left"/>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Inv2 (</w:t>
            </w:r>
            <w:proofErr w:type="spellStart"/>
            <w:r w:rsidRPr="00F21B0B">
              <w:rPr>
                <w:rFonts w:eastAsia="Times New Roman" w:cs="Times New Roman"/>
                <w:color w:val="000000"/>
                <w:sz w:val="20"/>
                <w:szCs w:val="20"/>
                <w:lang w:val="ru-RU" w:eastAsia="ru-RU"/>
              </w:rPr>
              <w:t>Quadratic</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term</w:t>
            </w:r>
            <w:proofErr w:type="spellEnd"/>
            <w:r w:rsidRPr="00F21B0B">
              <w:rPr>
                <w:rFonts w:eastAsia="Times New Roman" w:cs="Times New Roman"/>
                <w:color w:val="000000"/>
                <w:sz w:val="20"/>
                <w:szCs w:val="20"/>
                <w:lang w:val="ru-RU" w:eastAsia="ru-RU"/>
              </w:rPr>
              <w:t>)</w:t>
            </w:r>
          </w:p>
        </w:tc>
        <w:tc>
          <w:tcPr>
            <w:tcW w:w="1134" w:type="dxa"/>
            <w:tcBorders>
              <w:top w:val="nil"/>
              <w:left w:val="single" w:sz="4" w:space="0" w:color="auto"/>
              <w:bottom w:val="nil"/>
              <w:right w:val="nil"/>
            </w:tcBorders>
            <w:shd w:val="clear" w:color="auto" w:fill="auto"/>
            <w:noWrap/>
            <w:vAlign w:val="bottom"/>
            <w:hideMark/>
          </w:tcPr>
          <w:p w14:paraId="7C11B8C4" w14:textId="7777777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0,16</w:t>
            </w:r>
          </w:p>
        </w:tc>
        <w:tc>
          <w:tcPr>
            <w:tcW w:w="1345" w:type="dxa"/>
            <w:tcBorders>
              <w:top w:val="nil"/>
              <w:left w:val="nil"/>
              <w:bottom w:val="nil"/>
              <w:right w:val="single" w:sz="4" w:space="0" w:color="auto"/>
            </w:tcBorders>
            <w:shd w:val="clear" w:color="auto" w:fill="auto"/>
            <w:noWrap/>
            <w:vAlign w:val="bottom"/>
            <w:hideMark/>
          </w:tcPr>
          <w:p w14:paraId="4EEA3D66" w14:textId="4135246F"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0,01</w:t>
            </w:r>
          </w:p>
        </w:tc>
      </w:tr>
      <w:tr w:rsidR="007122C4" w:rsidRPr="00F21B0B" w14:paraId="2427602C" w14:textId="77777777" w:rsidTr="007122C4">
        <w:trPr>
          <w:trHeight w:val="255"/>
          <w:jc w:val="center"/>
        </w:trPr>
        <w:tc>
          <w:tcPr>
            <w:tcW w:w="3681" w:type="dxa"/>
            <w:tcBorders>
              <w:top w:val="nil"/>
              <w:left w:val="single" w:sz="4" w:space="0" w:color="auto"/>
              <w:bottom w:val="nil"/>
              <w:right w:val="nil"/>
            </w:tcBorders>
            <w:shd w:val="clear" w:color="auto" w:fill="auto"/>
            <w:noWrap/>
            <w:vAlign w:val="center"/>
            <w:hideMark/>
          </w:tcPr>
          <w:p w14:paraId="0B3DCCA8" w14:textId="77777777" w:rsidR="007122C4" w:rsidRPr="00F21B0B" w:rsidRDefault="007122C4" w:rsidP="007122C4">
            <w:pPr>
              <w:spacing w:after="0" w:line="240" w:lineRule="auto"/>
              <w:ind w:firstLine="0"/>
              <w:contextualSpacing w:val="0"/>
              <w:jc w:val="left"/>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AP (</w:t>
            </w:r>
            <w:proofErr w:type="spellStart"/>
            <w:r w:rsidRPr="00F21B0B">
              <w:rPr>
                <w:rFonts w:eastAsia="Times New Roman" w:cs="Times New Roman"/>
                <w:color w:val="000000"/>
                <w:sz w:val="20"/>
                <w:szCs w:val="20"/>
                <w:lang w:val="ru-RU" w:eastAsia="ru-RU"/>
              </w:rPr>
              <w:t>Accounts</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payable</w:t>
            </w:r>
            <w:proofErr w:type="spellEnd"/>
            <w:r w:rsidRPr="00F21B0B">
              <w:rPr>
                <w:rFonts w:eastAsia="Times New Roman" w:cs="Times New Roman"/>
                <w:color w:val="000000"/>
                <w:sz w:val="20"/>
                <w:szCs w:val="20"/>
                <w:lang w:val="ru-RU" w:eastAsia="ru-RU"/>
              </w:rPr>
              <w:t>)</w:t>
            </w:r>
          </w:p>
        </w:tc>
        <w:tc>
          <w:tcPr>
            <w:tcW w:w="1134" w:type="dxa"/>
            <w:tcBorders>
              <w:top w:val="nil"/>
              <w:left w:val="single" w:sz="4" w:space="0" w:color="auto"/>
              <w:bottom w:val="nil"/>
              <w:right w:val="nil"/>
            </w:tcBorders>
            <w:shd w:val="clear" w:color="auto" w:fill="auto"/>
            <w:noWrap/>
            <w:vAlign w:val="bottom"/>
            <w:hideMark/>
          </w:tcPr>
          <w:p w14:paraId="5CE10ABE" w14:textId="7777777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0,00</w:t>
            </w:r>
          </w:p>
        </w:tc>
        <w:tc>
          <w:tcPr>
            <w:tcW w:w="1345" w:type="dxa"/>
            <w:tcBorders>
              <w:top w:val="nil"/>
              <w:left w:val="nil"/>
              <w:bottom w:val="nil"/>
              <w:right w:val="single" w:sz="4" w:space="0" w:color="auto"/>
            </w:tcBorders>
            <w:shd w:val="clear" w:color="auto" w:fill="auto"/>
            <w:noWrap/>
            <w:vAlign w:val="bottom"/>
            <w:hideMark/>
          </w:tcPr>
          <w:p w14:paraId="40660054" w14:textId="1ECC34F3"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-0,03</w:t>
            </w:r>
          </w:p>
        </w:tc>
      </w:tr>
      <w:tr w:rsidR="007122C4" w:rsidRPr="00F21B0B" w14:paraId="2BE5EE4A" w14:textId="77777777" w:rsidTr="007122C4">
        <w:trPr>
          <w:trHeight w:val="255"/>
          <w:jc w:val="center"/>
        </w:trPr>
        <w:tc>
          <w:tcPr>
            <w:tcW w:w="3681" w:type="dxa"/>
            <w:tcBorders>
              <w:top w:val="nil"/>
              <w:left w:val="single" w:sz="4" w:space="0" w:color="auto"/>
              <w:bottom w:val="nil"/>
              <w:right w:val="nil"/>
            </w:tcBorders>
            <w:shd w:val="clear" w:color="auto" w:fill="auto"/>
            <w:noWrap/>
            <w:vAlign w:val="center"/>
            <w:hideMark/>
          </w:tcPr>
          <w:p w14:paraId="15A140AB" w14:textId="77777777" w:rsidR="007122C4" w:rsidRPr="00F21B0B" w:rsidRDefault="007122C4" w:rsidP="007122C4">
            <w:pPr>
              <w:spacing w:after="0" w:line="240" w:lineRule="auto"/>
              <w:ind w:firstLine="0"/>
              <w:contextualSpacing w:val="0"/>
              <w:jc w:val="left"/>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AP2 (</w:t>
            </w:r>
            <w:proofErr w:type="spellStart"/>
            <w:r w:rsidRPr="00F21B0B">
              <w:rPr>
                <w:rFonts w:eastAsia="Times New Roman" w:cs="Times New Roman"/>
                <w:color w:val="000000"/>
                <w:sz w:val="20"/>
                <w:szCs w:val="20"/>
                <w:lang w:val="ru-RU" w:eastAsia="ru-RU"/>
              </w:rPr>
              <w:t>Quadratic</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term</w:t>
            </w:r>
            <w:proofErr w:type="spellEnd"/>
            <w:r w:rsidRPr="00F21B0B">
              <w:rPr>
                <w:rFonts w:eastAsia="Times New Roman" w:cs="Times New Roman"/>
                <w:color w:val="000000"/>
                <w:sz w:val="20"/>
                <w:szCs w:val="20"/>
                <w:lang w:val="ru-RU" w:eastAsia="ru-RU"/>
              </w:rPr>
              <w:t>)</w:t>
            </w:r>
          </w:p>
        </w:tc>
        <w:tc>
          <w:tcPr>
            <w:tcW w:w="1134" w:type="dxa"/>
            <w:tcBorders>
              <w:top w:val="nil"/>
              <w:left w:val="single" w:sz="4" w:space="0" w:color="auto"/>
              <w:bottom w:val="nil"/>
              <w:right w:val="nil"/>
            </w:tcBorders>
            <w:shd w:val="clear" w:color="auto" w:fill="auto"/>
            <w:noWrap/>
            <w:vAlign w:val="bottom"/>
            <w:hideMark/>
          </w:tcPr>
          <w:p w14:paraId="663A9AF0" w14:textId="7777777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0,90</w:t>
            </w:r>
          </w:p>
        </w:tc>
        <w:tc>
          <w:tcPr>
            <w:tcW w:w="1345" w:type="dxa"/>
            <w:tcBorders>
              <w:top w:val="nil"/>
              <w:left w:val="nil"/>
              <w:bottom w:val="nil"/>
              <w:right w:val="single" w:sz="4" w:space="0" w:color="auto"/>
            </w:tcBorders>
            <w:shd w:val="clear" w:color="auto" w:fill="auto"/>
            <w:noWrap/>
            <w:vAlign w:val="bottom"/>
            <w:hideMark/>
          </w:tcPr>
          <w:p w14:paraId="7156D994" w14:textId="06C26FDA"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0,00</w:t>
            </w:r>
          </w:p>
        </w:tc>
      </w:tr>
      <w:tr w:rsidR="007122C4" w:rsidRPr="00F21B0B" w14:paraId="7B32A186" w14:textId="77777777" w:rsidTr="007122C4">
        <w:trPr>
          <w:trHeight w:val="255"/>
          <w:jc w:val="center"/>
        </w:trPr>
        <w:tc>
          <w:tcPr>
            <w:tcW w:w="3681" w:type="dxa"/>
            <w:tcBorders>
              <w:top w:val="nil"/>
              <w:left w:val="single" w:sz="4" w:space="0" w:color="auto"/>
              <w:bottom w:val="nil"/>
              <w:right w:val="nil"/>
            </w:tcBorders>
            <w:shd w:val="clear" w:color="auto" w:fill="auto"/>
            <w:noWrap/>
            <w:vAlign w:val="center"/>
            <w:hideMark/>
          </w:tcPr>
          <w:p w14:paraId="2EF35989" w14:textId="77777777" w:rsidR="007122C4" w:rsidRPr="00F21B0B" w:rsidRDefault="007122C4" w:rsidP="007122C4">
            <w:pPr>
              <w:spacing w:after="0" w:line="240" w:lineRule="auto"/>
              <w:ind w:firstLine="0"/>
              <w:contextualSpacing w:val="0"/>
              <w:jc w:val="left"/>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DS (</w:t>
            </w:r>
            <w:proofErr w:type="spellStart"/>
            <w:r w:rsidRPr="00F21B0B">
              <w:rPr>
                <w:rFonts w:eastAsia="Times New Roman" w:cs="Times New Roman"/>
                <w:color w:val="000000"/>
                <w:sz w:val="20"/>
                <w:szCs w:val="20"/>
                <w:lang w:val="ru-RU" w:eastAsia="ru-RU"/>
              </w:rPr>
              <w:t>Deal</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size</w:t>
            </w:r>
            <w:proofErr w:type="spellEnd"/>
            <w:r w:rsidRPr="00F21B0B">
              <w:rPr>
                <w:rFonts w:eastAsia="Times New Roman" w:cs="Times New Roman"/>
                <w:color w:val="000000"/>
                <w:sz w:val="20"/>
                <w:szCs w:val="20"/>
                <w:lang w:val="ru-RU" w:eastAsia="ru-RU"/>
              </w:rPr>
              <w:t>)</w:t>
            </w:r>
          </w:p>
        </w:tc>
        <w:tc>
          <w:tcPr>
            <w:tcW w:w="1134" w:type="dxa"/>
            <w:tcBorders>
              <w:top w:val="nil"/>
              <w:left w:val="single" w:sz="4" w:space="0" w:color="auto"/>
              <w:bottom w:val="nil"/>
              <w:right w:val="nil"/>
            </w:tcBorders>
            <w:shd w:val="clear" w:color="auto" w:fill="auto"/>
            <w:noWrap/>
            <w:vAlign w:val="bottom"/>
            <w:hideMark/>
          </w:tcPr>
          <w:p w14:paraId="48BEAFA4" w14:textId="7777777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0,56</w:t>
            </w:r>
          </w:p>
        </w:tc>
        <w:tc>
          <w:tcPr>
            <w:tcW w:w="1345" w:type="dxa"/>
            <w:tcBorders>
              <w:top w:val="nil"/>
              <w:left w:val="nil"/>
              <w:bottom w:val="nil"/>
              <w:right w:val="single" w:sz="4" w:space="0" w:color="auto"/>
            </w:tcBorders>
            <w:shd w:val="clear" w:color="auto" w:fill="auto"/>
            <w:noWrap/>
            <w:vAlign w:val="bottom"/>
            <w:hideMark/>
          </w:tcPr>
          <w:p w14:paraId="5664FC5F" w14:textId="640F0FB0"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1,51</w:t>
            </w:r>
          </w:p>
        </w:tc>
      </w:tr>
      <w:tr w:rsidR="007122C4" w:rsidRPr="00F21B0B" w14:paraId="219A3902" w14:textId="77777777" w:rsidTr="007122C4">
        <w:trPr>
          <w:trHeight w:val="300"/>
          <w:jc w:val="center"/>
        </w:trPr>
        <w:tc>
          <w:tcPr>
            <w:tcW w:w="3681" w:type="dxa"/>
            <w:tcBorders>
              <w:top w:val="nil"/>
              <w:left w:val="single" w:sz="4" w:space="0" w:color="auto"/>
              <w:bottom w:val="nil"/>
              <w:right w:val="nil"/>
            </w:tcBorders>
            <w:shd w:val="clear" w:color="auto" w:fill="auto"/>
            <w:noWrap/>
            <w:vAlign w:val="center"/>
            <w:hideMark/>
          </w:tcPr>
          <w:p w14:paraId="606B89CA" w14:textId="77777777" w:rsidR="007122C4" w:rsidRPr="00F21B0B" w:rsidRDefault="007122C4" w:rsidP="007122C4">
            <w:pPr>
              <w:spacing w:after="0" w:line="240" w:lineRule="auto"/>
              <w:ind w:firstLine="0"/>
              <w:contextualSpacing w:val="0"/>
              <w:jc w:val="left"/>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IS (</w:t>
            </w:r>
            <w:proofErr w:type="spellStart"/>
            <w:r w:rsidRPr="00F21B0B">
              <w:rPr>
                <w:rFonts w:eastAsia="Times New Roman" w:cs="Times New Roman"/>
                <w:color w:val="000000"/>
                <w:sz w:val="20"/>
                <w:szCs w:val="20"/>
                <w:lang w:val="ru-RU" w:eastAsia="ru-RU"/>
              </w:rPr>
              <w:t>Industry</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similarity</w:t>
            </w:r>
            <w:proofErr w:type="spellEnd"/>
            <w:r w:rsidRPr="00F21B0B">
              <w:rPr>
                <w:rFonts w:eastAsia="Times New Roman" w:cs="Times New Roman"/>
                <w:color w:val="000000"/>
                <w:sz w:val="20"/>
                <w:szCs w:val="20"/>
                <w:lang w:val="ru-RU" w:eastAsia="ru-RU"/>
              </w:rPr>
              <w:t>)</w:t>
            </w:r>
          </w:p>
        </w:tc>
        <w:tc>
          <w:tcPr>
            <w:tcW w:w="1134" w:type="dxa"/>
            <w:tcBorders>
              <w:top w:val="nil"/>
              <w:left w:val="single" w:sz="4" w:space="0" w:color="auto"/>
              <w:bottom w:val="nil"/>
              <w:right w:val="nil"/>
            </w:tcBorders>
            <w:shd w:val="clear" w:color="auto" w:fill="auto"/>
            <w:noWrap/>
            <w:vAlign w:val="bottom"/>
            <w:hideMark/>
          </w:tcPr>
          <w:p w14:paraId="1891EAD1" w14:textId="7777777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0,48</w:t>
            </w:r>
          </w:p>
        </w:tc>
        <w:tc>
          <w:tcPr>
            <w:tcW w:w="1345" w:type="dxa"/>
            <w:tcBorders>
              <w:top w:val="nil"/>
              <w:left w:val="nil"/>
              <w:bottom w:val="nil"/>
              <w:right w:val="single" w:sz="4" w:space="0" w:color="auto"/>
            </w:tcBorders>
            <w:shd w:val="clear" w:color="auto" w:fill="auto"/>
            <w:noWrap/>
            <w:vAlign w:val="bottom"/>
            <w:hideMark/>
          </w:tcPr>
          <w:p w14:paraId="30EA2500" w14:textId="2AAC159F"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-6,19</w:t>
            </w:r>
          </w:p>
        </w:tc>
      </w:tr>
      <w:tr w:rsidR="007122C4" w:rsidRPr="00F21B0B" w14:paraId="683FAF67" w14:textId="77777777" w:rsidTr="007122C4">
        <w:trPr>
          <w:trHeight w:val="300"/>
          <w:jc w:val="center"/>
        </w:trPr>
        <w:tc>
          <w:tcPr>
            <w:tcW w:w="3681" w:type="dxa"/>
            <w:tcBorders>
              <w:top w:val="nil"/>
              <w:left w:val="single" w:sz="4" w:space="0" w:color="auto"/>
              <w:bottom w:val="nil"/>
              <w:right w:val="nil"/>
            </w:tcBorders>
            <w:shd w:val="clear" w:color="auto" w:fill="auto"/>
            <w:noWrap/>
            <w:vAlign w:val="center"/>
            <w:hideMark/>
          </w:tcPr>
          <w:p w14:paraId="3489CA8F" w14:textId="77777777" w:rsidR="007122C4" w:rsidRPr="00F21B0B" w:rsidRDefault="007122C4" w:rsidP="007122C4">
            <w:pPr>
              <w:spacing w:after="0" w:line="240" w:lineRule="auto"/>
              <w:ind w:firstLine="0"/>
              <w:contextualSpacing w:val="0"/>
              <w:jc w:val="left"/>
              <w:rPr>
                <w:rFonts w:eastAsia="Times New Roman" w:cs="Times New Roman"/>
                <w:color w:val="000000"/>
                <w:sz w:val="20"/>
                <w:szCs w:val="20"/>
                <w:lang w:eastAsia="ru-RU"/>
              </w:rPr>
            </w:pPr>
            <w:r w:rsidRPr="00F21B0B">
              <w:rPr>
                <w:rFonts w:eastAsia="Times New Roman" w:cs="Times New Roman"/>
                <w:color w:val="000000"/>
                <w:sz w:val="20"/>
                <w:szCs w:val="20"/>
                <w:lang w:eastAsia="ru-RU"/>
              </w:rPr>
              <w:t>CLR (Change in leverage ratio)</w:t>
            </w:r>
          </w:p>
        </w:tc>
        <w:tc>
          <w:tcPr>
            <w:tcW w:w="1134" w:type="dxa"/>
            <w:tcBorders>
              <w:top w:val="nil"/>
              <w:left w:val="single" w:sz="4" w:space="0" w:color="auto"/>
              <w:bottom w:val="nil"/>
              <w:right w:val="nil"/>
            </w:tcBorders>
            <w:shd w:val="clear" w:color="auto" w:fill="auto"/>
            <w:noWrap/>
            <w:vAlign w:val="bottom"/>
            <w:hideMark/>
          </w:tcPr>
          <w:p w14:paraId="252C98B5" w14:textId="7777777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0,01</w:t>
            </w:r>
          </w:p>
        </w:tc>
        <w:tc>
          <w:tcPr>
            <w:tcW w:w="1345" w:type="dxa"/>
            <w:tcBorders>
              <w:top w:val="nil"/>
              <w:left w:val="nil"/>
              <w:bottom w:val="nil"/>
              <w:right w:val="single" w:sz="4" w:space="0" w:color="auto"/>
            </w:tcBorders>
            <w:shd w:val="clear" w:color="auto" w:fill="auto"/>
            <w:noWrap/>
            <w:vAlign w:val="bottom"/>
            <w:hideMark/>
          </w:tcPr>
          <w:p w14:paraId="3AEB198B" w14:textId="1D4723B6"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-0,01</w:t>
            </w:r>
          </w:p>
        </w:tc>
      </w:tr>
      <w:tr w:rsidR="007122C4" w:rsidRPr="00F21B0B" w14:paraId="269D79A1" w14:textId="77777777" w:rsidTr="007122C4">
        <w:trPr>
          <w:trHeight w:val="300"/>
          <w:jc w:val="center"/>
        </w:trPr>
        <w:tc>
          <w:tcPr>
            <w:tcW w:w="3681" w:type="dxa"/>
            <w:tcBorders>
              <w:top w:val="nil"/>
              <w:left w:val="single" w:sz="4" w:space="0" w:color="auto"/>
              <w:bottom w:val="nil"/>
              <w:right w:val="nil"/>
            </w:tcBorders>
            <w:shd w:val="clear" w:color="auto" w:fill="auto"/>
            <w:noWrap/>
            <w:vAlign w:val="center"/>
            <w:hideMark/>
          </w:tcPr>
          <w:p w14:paraId="6E38EE50" w14:textId="77777777" w:rsidR="007122C4" w:rsidRPr="00F21B0B" w:rsidRDefault="007122C4" w:rsidP="007122C4">
            <w:pPr>
              <w:spacing w:after="0" w:line="240" w:lineRule="auto"/>
              <w:ind w:firstLine="0"/>
              <w:contextualSpacing w:val="0"/>
              <w:jc w:val="left"/>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 xml:space="preserve">GDP (GDP </w:t>
            </w:r>
            <w:proofErr w:type="spellStart"/>
            <w:r w:rsidRPr="00F21B0B">
              <w:rPr>
                <w:rFonts w:eastAsia="Times New Roman" w:cs="Times New Roman"/>
                <w:color w:val="000000"/>
                <w:sz w:val="20"/>
                <w:szCs w:val="20"/>
                <w:lang w:val="ru-RU" w:eastAsia="ru-RU"/>
              </w:rPr>
              <w:t>growth</w:t>
            </w:r>
            <w:proofErr w:type="spellEnd"/>
            <w:r w:rsidRPr="00F21B0B">
              <w:rPr>
                <w:rFonts w:eastAsia="Times New Roman" w:cs="Times New Roman"/>
                <w:color w:val="000000"/>
                <w:sz w:val="20"/>
                <w:szCs w:val="20"/>
                <w:lang w:val="ru-RU" w:eastAsia="ru-RU"/>
              </w:rPr>
              <w:t>)</w:t>
            </w:r>
          </w:p>
        </w:tc>
        <w:tc>
          <w:tcPr>
            <w:tcW w:w="1134" w:type="dxa"/>
            <w:tcBorders>
              <w:top w:val="nil"/>
              <w:left w:val="single" w:sz="4" w:space="0" w:color="auto"/>
              <w:bottom w:val="nil"/>
              <w:right w:val="nil"/>
            </w:tcBorders>
            <w:shd w:val="clear" w:color="auto" w:fill="auto"/>
            <w:noWrap/>
            <w:vAlign w:val="bottom"/>
            <w:hideMark/>
          </w:tcPr>
          <w:p w14:paraId="191B627C" w14:textId="7777777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0,00</w:t>
            </w:r>
          </w:p>
        </w:tc>
        <w:tc>
          <w:tcPr>
            <w:tcW w:w="1345" w:type="dxa"/>
            <w:tcBorders>
              <w:top w:val="nil"/>
              <w:left w:val="nil"/>
              <w:bottom w:val="nil"/>
              <w:right w:val="single" w:sz="4" w:space="0" w:color="auto"/>
            </w:tcBorders>
            <w:shd w:val="clear" w:color="auto" w:fill="auto"/>
            <w:noWrap/>
            <w:vAlign w:val="bottom"/>
            <w:hideMark/>
          </w:tcPr>
          <w:p w14:paraId="4A9DE66B" w14:textId="07F9F5C1"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-1,42</w:t>
            </w:r>
          </w:p>
        </w:tc>
      </w:tr>
      <w:tr w:rsidR="007122C4" w:rsidRPr="00F21B0B" w14:paraId="15BAC133" w14:textId="77777777" w:rsidTr="007122C4">
        <w:trPr>
          <w:trHeight w:val="300"/>
          <w:jc w:val="center"/>
        </w:trPr>
        <w:tc>
          <w:tcPr>
            <w:tcW w:w="3681" w:type="dxa"/>
            <w:tcBorders>
              <w:top w:val="nil"/>
              <w:left w:val="single" w:sz="4" w:space="0" w:color="auto"/>
              <w:bottom w:val="nil"/>
              <w:right w:val="nil"/>
            </w:tcBorders>
            <w:shd w:val="clear" w:color="auto" w:fill="auto"/>
            <w:noWrap/>
            <w:vAlign w:val="center"/>
            <w:hideMark/>
          </w:tcPr>
          <w:p w14:paraId="024FD867" w14:textId="77777777" w:rsidR="007122C4" w:rsidRPr="00F21B0B" w:rsidRDefault="007122C4" w:rsidP="007122C4">
            <w:pPr>
              <w:spacing w:after="0" w:line="240" w:lineRule="auto"/>
              <w:ind w:firstLine="0"/>
              <w:contextualSpacing w:val="0"/>
              <w:jc w:val="left"/>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OPR (</w:t>
            </w:r>
            <w:proofErr w:type="spellStart"/>
            <w:r w:rsidRPr="00F21B0B">
              <w:rPr>
                <w:rFonts w:eastAsia="Times New Roman" w:cs="Times New Roman"/>
                <w:color w:val="000000"/>
                <w:sz w:val="20"/>
                <w:szCs w:val="20"/>
                <w:lang w:val="ru-RU" w:eastAsia="ru-RU"/>
              </w:rPr>
              <w:t>Oil</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prices</w:t>
            </w:r>
            <w:proofErr w:type="spellEnd"/>
            <w:r w:rsidRPr="00F21B0B">
              <w:rPr>
                <w:rFonts w:eastAsia="Times New Roman" w:cs="Times New Roman"/>
                <w:color w:val="000000"/>
                <w:sz w:val="20"/>
                <w:szCs w:val="20"/>
                <w:lang w:val="ru-RU" w:eastAsia="ru-RU"/>
              </w:rPr>
              <w:t>)</w:t>
            </w:r>
          </w:p>
        </w:tc>
        <w:tc>
          <w:tcPr>
            <w:tcW w:w="1134" w:type="dxa"/>
            <w:tcBorders>
              <w:top w:val="nil"/>
              <w:left w:val="single" w:sz="4" w:space="0" w:color="auto"/>
              <w:bottom w:val="nil"/>
              <w:right w:val="nil"/>
            </w:tcBorders>
            <w:shd w:val="clear" w:color="auto" w:fill="auto"/>
            <w:noWrap/>
            <w:vAlign w:val="bottom"/>
            <w:hideMark/>
          </w:tcPr>
          <w:p w14:paraId="4C2DA2C3" w14:textId="7777777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0,02</w:t>
            </w:r>
          </w:p>
        </w:tc>
        <w:tc>
          <w:tcPr>
            <w:tcW w:w="1345" w:type="dxa"/>
            <w:tcBorders>
              <w:top w:val="nil"/>
              <w:left w:val="nil"/>
              <w:bottom w:val="nil"/>
              <w:right w:val="single" w:sz="4" w:space="0" w:color="auto"/>
            </w:tcBorders>
            <w:shd w:val="clear" w:color="auto" w:fill="auto"/>
            <w:noWrap/>
            <w:vAlign w:val="bottom"/>
            <w:hideMark/>
          </w:tcPr>
          <w:p w14:paraId="0DC9E74A" w14:textId="3F82CC94"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0,47</w:t>
            </w:r>
          </w:p>
        </w:tc>
      </w:tr>
      <w:tr w:rsidR="007122C4" w:rsidRPr="00F21B0B" w14:paraId="0D7F4F1D" w14:textId="77777777" w:rsidTr="007122C4">
        <w:trPr>
          <w:trHeight w:val="300"/>
          <w:jc w:val="center"/>
        </w:trPr>
        <w:tc>
          <w:tcPr>
            <w:tcW w:w="3681" w:type="dxa"/>
            <w:tcBorders>
              <w:top w:val="nil"/>
              <w:left w:val="single" w:sz="4" w:space="0" w:color="auto"/>
              <w:bottom w:val="nil"/>
              <w:right w:val="nil"/>
            </w:tcBorders>
            <w:shd w:val="clear" w:color="auto" w:fill="auto"/>
            <w:noWrap/>
            <w:vAlign w:val="center"/>
            <w:hideMark/>
          </w:tcPr>
          <w:p w14:paraId="389287A9" w14:textId="77777777" w:rsidR="007122C4" w:rsidRPr="00F21B0B" w:rsidRDefault="007122C4" w:rsidP="007122C4">
            <w:pPr>
              <w:spacing w:after="0" w:line="240" w:lineRule="auto"/>
              <w:ind w:firstLine="0"/>
              <w:contextualSpacing w:val="0"/>
              <w:jc w:val="left"/>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ft1 (</w:t>
            </w:r>
            <w:proofErr w:type="spellStart"/>
            <w:r w:rsidRPr="00F21B0B">
              <w:rPr>
                <w:rFonts w:eastAsia="Times New Roman" w:cs="Times New Roman"/>
                <w:color w:val="000000"/>
                <w:sz w:val="20"/>
                <w:szCs w:val="20"/>
                <w:lang w:val="ru-RU" w:eastAsia="ru-RU"/>
              </w:rPr>
              <w:t>Cash</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financing</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dummy</w:t>
            </w:r>
            <w:proofErr w:type="spellEnd"/>
            <w:r w:rsidRPr="00F21B0B">
              <w:rPr>
                <w:rFonts w:eastAsia="Times New Roman" w:cs="Times New Roman"/>
                <w:color w:val="000000"/>
                <w:sz w:val="20"/>
                <w:szCs w:val="20"/>
                <w:lang w:val="ru-RU" w:eastAsia="ru-RU"/>
              </w:rPr>
              <w:t>)</w:t>
            </w:r>
          </w:p>
        </w:tc>
        <w:tc>
          <w:tcPr>
            <w:tcW w:w="1134" w:type="dxa"/>
            <w:tcBorders>
              <w:top w:val="nil"/>
              <w:left w:val="single" w:sz="4" w:space="0" w:color="auto"/>
              <w:bottom w:val="nil"/>
              <w:right w:val="nil"/>
            </w:tcBorders>
            <w:shd w:val="clear" w:color="auto" w:fill="auto"/>
            <w:noWrap/>
            <w:vAlign w:val="bottom"/>
            <w:hideMark/>
          </w:tcPr>
          <w:p w14:paraId="686B38D5" w14:textId="7777777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0,68</w:t>
            </w:r>
          </w:p>
        </w:tc>
        <w:tc>
          <w:tcPr>
            <w:tcW w:w="1345" w:type="dxa"/>
            <w:tcBorders>
              <w:top w:val="nil"/>
              <w:left w:val="nil"/>
              <w:bottom w:val="nil"/>
              <w:right w:val="single" w:sz="4" w:space="0" w:color="auto"/>
            </w:tcBorders>
            <w:shd w:val="clear" w:color="auto" w:fill="auto"/>
            <w:noWrap/>
            <w:vAlign w:val="bottom"/>
            <w:hideMark/>
          </w:tcPr>
          <w:p w14:paraId="7470266E" w14:textId="4C7ABFE0"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4,25</w:t>
            </w:r>
          </w:p>
        </w:tc>
      </w:tr>
      <w:tr w:rsidR="007122C4" w:rsidRPr="00F21B0B" w14:paraId="5F1A979E" w14:textId="77777777" w:rsidTr="007122C4">
        <w:trPr>
          <w:trHeight w:val="300"/>
          <w:jc w:val="center"/>
        </w:trPr>
        <w:tc>
          <w:tcPr>
            <w:tcW w:w="3681" w:type="dxa"/>
            <w:tcBorders>
              <w:top w:val="nil"/>
              <w:left w:val="single" w:sz="4" w:space="0" w:color="auto"/>
              <w:bottom w:val="nil"/>
              <w:right w:val="nil"/>
            </w:tcBorders>
            <w:shd w:val="clear" w:color="auto" w:fill="auto"/>
            <w:noWrap/>
            <w:vAlign w:val="center"/>
            <w:hideMark/>
          </w:tcPr>
          <w:p w14:paraId="680AB678" w14:textId="77777777" w:rsidR="007122C4" w:rsidRPr="00F21B0B" w:rsidRDefault="007122C4" w:rsidP="007122C4">
            <w:pPr>
              <w:spacing w:after="0" w:line="240" w:lineRule="auto"/>
              <w:ind w:firstLine="0"/>
              <w:contextualSpacing w:val="0"/>
              <w:jc w:val="left"/>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ft2 (</w:t>
            </w:r>
            <w:proofErr w:type="spellStart"/>
            <w:r w:rsidRPr="00F21B0B">
              <w:rPr>
                <w:rFonts w:eastAsia="Times New Roman" w:cs="Times New Roman"/>
                <w:color w:val="000000"/>
                <w:sz w:val="20"/>
                <w:szCs w:val="20"/>
                <w:lang w:val="ru-RU" w:eastAsia="ru-RU"/>
              </w:rPr>
              <w:t>Stocks</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financing</w:t>
            </w:r>
            <w:proofErr w:type="spellEnd"/>
            <w:r w:rsidRPr="00F21B0B">
              <w:rPr>
                <w:rFonts w:eastAsia="Times New Roman" w:cs="Times New Roman"/>
                <w:color w:val="000000"/>
                <w:sz w:val="20"/>
                <w:szCs w:val="20"/>
                <w:lang w:val="ru-RU" w:eastAsia="ru-RU"/>
              </w:rPr>
              <w:t xml:space="preserve"> </w:t>
            </w:r>
            <w:proofErr w:type="spellStart"/>
            <w:r w:rsidRPr="00F21B0B">
              <w:rPr>
                <w:rFonts w:eastAsia="Times New Roman" w:cs="Times New Roman"/>
                <w:color w:val="000000"/>
                <w:sz w:val="20"/>
                <w:szCs w:val="20"/>
                <w:lang w:val="ru-RU" w:eastAsia="ru-RU"/>
              </w:rPr>
              <w:t>dummy</w:t>
            </w:r>
            <w:proofErr w:type="spellEnd"/>
            <w:r w:rsidRPr="00F21B0B">
              <w:rPr>
                <w:rFonts w:eastAsia="Times New Roman" w:cs="Times New Roman"/>
                <w:color w:val="000000"/>
                <w:sz w:val="20"/>
                <w:szCs w:val="20"/>
                <w:lang w:val="ru-RU" w:eastAsia="ru-RU"/>
              </w:rPr>
              <w:t>)</w:t>
            </w:r>
          </w:p>
        </w:tc>
        <w:tc>
          <w:tcPr>
            <w:tcW w:w="1134" w:type="dxa"/>
            <w:tcBorders>
              <w:top w:val="nil"/>
              <w:left w:val="single" w:sz="4" w:space="0" w:color="auto"/>
              <w:bottom w:val="nil"/>
              <w:right w:val="nil"/>
            </w:tcBorders>
            <w:shd w:val="clear" w:color="auto" w:fill="auto"/>
            <w:noWrap/>
            <w:vAlign w:val="bottom"/>
            <w:hideMark/>
          </w:tcPr>
          <w:p w14:paraId="7E06F680" w14:textId="7777777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0,71</w:t>
            </w:r>
          </w:p>
        </w:tc>
        <w:tc>
          <w:tcPr>
            <w:tcW w:w="1345" w:type="dxa"/>
            <w:tcBorders>
              <w:top w:val="nil"/>
              <w:left w:val="nil"/>
              <w:bottom w:val="nil"/>
              <w:right w:val="single" w:sz="4" w:space="0" w:color="auto"/>
            </w:tcBorders>
            <w:shd w:val="clear" w:color="auto" w:fill="auto"/>
            <w:noWrap/>
            <w:vAlign w:val="bottom"/>
            <w:hideMark/>
          </w:tcPr>
          <w:p w14:paraId="6C2B95B1" w14:textId="0D928A7F"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4,59</w:t>
            </w:r>
          </w:p>
        </w:tc>
      </w:tr>
      <w:tr w:rsidR="007122C4" w:rsidRPr="00F21B0B" w14:paraId="4D35EBFD" w14:textId="77777777" w:rsidTr="007122C4">
        <w:trPr>
          <w:trHeight w:val="300"/>
          <w:jc w:val="center"/>
        </w:trPr>
        <w:tc>
          <w:tcPr>
            <w:tcW w:w="3681" w:type="dxa"/>
            <w:tcBorders>
              <w:top w:val="nil"/>
              <w:left w:val="single" w:sz="4" w:space="0" w:color="auto"/>
              <w:bottom w:val="single" w:sz="4" w:space="0" w:color="auto"/>
              <w:right w:val="nil"/>
            </w:tcBorders>
            <w:shd w:val="clear" w:color="auto" w:fill="auto"/>
            <w:noWrap/>
            <w:vAlign w:val="center"/>
            <w:hideMark/>
          </w:tcPr>
          <w:p w14:paraId="1A376D08" w14:textId="77777777" w:rsidR="007122C4" w:rsidRPr="00F21B0B" w:rsidRDefault="007122C4" w:rsidP="007122C4">
            <w:pPr>
              <w:spacing w:after="0" w:line="240" w:lineRule="auto"/>
              <w:ind w:firstLine="0"/>
              <w:contextualSpacing w:val="0"/>
              <w:jc w:val="left"/>
              <w:rPr>
                <w:rFonts w:eastAsia="Times New Roman" w:cs="Times New Roman"/>
                <w:color w:val="000000"/>
                <w:sz w:val="20"/>
                <w:szCs w:val="20"/>
                <w:lang w:val="ru-RU" w:eastAsia="ru-RU"/>
              </w:rPr>
            </w:pPr>
            <w:proofErr w:type="spellStart"/>
            <w:r w:rsidRPr="00F21B0B">
              <w:rPr>
                <w:rFonts w:eastAsia="Times New Roman" w:cs="Times New Roman"/>
                <w:color w:val="000000"/>
                <w:sz w:val="20"/>
                <w:szCs w:val="20"/>
                <w:lang w:val="ru-RU" w:eastAsia="ru-RU"/>
              </w:rPr>
              <w:t>cons</w:t>
            </w:r>
            <w:proofErr w:type="spellEnd"/>
          </w:p>
        </w:tc>
        <w:tc>
          <w:tcPr>
            <w:tcW w:w="1134" w:type="dxa"/>
            <w:tcBorders>
              <w:top w:val="nil"/>
              <w:left w:val="single" w:sz="4" w:space="0" w:color="auto"/>
              <w:bottom w:val="single" w:sz="4" w:space="0" w:color="auto"/>
              <w:right w:val="nil"/>
            </w:tcBorders>
            <w:shd w:val="clear" w:color="auto" w:fill="auto"/>
            <w:noWrap/>
            <w:vAlign w:val="bottom"/>
            <w:hideMark/>
          </w:tcPr>
          <w:p w14:paraId="5B5E7D35" w14:textId="77777777"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sidRPr="00F21B0B">
              <w:rPr>
                <w:rFonts w:eastAsia="Times New Roman" w:cs="Times New Roman"/>
                <w:color w:val="000000"/>
                <w:sz w:val="20"/>
                <w:szCs w:val="20"/>
                <w:lang w:val="ru-RU" w:eastAsia="ru-RU"/>
              </w:rPr>
              <w:t>0,69</w:t>
            </w:r>
          </w:p>
        </w:tc>
        <w:tc>
          <w:tcPr>
            <w:tcW w:w="1345" w:type="dxa"/>
            <w:tcBorders>
              <w:top w:val="nil"/>
              <w:left w:val="nil"/>
              <w:bottom w:val="single" w:sz="4" w:space="0" w:color="auto"/>
              <w:right w:val="single" w:sz="4" w:space="0" w:color="auto"/>
            </w:tcBorders>
            <w:shd w:val="clear" w:color="auto" w:fill="auto"/>
            <w:noWrap/>
            <w:vAlign w:val="bottom"/>
            <w:hideMark/>
          </w:tcPr>
          <w:p w14:paraId="52F64806" w14:textId="7BD60541" w:rsidR="007122C4" w:rsidRPr="00F21B0B" w:rsidRDefault="007122C4" w:rsidP="007122C4">
            <w:pPr>
              <w:spacing w:after="0" w:line="240" w:lineRule="auto"/>
              <w:ind w:firstLine="0"/>
              <w:contextualSpacing w:val="0"/>
              <w:jc w:val="center"/>
              <w:rPr>
                <w:rFonts w:eastAsia="Times New Roman" w:cs="Times New Roman"/>
                <w:color w:val="000000"/>
                <w:sz w:val="20"/>
                <w:szCs w:val="20"/>
                <w:lang w:val="ru-RU" w:eastAsia="ru-RU"/>
              </w:rPr>
            </w:pPr>
            <w:r>
              <w:rPr>
                <w:color w:val="000000"/>
                <w:sz w:val="20"/>
                <w:szCs w:val="20"/>
              </w:rPr>
              <w:t>-14,43</w:t>
            </w:r>
          </w:p>
        </w:tc>
      </w:tr>
    </w:tbl>
    <w:p w14:paraId="4EE36192" w14:textId="77777777" w:rsidR="00F21B0B" w:rsidRPr="00F21B0B" w:rsidRDefault="00F21B0B" w:rsidP="00F21B0B"/>
    <w:p w14:paraId="56CDC8EA" w14:textId="723AAA31" w:rsidR="00182E12" w:rsidRDefault="00182E12" w:rsidP="004D2A38">
      <w:pPr>
        <w:tabs>
          <w:tab w:val="left" w:pos="0"/>
        </w:tabs>
      </w:pPr>
      <w:r>
        <w:t xml:space="preserve">First of all, it should be mentioned that the t+5 model is still homoscedastic and does not have severe collinearity between dependent variables according to VIF and Breusch-Pagan tests. We can also see the model itself has some explanatory power as the F-tests suggests. R-squared is still </w:t>
      </w:r>
      <w:r w:rsidR="007122C4">
        <w:t>high</w:t>
      </w:r>
      <w:r>
        <w:t xml:space="preserve"> low at 18,03%. </w:t>
      </w:r>
    </w:p>
    <w:p w14:paraId="016DB15C" w14:textId="707A0FF9" w:rsidR="00BB4714" w:rsidRDefault="00BB4714" w:rsidP="004D2A38">
      <w:pPr>
        <w:tabs>
          <w:tab w:val="left" w:pos="0"/>
        </w:tabs>
      </w:pPr>
      <w:r>
        <w:t xml:space="preserve">To summarize the results of all the regression analysis one previously </w:t>
      </w:r>
      <w:r w:rsidR="00415B58" w:rsidRPr="0079715F">
        <w:fldChar w:fldCharType="begin"/>
      </w:r>
      <w:r w:rsidR="00415B58" w:rsidRPr="0079715F">
        <w:instrText xml:space="preserve"> REF _Ref514671870 \r \h  \* MERGEFORMAT </w:instrText>
      </w:r>
      <w:r w:rsidR="00415B58" w:rsidRPr="0079715F">
        <w:fldChar w:fldCharType="separate"/>
      </w:r>
      <w:r w:rsidR="00154E78">
        <w:t>Table 13</w:t>
      </w:r>
      <w:r w:rsidR="00415B58" w:rsidRPr="0079715F">
        <w:fldChar w:fldCharType="end"/>
      </w:r>
      <w:r>
        <w:t xml:space="preserve"> was build.</w:t>
      </w:r>
    </w:p>
    <w:p w14:paraId="54AB7380" w14:textId="6C6ACB85" w:rsidR="00BB4714" w:rsidRDefault="00682314" w:rsidP="004D2A38">
      <w:pPr>
        <w:pStyle w:val="a0"/>
        <w:tabs>
          <w:tab w:val="left" w:pos="0"/>
        </w:tabs>
        <w:ind w:left="0"/>
      </w:pPr>
      <w:bookmarkStart w:id="31" w:name="_Ref514671870"/>
      <w:r>
        <w:t>Summary of working capital structure regression analysis</w:t>
      </w:r>
      <w:bookmarkEnd w:id="31"/>
    </w:p>
    <w:tbl>
      <w:tblPr>
        <w:tblW w:w="9100" w:type="dxa"/>
        <w:jc w:val="center"/>
        <w:tblLook w:val="04A0" w:firstRow="1" w:lastRow="0" w:firstColumn="1" w:lastColumn="0" w:noHBand="0" w:noVBand="1"/>
      </w:tblPr>
      <w:tblGrid>
        <w:gridCol w:w="1300"/>
        <w:gridCol w:w="1500"/>
        <w:gridCol w:w="1100"/>
        <w:gridCol w:w="1317"/>
        <w:gridCol w:w="1283"/>
        <w:gridCol w:w="1429"/>
        <w:gridCol w:w="1171"/>
      </w:tblGrid>
      <w:tr w:rsidR="0085101B" w:rsidRPr="0085101B" w14:paraId="6B2FC2FB" w14:textId="77777777" w:rsidTr="0085101B">
        <w:trPr>
          <w:trHeight w:val="255"/>
          <w:jc w:val="center"/>
        </w:trPr>
        <w:tc>
          <w:tcPr>
            <w:tcW w:w="1300"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06587BDC" w14:textId="77777777" w:rsidR="0085101B" w:rsidRPr="0085101B" w:rsidRDefault="0085101B" w:rsidP="0085101B">
            <w:pPr>
              <w:spacing w:after="0" w:line="240" w:lineRule="auto"/>
              <w:ind w:firstLine="0"/>
              <w:contextualSpacing w:val="0"/>
              <w:jc w:val="center"/>
              <w:rPr>
                <w:rFonts w:eastAsia="Times New Roman" w:cs="Times New Roman"/>
                <w:b/>
                <w:bCs/>
                <w:color w:val="000000"/>
                <w:sz w:val="20"/>
                <w:szCs w:val="20"/>
                <w:lang w:val="ru-RU" w:eastAsia="ru-RU"/>
              </w:rPr>
            </w:pPr>
            <w:proofErr w:type="spellStart"/>
            <w:r w:rsidRPr="0085101B">
              <w:rPr>
                <w:rFonts w:eastAsia="Times New Roman" w:cs="Times New Roman"/>
                <w:b/>
                <w:bCs/>
                <w:color w:val="000000"/>
                <w:sz w:val="20"/>
                <w:szCs w:val="20"/>
                <w:lang w:val="ru-RU" w:eastAsia="ru-RU"/>
              </w:rPr>
              <w:t>Regressors</w:t>
            </w:r>
            <w:proofErr w:type="spellEnd"/>
          </w:p>
        </w:tc>
        <w:tc>
          <w:tcPr>
            <w:tcW w:w="260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B9449EB" w14:textId="77777777" w:rsidR="0085101B" w:rsidRPr="0085101B" w:rsidRDefault="0085101B" w:rsidP="0085101B">
            <w:pPr>
              <w:spacing w:after="0" w:line="240" w:lineRule="auto"/>
              <w:ind w:firstLine="0"/>
              <w:contextualSpacing w:val="0"/>
              <w:jc w:val="center"/>
              <w:rPr>
                <w:rFonts w:eastAsia="Times New Roman" w:cs="Times New Roman"/>
                <w:b/>
                <w:bCs/>
                <w:color w:val="000000"/>
                <w:sz w:val="20"/>
                <w:szCs w:val="20"/>
                <w:lang w:val="ru-RU" w:eastAsia="ru-RU"/>
              </w:rPr>
            </w:pPr>
            <w:r w:rsidRPr="0085101B">
              <w:rPr>
                <w:rFonts w:eastAsia="Times New Roman" w:cs="Times New Roman"/>
                <w:b/>
                <w:bCs/>
                <w:color w:val="000000"/>
                <w:sz w:val="20"/>
                <w:szCs w:val="20"/>
                <w:lang w:val="ru-RU" w:eastAsia="ru-RU"/>
              </w:rPr>
              <w:t>T + 1</w:t>
            </w:r>
          </w:p>
        </w:tc>
        <w:tc>
          <w:tcPr>
            <w:tcW w:w="260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52E4692D" w14:textId="77777777" w:rsidR="0085101B" w:rsidRPr="0085101B" w:rsidRDefault="0085101B" w:rsidP="0085101B">
            <w:pPr>
              <w:spacing w:after="0" w:line="240" w:lineRule="auto"/>
              <w:ind w:firstLine="0"/>
              <w:contextualSpacing w:val="0"/>
              <w:jc w:val="center"/>
              <w:rPr>
                <w:rFonts w:eastAsia="Times New Roman" w:cs="Times New Roman"/>
                <w:b/>
                <w:bCs/>
                <w:color w:val="000000"/>
                <w:sz w:val="20"/>
                <w:szCs w:val="20"/>
                <w:lang w:val="ru-RU" w:eastAsia="ru-RU"/>
              </w:rPr>
            </w:pPr>
            <w:r w:rsidRPr="0085101B">
              <w:rPr>
                <w:rFonts w:eastAsia="Times New Roman" w:cs="Times New Roman"/>
                <w:b/>
                <w:bCs/>
                <w:color w:val="000000"/>
                <w:sz w:val="20"/>
                <w:szCs w:val="20"/>
                <w:lang w:val="ru-RU" w:eastAsia="ru-RU"/>
              </w:rPr>
              <w:t>T + 3</w:t>
            </w:r>
          </w:p>
        </w:tc>
        <w:tc>
          <w:tcPr>
            <w:tcW w:w="260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1FA3D504" w14:textId="77777777" w:rsidR="0085101B" w:rsidRPr="0085101B" w:rsidRDefault="0085101B" w:rsidP="0085101B">
            <w:pPr>
              <w:spacing w:after="0" w:line="240" w:lineRule="auto"/>
              <w:ind w:firstLine="0"/>
              <w:contextualSpacing w:val="0"/>
              <w:jc w:val="center"/>
              <w:rPr>
                <w:rFonts w:eastAsia="Times New Roman" w:cs="Times New Roman"/>
                <w:b/>
                <w:bCs/>
                <w:color w:val="000000"/>
                <w:sz w:val="20"/>
                <w:szCs w:val="20"/>
                <w:lang w:val="ru-RU" w:eastAsia="ru-RU"/>
              </w:rPr>
            </w:pPr>
            <w:r w:rsidRPr="0085101B">
              <w:rPr>
                <w:rFonts w:eastAsia="Times New Roman" w:cs="Times New Roman"/>
                <w:b/>
                <w:bCs/>
                <w:color w:val="000000"/>
                <w:sz w:val="20"/>
                <w:szCs w:val="20"/>
                <w:lang w:val="ru-RU" w:eastAsia="ru-RU"/>
              </w:rPr>
              <w:t>T + 5</w:t>
            </w:r>
          </w:p>
        </w:tc>
      </w:tr>
      <w:tr w:rsidR="0085101B" w:rsidRPr="0085101B" w14:paraId="1492F474" w14:textId="77777777" w:rsidTr="0085101B">
        <w:trPr>
          <w:trHeight w:val="270"/>
          <w:jc w:val="center"/>
        </w:trPr>
        <w:tc>
          <w:tcPr>
            <w:tcW w:w="1300" w:type="dxa"/>
            <w:vMerge/>
            <w:tcBorders>
              <w:top w:val="single" w:sz="8" w:space="0" w:color="auto"/>
              <w:left w:val="single" w:sz="8" w:space="0" w:color="auto"/>
              <w:bottom w:val="single" w:sz="8" w:space="0" w:color="000000"/>
              <w:right w:val="nil"/>
            </w:tcBorders>
            <w:vAlign w:val="center"/>
            <w:hideMark/>
          </w:tcPr>
          <w:p w14:paraId="225810CB" w14:textId="77777777" w:rsidR="0085101B" w:rsidRPr="0085101B" w:rsidRDefault="0085101B" w:rsidP="0085101B">
            <w:pPr>
              <w:spacing w:after="0" w:line="240" w:lineRule="auto"/>
              <w:ind w:firstLine="0"/>
              <w:contextualSpacing w:val="0"/>
              <w:jc w:val="center"/>
              <w:rPr>
                <w:rFonts w:eastAsia="Times New Roman" w:cs="Times New Roman"/>
                <w:b/>
                <w:bCs/>
                <w:color w:val="000000"/>
                <w:sz w:val="20"/>
                <w:szCs w:val="20"/>
                <w:lang w:val="ru-RU" w:eastAsia="ru-RU"/>
              </w:rPr>
            </w:pPr>
          </w:p>
        </w:tc>
        <w:tc>
          <w:tcPr>
            <w:tcW w:w="1500" w:type="dxa"/>
            <w:tcBorders>
              <w:top w:val="nil"/>
              <w:left w:val="single" w:sz="8" w:space="0" w:color="auto"/>
              <w:bottom w:val="single" w:sz="8" w:space="0" w:color="auto"/>
              <w:right w:val="single" w:sz="4" w:space="0" w:color="auto"/>
            </w:tcBorders>
            <w:shd w:val="clear" w:color="auto" w:fill="auto"/>
            <w:noWrap/>
            <w:vAlign w:val="bottom"/>
            <w:hideMark/>
          </w:tcPr>
          <w:p w14:paraId="27890E18" w14:textId="77777777" w:rsidR="0085101B" w:rsidRPr="0085101B" w:rsidRDefault="0085101B" w:rsidP="0085101B">
            <w:pPr>
              <w:spacing w:after="0" w:line="240" w:lineRule="auto"/>
              <w:ind w:firstLine="0"/>
              <w:contextualSpacing w:val="0"/>
              <w:jc w:val="center"/>
              <w:rPr>
                <w:rFonts w:eastAsia="Times New Roman" w:cs="Times New Roman"/>
                <w:b/>
                <w:bCs/>
                <w:color w:val="000000"/>
                <w:sz w:val="20"/>
                <w:szCs w:val="20"/>
                <w:lang w:val="ru-RU" w:eastAsia="ru-RU"/>
              </w:rPr>
            </w:pPr>
            <w:r w:rsidRPr="0085101B">
              <w:rPr>
                <w:rFonts w:eastAsia="Times New Roman" w:cs="Times New Roman"/>
                <w:b/>
                <w:bCs/>
                <w:color w:val="000000"/>
                <w:sz w:val="20"/>
                <w:szCs w:val="20"/>
                <w:lang w:val="ru-RU" w:eastAsia="ru-RU"/>
              </w:rPr>
              <w:t>p-</w:t>
            </w:r>
            <w:proofErr w:type="spellStart"/>
            <w:r w:rsidRPr="0085101B">
              <w:rPr>
                <w:rFonts w:eastAsia="Times New Roman" w:cs="Times New Roman"/>
                <w:b/>
                <w:bCs/>
                <w:color w:val="000000"/>
                <w:sz w:val="20"/>
                <w:szCs w:val="20"/>
                <w:lang w:val="ru-RU" w:eastAsia="ru-RU"/>
              </w:rPr>
              <w:t>value</w:t>
            </w:r>
            <w:proofErr w:type="spellEnd"/>
          </w:p>
        </w:tc>
        <w:tc>
          <w:tcPr>
            <w:tcW w:w="1100" w:type="dxa"/>
            <w:tcBorders>
              <w:top w:val="nil"/>
              <w:left w:val="nil"/>
              <w:bottom w:val="single" w:sz="8" w:space="0" w:color="auto"/>
              <w:right w:val="single" w:sz="8" w:space="0" w:color="auto"/>
            </w:tcBorders>
            <w:shd w:val="clear" w:color="auto" w:fill="auto"/>
            <w:noWrap/>
            <w:vAlign w:val="bottom"/>
            <w:hideMark/>
          </w:tcPr>
          <w:p w14:paraId="4FEE7A19" w14:textId="77777777" w:rsidR="0085101B" w:rsidRPr="0085101B" w:rsidRDefault="0085101B" w:rsidP="0085101B">
            <w:pPr>
              <w:spacing w:after="0" w:line="240" w:lineRule="auto"/>
              <w:ind w:firstLine="0"/>
              <w:contextualSpacing w:val="0"/>
              <w:jc w:val="center"/>
              <w:rPr>
                <w:rFonts w:eastAsia="Times New Roman" w:cs="Times New Roman"/>
                <w:b/>
                <w:bCs/>
                <w:color w:val="000000"/>
                <w:sz w:val="20"/>
                <w:szCs w:val="20"/>
                <w:lang w:val="ru-RU" w:eastAsia="ru-RU"/>
              </w:rPr>
            </w:pPr>
            <w:proofErr w:type="spellStart"/>
            <w:r w:rsidRPr="0085101B">
              <w:rPr>
                <w:rFonts w:eastAsia="Times New Roman" w:cs="Times New Roman"/>
                <w:b/>
                <w:bCs/>
                <w:color w:val="000000"/>
                <w:sz w:val="20"/>
                <w:szCs w:val="20"/>
                <w:lang w:val="ru-RU" w:eastAsia="ru-RU"/>
              </w:rPr>
              <w:t>coeff</w:t>
            </w:r>
            <w:proofErr w:type="spellEnd"/>
            <w:r w:rsidRPr="0085101B">
              <w:rPr>
                <w:rFonts w:eastAsia="Times New Roman" w:cs="Times New Roman"/>
                <w:b/>
                <w:bCs/>
                <w:color w:val="000000"/>
                <w:sz w:val="20"/>
                <w:szCs w:val="20"/>
                <w:lang w:val="ru-RU" w:eastAsia="ru-RU"/>
              </w:rPr>
              <w:t>.</w:t>
            </w:r>
          </w:p>
        </w:tc>
        <w:tc>
          <w:tcPr>
            <w:tcW w:w="1317" w:type="dxa"/>
            <w:tcBorders>
              <w:top w:val="nil"/>
              <w:left w:val="nil"/>
              <w:bottom w:val="single" w:sz="8" w:space="0" w:color="auto"/>
              <w:right w:val="single" w:sz="4" w:space="0" w:color="auto"/>
            </w:tcBorders>
            <w:shd w:val="clear" w:color="auto" w:fill="auto"/>
            <w:noWrap/>
            <w:vAlign w:val="bottom"/>
            <w:hideMark/>
          </w:tcPr>
          <w:p w14:paraId="0ACEE096" w14:textId="77777777" w:rsidR="0085101B" w:rsidRPr="0085101B" w:rsidRDefault="0085101B" w:rsidP="0085101B">
            <w:pPr>
              <w:spacing w:after="0" w:line="240" w:lineRule="auto"/>
              <w:ind w:firstLine="0"/>
              <w:contextualSpacing w:val="0"/>
              <w:jc w:val="center"/>
              <w:rPr>
                <w:rFonts w:eastAsia="Times New Roman" w:cs="Times New Roman"/>
                <w:b/>
                <w:bCs/>
                <w:color w:val="000000"/>
                <w:sz w:val="20"/>
                <w:szCs w:val="20"/>
                <w:lang w:val="ru-RU" w:eastAsia="ru-RU"/>
              </w:rPr>
            </w:pPr>
            <w:r w:rsidRPr="0085101B">
              <w:rPr>
                <w:rFonts w:eastAsia="Times New Roman" w:cs="Times New Roman"/>
                <w:b/>
                <w:bCs/>
                <w:color w:val="000000"/>
                <w:sz w:val="20"/>
                <w:szCs w:val="20"/>
                <w:lang w:val="ru-RU" w:eastAsia="ru-RU"/>
              </w:rPr>
              <w:t>p-</w:t>
            </w:r>
            <w:proofErr w:type="spellStart"/>
            <w:r w:rsidRPr="0085101B">
              <w:rPr>
                <w:rFonts w:eastAsia="Times New Roman" w:cs="Times New Roman"/>
                <w:b/>
                <w:bCs/>
                <w:color w:val="000000"/>
                <w:sz w:val="20"/>
                <w:szCs w:val="20"/>
                <w:lang w:val="ru-RU" w:eastAsia="ru-RU"/>
              </w:rPr>
              <w:t>value</w:t>
            </w:r>
            <w:proofErr w:type="spellEnd"/>
          </w:p>
        </w:tc>
        <w:tc>
          <w:tcPr>
            <w:tcW w:w="1283" w:type="dxa"/>
            <w:tcBorders>
              <w:top w:val="nil"/>
              <w:left w:val="nil"/>
              <w:bottom w:val="single" w:sz="8" w:space="0" w:color="auto"/>
              <w:right w:val="single" w:sz="8" w:space="0" w:color="auto"/>
            </w:tcBorders>
            <w:shd w:val="clear" w:color="auto" w:fill="auto"/>
            <w:noWrap/>
            <w:vAlign w:val="bottom"/>
            <w:hideMark/>
          </w:tcPr>
          <w:p w14:paraId="3D8A8341" w14:textId="77777777" w:rsidR="0085101B" w:rsidRPr="0085101B" w:rsidRDefault="0085101B" w:rsidP="0085101B">
            <w:pPr>
              <w:spacing w:after="0" w:line="240" w:lineRule="auto"/>
              <w:ind w:firstLine="0"/>
              <w:contextualSpacing w:val="0"/>
              <w:jc w:val="center"/>
              <w:rPr>
                <w:rFonts w:eastAsia="Times New Roman" w:cs="Times New Roman"/>
                <w:b/>
                <w:bCs/>
                <w:color w:val="000000"/>
                <w:sz w:val="20"/>
                <w:szCs w:val="20"/>
                <w:lang w:val="ru-RU" w:eastAsia="ru-RU"/>
              </w:rPr>
            </w:pPr>
            <w:proofErr w:type="spellStart"/>
            <w:r w:rsidRPr="0085101B">
              <w:rPr>
                <w:rFonts w:eastAsia="Times New Roman" w:cs="Times New Roman"/>
                <w:b/>
                <w:bCs/>
                <w:color w:val="000000"/>
                <w:sz w:val="20"/>
                <w:szCs w:val="20"/>
                <w:lang w:val="ru-RU" w:eastAsia="ru-RU"/>
              </w:rPr>
              <w:t>coeff</w:t>
            </w:r>
            <w:proofErr w:type="spellEnd"/>
            <w:r w:rsidRPr="0085101B">
              <w:rPr>
                <w:rFonts w:eastAsia="Times New Roman" w:cs="Times New Roman"/>
                <w:b/>
                <w:bCs/>
                <w:color w:val="000000"/>
                <w:sz w:val="20"/>
                <w:szCs w:val="20"/>
                <w:lang w:val="ru-RU" w:eastAsia="ru-RU"/>
              </w:rPr>
              <w:t>.</w:t>
            </w:r>
          </w:p>
        </w:tc>
        <w:tc>
          <w:tcPr>
            <w:tcW w:w="1429" w:type="dxa"/>
            <w:tcBorders>
              <w:top w:val="nil"/>
              <w:left w:val="nil"/>
              <w:bottom w:val="single" w:sz="8" w:space="0" w:color="auto"/>
              <w:right w:val="single" w:sz="4" w:space="0" w:color="auto"/>
            </w:tcBorders>
            <w:shd w:val="clear" w:color="auto" w:fill="auto"/>
            <w:noWrap/>
            <w:vAlign w:val="bottom"/>
            <w:hideMark/>
          </w:tcPr>
          <w:p w14:paraId="05DA2743" w14:textId="77777777" w:rsidR="0085101B" w:rsidRPr="0085101B" w:rsidRDefault="0085101B" w:rsidP="0085101B">
            <w:pPr>
              <w:spacing w:after="0" w:line="240" w:lineRule="auto"/>
              <w:ind w:firstLine="0"/>
              <w:contextualSpacing w:val="0"/>
              <w:jc w:val="center"/>
              <w:rPr>
                <w:rFonts w:eastAsia="Times New Roman" w:cs="Times New Roman"/>
                <w:b/>
                <w:bCs/>
                <w:color w:val="000000"/>
                <w:sz w:val="20"/>
                <w:szCs w:val="20"/>
                <w:lang w:val="ru-RU" w:eastAsia="ru-RU"/>
              </w:rPr>
            </w:pPr>
            <w:r w:rsidRPr="0085101B">
              <w:rPr>
                <w:rFonts w:eastAsia="Times New Roman" w:cs="Times New Roman"/>
                <w:b/>
                <w:bCs/>
                <w:color w:val="000000"/>
                <w:sz w:val="20"/>
                <w:szCs w:val="20"/>
                <w:lang w:val="ru-RU" w:eastAsia="ru-RU"/>
              </w:rPr>
              <w:t>p-</w:t>
            </w:r>
            <w:proofErr w:type="spellStart"/>
            <w:r w:rsidRPr="0085101B">
              <w:rPr>
                <w:rFonts w:eastAsia="Times New Roman" w:cs="Times New Roman"/>
                <w:b/>
                <w:bCs/>
                <w:color w:val="000000"/>
                <w:sz w:val="20"/>
                <w:szCs w:val="20"/>
                <w:lang w:val="ru-RU" w:eastAsia="ru-RU"/>
              </w:rPr>
              <w:t>value</w:t>
            </w:r>
            <w:proofErr w:type="spellEnd"/>
          </w:p>
        </w:tc>
        <w:tc>
          <w:tcPr>
            <w:tcW w:w="1171" w:type="dxa"/>
            <w:tcBorders>
              <w:top w:val="nil"/>
              <w:left w:val="nil"/>
              <w:bottom w:val="single" w:sz="8" w:space="0" w:color="auto"/>
              <w:right w:val="single" w:sz="8" w:space="0" w:color="auto"/>
            </w:tcBorders>
            <w:shd w:val="clear" w:color="auto" w:fill="auto"/>
            <w:noWrap/>
            <w:vAlign w:val="bottom"/>
            <w:hideMark/>
          </w:tcPr>
          <w:p w14:paraId="1D20F63B" w14:textId="77777777" w:rsidR="0085101B" w:rsidRPr="0085101B" w:rsidRDefault="0085101B" w:rsidP="0085101B">
            <w:pPr>
              <w:spacing w:after="0" w:line="240" w:lineRule="auto"/>
              <w:ind w:firstLine="0"/>
              <w:contextualSpacing w:val="0"/>
              <w:jc w:val="center"/>
              <w:rPr>
                <w:rFonts w:eastAsia="Times New Roman" w:cs="Times New Roman"/>
                <w:b/>
                <w:bCs/>
                <w:color w:val="000000"/>
                <w:sz w:val="20"/>
                <w:szCs w:val="20"/>
                <w:lang w:val="ru-RU" w:eastAsia="ru-RU"/>
              </w:rPr>
            </w:pPr>
            <w:proofErr w:type="spellStart"/>
            <w:r w:rsidRPr="0085101B">
              <w:rPr>
                <w:rFonts w:eastAsia="Times New Roman" w:cs="Times New Roman"/>
                <w:b/>
                <w:bCs/>
                <w:color w:val="000000"/>
                <w:sz w:val="20"/>
                <w:szCs w:val="20"/>
                <w:lang w:val="ru-RU" w:eastAsia="ru-RU"/>
              </w:rPr>
              <w:t>coeff</w:t>
            </w:r>
            <w:proofErr w:type="spellEnd"/>
            <w:r w:rsidRPr="0085101B">
              <w:rPr>
                <w:rFonts w:eastAsia="Times New Roman" w:cs="Times New Roman"/>
                <w:b/>
                <w:bCs/>
                <w:color w:val="000000"/>
                <w:sz w:val="20"/>
                <w:szCs w:val="20"/>
                <w:lang w:val="ru-RU" w:eastAsia="ru-RU"/>
              </w:rPr>
              <w:t>.</w:t>
            </w:r>
          </w:p>
        </w:tc>
      </w:tr>
      <w:tr w:rsidR="0085101B" w:rsidRPr="0085101B" w14:paraId="2AD713D4" w14:textId="77777777" w:rsidTr="0085101B">
        <w:trPr>
          <w:trHeight w:val="255"/>
          <w:jc w:val="center"/>
        </w:trPr>
        <w:tc>
          <w:tcPr>
            <w:tcW w:w="1300" w:type="dxa"/>
            <w:tcBorders>
              <w:top w:val="nil"/>
              <w:left w:val="single" w:sz="8" w:space="0" w:color="auto"/>
              <w:bottom w:val="single" w:sz="4" w:space="0" w:color="auto"/>
              <w:right w:val="nil"/>
            </w:tcBorders>
            <w:shd w:val="clear" w:color="auto" w:fill="auto"/>
            <w:noWrap/>
            <w:vAlign w:val="bottom"/>
            <w:hideMark/>
          </w:tcPr>
          <w:p w14:paraId="64B8B066"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AR</w:t>
            </w:r>
          </w:p>
        </w:tc>
        <w:tc>
          <w:tcPr>
            <w:tcW w:w="1500" w:type="dxa"/>
            <w:tcBorders>
              <w:top w:val="single" w:sz="4" w:space="0" w:color="auto"/>
              <w:left w:val="single" w:sz="8" w:space="0" w:color="auto"/>
              <w:bottom w:val="single" w:sz="4" w:space="0" w:color="auto"/>
              <w:right w:val="single" w:sz="4" w:space="0" w:color="auto"/>
            </w:tcBorders>
            <w:shd w:val="clear" w:color="000000" w:fill="D8E4BC"/>
            <w:noWrap/>
            <w:vAlign w:val="bottom"/>
            <w:hideMark/>
          </w:tcPr>
          <w:p w14:paraId="1C5423FB"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0,021</w:t>
            </w:r>
          </w:p>
        </w:tc>
        <w:tc>
          <w:tcPr>
            <w:tcW w:w="1100" w:type="dxa"/>
            <w:tcBorders>
              <w:top w:val="nil"/>
              <w:left w:val="nil"/>
              <w:bottom w:val="single" w:sz="4" w:space="0" w:color="auto"/>
              <w:right w:val="single" w:sz="8" w:space="0" w:color="auto"/>
            </w:tcBorders>
            <w:shd w:val="clear" w:color="auto" w:fill="auto"/>
            <w:noWrap/>
            <w:vAlign w:val="bottom"/>
            <w:hideMark/>
          </w:tcPr>
          <w:p w14:paraId="62F50F60"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-0,25</w:t>
            </w:r>
          </w:p>
        </w:tc>
        <w:tc>
          <w:tcPr>
            <w:tcW w:w="1317" w:type="dxa"/>
            <w:tcBorders>
              <w:top w:val="single" w:sz="4" w:space="0" w:color="auto"/>
              <w:left w:val="single" w:sz="8" w:space="0" w:color="auto"/>
              <w:bottom w:val="single" w:sz="4" w:space="0" w:color="auto"/>
              <w:right w:val="single" w:sz="4" w:space="0" w:color="auto"/>
            </w:tcBorders>
            <w:shd w:val="clear" w:color="000000" w:fill="D8E4BC"/>
            <w:noWrap/>
            <w:vAlign w:val="bottom"/>
            <w:hideMark/>
          </w:tcPr>
          <w:p w14:paraId="6E5BC2BE"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0,001</w:t>
            </w:r>
          </w:p>
        </w:tc>
        <w:tc>
          <w:tcPr>
            <w:tcW w:w="1283" w:type="dxa"/>
            <w:tcBorders>
              <w:top w:val="nil"/>
              <w:left w:val="nil"/>
              <w:bottom w:val="single" w:sz="4" w:space="0" w:color="auto"/>
              <w:right w:val="single" w:sz="8" w:space="0" w:color="auto"/>
            </w:tcBorders>
            <w:shd w:val="clear" w:color="auto" w:fill="auto"/>
            <w:noWrap/>
            <w:vAlign w:val="bottom"/>
            <w:hideMark/>
          </w:tcPr>
          <w:p w14:paraId="514AF04E"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-0,46</w:t>
            </w:r>
          </w:p>
        </w:tc>
        <w:tc>
          <w:tcPr>
            <w:tcW w:w="1429" w:type="dxa"/>
            <w:tcBorders>
              <w:top w:val="single" w:sz="4" w:space="0" w:color="auto"/>
              <w:left w:val="single" w:sz="8" w:space="0" w:color="auto"/>
              <w:bottom w:val="single" w:sz="4" w:space="0" w:color="auto"/>
              <w:right w:val="single" w:sz="4" w:space="0" w:color="auto"/>
            </w:tcBorders>
            <w:shd w:val="clear" w:color="000000" w:fill="D8E4BC"/>
            <w:noWrap/>
            <w:vAlign w:val="bottom"/>
            <w:hideMark/>
          </w:tcPr>
          <w:p w14:paraId="42F1AEC9"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0,032</w:t>
            </w:r>
          </w:p>
        </w:tc>
        <w:tc>
          <w:tcPr>
            <w:tcW w:w="1171" w:type="dxa"/>
            <w:tcBorders>
              <w:top w:val="nil"/>
              <w:left w:val="nil"/>
              <w:bottom w:val="single" w:sz="4" w:space="0" w:color="auto"/>
              <w:right w:val="single" w:sz="8" w:space="0" w:color="auto"/>
            </w:tcBorders>
            <w:shd w:val="clear" w:color="auto" w:fill="auto"/>
            <w:noWrap/>
            <w:vAlign w:val="bottom"/>
            <w:hideMark/>
          </w:tcPr>
          <w:p w14:paraId="4CCB35AD"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-0,03</w:t>
            </w:r>
          </w:p>
        </w:tc>
      </w:tr>
      <w:tr w:rsidR="0085101B" w:rsidRPr="0085101B" w14:paraId="34BC855C" w14:textId="77777777" w:rsidTr="0085101B">
        <w:trPr>
          <w:trHeight w:val="255"/>
          <w:jc w:val="center"/>
        </w:trPr>
        <w:tc>
          <w:tcPr>
            <w:tcW w:w="1300" w:type="dxa"/>
            <w:tcBorders>
              <w:top w:val="nil"/>
              <w:left w:val="single" w:sz="8" w:space="0" w:color="auto"/>
              <w:bottom w:val="single" w:sz="4" w:space="0" w:color="auto"/>
              <w:right w:val="nil"/>
            </w:tcBorders>
            <w:shd w:val="clear" w:color="auto" w:fill="auto"/>
            <w:noWrap/>
            <w:vAlign w:val="bottom"/>
            <w:hideMark/>
          </w:tcPr>
          <w:p w14:paraId="182067A9"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AR2</w:t>
            </w:r>
          </w:p>
        </w:tc>
        <w:tc>
          <w:tcPr>
            <w:tcW w:w="1500" w:type="dxa"/>
            <w:tcBorders>
              <w:top w:val="nil"/>
              <w:left w:val="single" w:sz="8" w:space="0" w:color="auto"/>
              <w:bottom w:val="single" w:sz="4" w:space="0" w:color="auto"/>
              <w:right w:val="single" w:sz="4" w:space="0" w:color="auto"/>
            </w:tcBorders>
            <w:shd w:val="clear" w:color="000000" w:fill="D8E4BC"/>
            <w:noWrap/>
            <w:vAlign w:val="bottom"/>
            <w:hideMark/>
          </w:tcPr>
          <w:p w14:paraId="2E35885A"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0,097</w:t>
            </w:r>
          </w:p>
        </w:tc>
        <w:tc>
          <w:tcPr>
            <w:tcW w:w="1100" w:type="dxa"/>
            <w:tcBorders>
              <w:top w:val="nil"/>
              <w:left w:val="nil"/>
              <w:bottom w:val="single" w:sz="4" w:space="0" w:color="auto"/>
              <w:right w:val="single" w:sz="8" w:space="0" w:color="auto"/>
            </w:tcBorders>
            <w:shd w:val="clear" w:color="auto" w:fill="auto"/>
            <w:noWrap/>
            <w:vAlign w:val="bottom"/>
            <w:hideMark/>
          </w:tcPr>
          <w:p w14:paraId="56BCA2E2"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-0,01</w:t>
            </w:r>
          </w:p>
        </w:tc>
        <w:tc>
          <w:tcPr>
            <w:tcW w:w="1317" w:type="dxa"/>
            <w:tcBorders>
              <w:top w:val="nil"/>
              <w:left w:val="single" w:sz="8" w:space="0" w:color="auto"/>
              <w:bottom w:val="single" w:sz="4" w:space="0" w:color="auto"/>
              <w:right w:val="single" w:sz="4" w:space="0" w:color="auto"/>
            </w:tcBorders>
            <w:shd w:val="clear" w:color="000000" w:fill="FFC7CE"/>
            <w:noWrap/>
            <w:vAlign w:val="bottom"/>
            <w:hideMark/>
          </w:tcPr>
          <w:p w14:paraId="1DC1AF2A"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0,23</w:t>
            </w:r>
          </w:p>
        </w:tc>
        <w:tc>
          <w:tcPr>
            <w:tcW w:w="1283" w:type="dxa"/>
            <w:tcBorders>
              <w:top w:val="nil"/>
              <w:left w:val="nil"/>
              <w:bottom w:val="single" w:sz="4" w:space="0" w:color="auto"/>
              <w:right w:val="single" w:sz="8" w:space="0" w:color="auto"/>
            </w:tcBorders>
            <w:shd w:val="clear" w:color="auto" w:fill="auto"/>
            <w:noWrap/>
            <w:vAlign w:val="bottom"/>
            <w:hideMark/>
          </w:tcPr>
          <w:p w14:paraId="2A69A9CA"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-1,08</w:t>
            </w:r>
          </w:p>
        </w:tc>
        <w:tc>
          <w:tcPr>
            <w:tcW w:w="1429" w:type="dxa"/>
            <w:tcBorders>
              <w:top w:val="nil"/>
              <w:left w:val="single" w:sz="8" w:space="0" w:color="auto"/>
              <w:bottom w:val="single" w:sz="4" w:space="0" w:color="auto"/>
              <w:right w:val="single" w:sz="4" w:space="0" w:color="auto"/>
            </w:tcBorders>
            <w:shd w:val="clear" w:color="000000" w:fill="FFC7CE"/>
            <w:noWrap/>
            <w:vAlign w:val="bottom"/>
            <w:hideMark/>
          </w:tcPr>
          <w:p w14:paraId="32A36175"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0,216</w:t>
            </w:r>
          </w:p>
        </w:tc>
        <w:tc>
          <w:tcPr>
            <w:tcW w:w="1171" w:type="dxa"/>
            <w:tcBorders>
              <w:top w:val="nil"/>
              <w:left w:val="nil"/>
              <w:bottom w:val="single" w:sz="4" w:space="0" w:color="auto"/>
              <w:right w:val="single" w:sz="8" w:space="0" w:color="auto"/>
            </w:tcBorders>
            <w:shd w:val="clear" w:color="auto" w:fill="auto"/>
            <w:noWrap/>
            <w:vAlign w:val="bottom"/>
            <w:hideMark/>
          </w:tcPr>
          <w:p w14:paraId="40DE8C63"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-0,01</w:t>
            </w:r>
          </w:p>
        </w:tc>
      </w:tr>
      <w:tr w:rsidR="0085101B" w:rsidRPr="0085101B" w14:paraId="1102DAD5" w14:textId="77777777" w:rsidTr="0085101B">
        <w:trPr>
          <w:trHeight w:val="255"/>
          <w:jc w:val="center"/>
        </w:trPr>
        <w:tc>
          <w:tcPr>
            <w:tcW w:w="1300" w:type="dxa"/>
            <w:tcBorders>
              <w:top w:val="nil"/>
              <w:left w:val="single" w:sz="8" w:space="0" w:color="auto"/>
              <w:bottom w:val="single" w:sz="4" w:space="0" w:color="auto"/>
              <w:right w:val="nil"/>
            </w:tcBorders>
            <w:shd w:val="clear" w:color="auto" w:fill="auto"/>
            <w:noWrap/>
            <w:vAlign w:val="bottom"/>
            <w:hideMark/>
          </w:tcPr>
          <w:p w14:paraId="3F54FAA1"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proofErr w:type="spellStart"/>
            <w:r w:rsidRPr="0085101B">
              <w:rPr>
                <w:rFonts w:eastAsia="Times New Roman" w:cs="Times New Roman"/>
                <w:color w:val="000000"/>
                <w:sz w:val="20"/>
                <w:szCs w:val="20"/>
                <w:lang w:val="ru-RU" w:eastAsia="ru-RU"/>
              </w:rPr>
              <w:t>Inv</w:t>
            </w:r>
            <w:proofErr w:type="spellEnd"/>
          </w:p>
        </w:tc>
        <w:tc>
          <w:tcPr>
            <w:tcW w:w="1500" w:type="dxa"/>
            <w:tcBorders>
              <w:top w:val="nil"/>
              <w:left w:val="single" w:sz="8" w:space="0" w:color="auto"/>
              <w:bottom w:val="single" w:sz="4" w:space="0" w:color="auto"/>
              <w:right w:val="single" w:sz="4" w:space="0" w:color="auto"/>
            </w:tcBorders>
            <w:shd w:val="clear" w:color="000000" w:fill="D8E4BC"/>
            <w:noWrap/>
            <w:vAlign w:val="bottom"/>
            <w:hideMark/>
          </w:tcPr>
          <w:p w14:paraId="3A1FD505"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w:t>
            </w:r>
          </w:p>
        </w:tc>
        <w:tc>
          <w:tcPr>
            <w:tcW w:w="1100" w:type="dxa"/>
            <w:tcBorders>
              <w:top w:val="nil"/>
              <w:left w:val="nil"/>
              <w:bottom w:val="single" w:sz="4" w:space="0" w:color="auto"/>
              <w:right w:val="single" w:sz="8" w:space="0" w:color="auto"/>
            </w:tcBorders>
            <w:shd w:val="clear" w:color="auto" w:fill="auto"/>
            <w:noWrap/>
            <w:vAlign w:val="bottom"/>
            <w:hideMark/>
          </w:tcPr>
          <w:p w14:paraId="723BF52F"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-2,04</w:t>
            </w:r>
          </w:p>
        </w:tc>
        <w:tc>
          <w:tcPr>
            <w:tcW w:w="1317" w:type="dxa"/>
            <w:tcBorders>
              <w:top w:val="nil"/>
              <w:left w:val="single" w:sz="8" w:space="0" w:color="auto"/>
              <w:bottom w:val="single" w:sz="4" w:space="0" w:color="auto"/>
              <w:right w:val="single" w:sz="4" w:space="0" w:color="auto"/>
            </w:tcBorders>
            <w:shd w:val="clear" w:color="000000" w:fill="D8E4BC"/>
            <w:noWrap/>
            <w:vAlign w:val="bottom"/>
            <w:hideMark/>
          </w:tcPr>
          <w:p w14:paraId="0139FA26"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0,056</w:t>
            </w:r>
          </w:p>
        </w:tc>
        <w:tc>
          <w:tcPr>
            <w:tcW w:w="1283" w:type="dxa"/>
            <w:tcBorders>
              <w:top w:val="nil"/>
              <w:left w:val="nil"/>
              <w:bottom w:val="single" w:sz="4" w:space="0" w:color="auto"/>
              <w:right w:val="single" w:sz="8" w:space="0" w:color="auto"/>
            </w:tcBorders>
            <w:shd w:val="clear" w:color="auto" w:fill="auto"/>
            <w:noWrap/>
            <w:vAlign w:val="bottom"/>
            <w:hideMark/>
          </w:tcPr>
          <w:p w14:paraId="283E30D7"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-0,29</w:t>
            </w:r>
          </w:p>
        </w:tc>
        <w:tc>
          <w:tcPr>
            <w:tcW w:w="1429" w:type="dxa"/>
            <w:tcBorders>
              <w:top w:val="nil"/>
              <w:left w:val="single" w:sz="8" w:space="0" w:color="auto"/>
              <w:bottom w:val="single" w:sz="4" w:space="0" w:color="auto"/>
              <w:right w:val="single" w:sz="4" w:space="0" w:color="auto"/>
            </w:tcBorders>
            <w:shd w:val="clear" w:color="000000" w:fill="D8E4BC"/>
            <w:noWrap/>
            <w:vAlign w:val="bottom"/>
            <w:hideMark/>
          </w:tcPr>
          <w:p w14:paraId="74E461F3"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0,022</w:t>
            </w:r>
          </w:p>
        </w:tc>
        <w:tc>
          <w:tcPr>
            <w:tcW w:w="1171" w:type="dxa"/>
            <w:tcBorders>
              <w:top w:val="nil"/>
              <w:left w:val="nil"/>
              <w:bottom w:val="single" w:sz="4" w:space="0" w:color="auto"/>
              <w:right w:val="single" w:sz="8" w:space="0" w:color="auto"/>
            </w:tcBorders>
            <w:shd w:val="clear" w:color="auto" w:fill="auto"/>
            <w:noWrap/>
            <w:vAlign w:val="bottom"/>
            <w:hideMark/>
          </w:tcPr>
          <w:p w14:paraId="788E954E"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-0,96</w:t>
            </w:r>
          </w:p>
        </w:tc>
      </w:tr>
      <w:tr w:rsidR="0085101B" w:rsidRPr="0085101B" w14:paraId="28A5F812" w14:textId="77777777" w:rsidTr="0085101B">
        <w:trPr>
          <w:trHeight w:val="255"/>
          <w:jc w:val="center"/>
        </w:trPr>
        <w:tc>
          <w:tcPr>
            <w:tcW w:w="1300" w:type="dxa"/>
            <w:tcBorders>
              <w:top w:val="nil"/>
              <w:left w:val="single" w:sz="8" w:space="0" w:color="auto"/>
              <w:bottom w:val="single" w:sz="4" w:space="0" w:color="auto"/>
              <w:right w:val="nil"/>
            </w:tcBorders>
            <w:shd w:val="clear" w:color="auto" w:fill="auto"/>
            <w:noWrap/>
            <w:vAlign w:val="bottom"/>
            <w:hideMark/>
          </w:tcPr>
          <w:p w14:paraId="3591DCD8"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Inv2</w:t>
            </w:r>
          </w:p>
        </w:tc>
        <w:tc>
          <w:tcPr>
            <w:tcW w:w="1500" w:type="dxa"/>
            <w:tcBorders>
              <w:top w:val="nil"/>
              <w:left w:val="single" w:sz="8" w:space="0" w:color="auto"/>
              <w:bottom w:val="single" w:sz="4" w:space="0" w:color="auto"/>
              <w:right w:val="single" w:sz="4" w:space="0" w:color="auto"/>
            </w:tcBorders>
            <w:shd w:val="clear" w:color="000000" w:fill="FFC7CE"/>
            <w:noWrap/>
            <w:vAlign w:val="bottom"/>
            <w:hideMark/>
          </w:tcPr>
          <w:p w14:paraId="37D21E8A"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0,244</w:t>
            </w:r>
          </w:p>
        </w:tc>
        <w:tc>
          <w:tcPr>
            <w:tcW w:w="1100" w:type="dxa"/>
            <w:tcBorders>
              <w:top w:val="nil"/>
              <w:left w:val="nil"/>
              <w:bottom w:val="single" w:sz="4" w:space="0" w:color="auto"/>
              <w:right w:val="single" w:sz="8" w:space="0" w:color="auto"/>
            </w:tcBorders>
            <w:shd w:val="clear" w:color="auto" w:fill="auto"/>
            <w:noWrap/>
            <w:vAlign w:val="bottom"/>
            <w:hideMark/>
          </w:tcPr>
          <w:p w14:paraId="12EA6655"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0,02</w:t>
            </w:r>
          </w:p>
        </w:tc>
        <w:tc>
          <w:tcPr>
            <w:tcW w:w="1317" w:type="dxa"/>
            <w:tcBorders>
              <w:top w:val="nil"/>
              <w:left w:val="single" w:sz="8" w:space="0" w:color="auto"/>
              <w:bottom w:val="single" w:sz="4" w:space="0" w:color="auto"/>
              <w:right w:val="single" w:sz="4" w:space="0" w:color="auto"/>
            </w:tcBorders>
            <w:shd w:val="clear" w:color="000000" w:fill="FFC7CE"/>
            <w:noWrap/>
            <w:vAlign w:val="bottom"/>
            <w:hideMark/>
          </w:tcPr>
          <w:p w14:paraId="45648852"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0,357</w:t>
            </w:r>
          </w:p>
        </w:tc>
        <w:tc>
          <w:tcPr>
            <w:tcW w:w="1283" w:type="dxa"/>
            <w:tcBorders>
              <w:top w:val="nil"/>
              <w:left w:val="nil"/>
              <w:bottom w:val="single" w:sz="4" w:space="0" w:color="auto"/>
              <w:right w:val="single" w:sz="8" w:space="0" w:color="auto"/>
            </w:tcBorders>
            <w:shd w:val="clear" w:color="auto" w:fill="auto"/>
            <w:noWrap/>
            <w:vAlign w:val="bottom"/>
            <w:hideMark/>
          </w:tcPr>
          <w:p w14:paraId="3CCE8988"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0,00</w:t>
            </w:r>
          </w:p>
        </w:tc>
        <w:tc>
          <w:tcPr>
            <w:tcW w:w="1429" w:type="dxa"/>
            <w:tcBorders>
              <w:top w:val="nil"/>
              <w:left w:val="single" w:sz="8" w:space="0" w:color="auto"/>
              <w:bottom w:val="single" w:sz="4" w:space="0" w:color="auto"/>
              <w:right w:val="single" w:sz="4" w:space="0" w:color="auto"/>
            </w:tcBorders>
            <w:shd w:val="clear" w:color="000000" w:fill="FFC7CE"/>
            <w:noWrap/>
            <w:vAlign w:val="bottom"/>
            <w:hideMark/>
          </w:tcPr>
          <w:p w14:paraId="5A7EF4C8"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0,161</w:t>
            </w:r>
          </w:p>
        </w:tc>
        <w:tc>
          <w:tcPr>
            <w:tcW w:w="1171" w:type="dxa"/>
            <w:tcBorders>
              <w:top w:val="nil"/>
              <w:left w:val="nil"/>
              <w:bottom w:val="single" w:sz="4" w:space="0" w:color="auto"/>
              <w:right w:val="single" w:sz="8" w:space="0" w:color="auto"/>
            </w:tcBorders>
            <w:shd w:val="clear" w:color="auto" w:fill="auto"/>
            <w:noWrap/>
            <w:vAlign w:val="bottom"/>
            <w:hideMark/>
          </w:tcPr>
          <w:p w14:paraId="53817658"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0,01</w:t>
            </w:r>
          </w:p>
        </w:tc>
      </w:tr>
      <w:tr w:rsidR="0085101B" w:rsidRPr="0085101B" w14:paraId="181D19CD" w14:textId="77777777" w:rsidTr="0085101B">
        <w:trPr>
          <w:trHeight w:val="255"/>
          <w:jc w:val="center"/>
        </w:trPr>
        <w:tc>
          <w:tcPr>
            <w:tcW w:w="1300" w:type="dxa"/>
            <w:tcBorders>
              <w:top w:val="nil"/>
              <w:left w:val="single" w:sz="8" w:space="0" w:color="auto"/>
              <w:bottom w:val="single" w:sz="4" w:space="0" w:color="auto"/>
              <w:right w:val="nil"/>
            </w:tcBorders>
            <w:shd w:val="clear" w:color="auto" w:fill="auto"/>
            <w:noWrap/>
            <w:vAlign w:val="bottom"/>
            <w:hideMark/>
          </w:tcPr>
          <w:p w14:paraId="022A85D0"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AP</w:t>
            </w:r>
          </w:p>
        </w:tc>
        <w:tc>
          <w:tcPr>
            <w:tcW w:w="1500" w:type="dxa"/>
            <w:tcBorders>
              <w:top w:val="nil"/>
              <w:left w:val="single" w:sz="8" w:space="0" w:color="auto"/>
              <w:bottom w:val="single" w:sz="4" w:space="0" w:color="auto"/>
              <w:right w:val="single" w:sz="4" w:space="0" w:color="auto"/>
            </w:tcBorders>
            <w:shd w:val="clear" w:color="000000" w:fill="D8E4BC"/>
            <w:noWrap/>
            <w:vAlign w:val="bottom"/>
            <w:hideMark/>
          </w:tcPr>
          <w:p w14:paraId="345C23AD"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0,002</w:t>
            </w:r>
          </w:p>
        </w:tc>
        <w:tc>
          <w:tcPr>
            <w:tcW w:w="1100" w:type="dxa"/>
            <w:tcBorders>
              <w:top w:val="nil"/>
              <w:left w:val="nil"/>
              <w:bottom w:val="single" w:sz="4" w:space="0" w:color="auto"/>
              <w:right w:val="single" w:sz="8" w:space="0" w:color="auto"/>
            </w:tcBorders>
            <w:shd w:val="clear" w:color="auto" w:fill="auto"/>
            <w:noWrap/>
            <w:vAlign w:val="bottom"/>
            <w:hideMark/>
          </w:tcPr>
          <w:p w14:paraId="4DD176A5"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-0,26</w:t>
            </w:r>
          </w:p>
        </w:tc>
        <w:tc>
          <w:tcPr>
            <w:tcW w:w="1317" w:type="dxa"/>
            <w:tcBorders>
              <w:top w:val="nil"/>
              <w:left w:val="single" w:sz="8" w:space="0" w:color="auto"/>
              <w:bottom w:val="single" w:sz="4" w:space="0" w:color="auto"/>
              <w:right w:val="single" w:sz="4" w:space="0" w:color="auto"/>
            </w:tcBorders>
            <w:shd w:val="clear" w:color="000000" w:fill="D8E4BC"/>
            <w:noWrap/>
            <w:vAlign w:val="bottom"/>
            <w:hideMark/>
          </w:tcPr>
          <w:p w14:paraId="77C17DC4"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0,048</w:t>
            </w:r>
          </w:p>
        </w:tc>
        <w:tc>
          <w:tcPr>
            <w:tcW w:w="1283" w:type="dxa"/>
            <w:tcBorders>
              <w:top w:val="nil"/>
              <w:left w:val="nil"/>
              <w:bottom w:val="single" w:sz="4" w:space="0" w:color="auto"/>
              <w:right w:val="single" w:sz="8" w:space="0" w:color="auto"/>
            </w:tcBorders>
            <w:shd w:val="clear" w:color="auto" w:fill="auto"/>
            <w:noWrap/>
            <w:vAlign w:val="bottom"/>
            <w:hideMark/>
          </w:tcPr>
          <w:p w14:paraId="5502C2A3"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-0,30</w:t>
            </w:r>
          </w:p>
        </w:tc>
        <w:tc>
          <w:tcPr>
            <w:tcW w:w="1429" w:type="dxa"/>
            <w:tcBorders>
              <w:top w:val="nil"/>
              <w:left w:val="single" w:sz="8" w:space="0" w:color="auto"/>
              <w:bottom w:val="single" w:sz="4" w:space="0" w:color="auto"/>
              <w:right w:val="single" w:sz="4" w:space="0" w:color="auto"/>
            </w:tcBorders>
            <w:shd w:val="clear" w:color="000000" w:fill="D8E4BC"/>
            <w:noWrap/>
            <w:vAlign w:val="bottom"/>
            <w:hideMark/>
          </w:tcPr>
          <w:p w14:paraId="65F1B98F"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w:t>
            </w:r>
          </w:p>
        </w:tc>
        <w:tc>
          <w:tcPr>
            <w:tcW w:w="1171" w:type="dxa"/>
            <w:tcBorders>
              <w:top w:val="nil"/>
              <w:left w:val="nil"/>
              <w:bottom w:val="single" w:sz="4" w:space="0" w:color="auto"/>
              <w:right w:val="single" w:sz="8" w:space="0" w:color="auto"/>
            </w:tcBorders>
            <w:shd w:val="clear" w:color="auto" w:fill="auto"/>
            <w:noWrap/>
            <w:vAlign w:val="bottom"/>
            <w:hideMark/>
          </w:tcPr>
          <w:p w14:paraId="056894B2"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-0,03</w:t>
            </w:r>
          </w:p>
        </w:tc>
      </w:tr>
      <w:tr w:rsidR="0085101B" w:rsidRPr="0085101B" w14:paraId="602F57E0" w14:textId="77777777" w:rsidTr="0085101B">
        <w:trPr>
          <w:trHeight w:val="255"/>
          <w:jc w:val="center"/>
        </w:trPr>
        <w:tc>
          <w:tcPr>
            <w:tcW w:w="1300" w:type="dxa"/>
            <w:tcBorders>
              <w:top w:val="nil"/>
              <w:left w:val="single" w:sz="8" w:space="0" w:color="auto"/>
              <w:bottom w:val="single" w:sz="4" w:space="0" w:color="auto"/>
              <w:right w:val="nil"/>
            </w:tcBorders>
            <w:shd w:val="clear" w:color="auto" w:fill="auto"/>
            <w:noWrap/>
            <w:vAlign w:val="bottom"/>
            <w:hideMark/>
          </w:tcPr>
          <w:p w14:paraId="2F739C99"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AP2</w:t>
            </w:r>
          </w:p>
        </w:tc>
        <w:tc>
          <w:tcPr>
            <w:tcW w:w="1500" w:type="dxa"/>
            <w:tcBorders>
              <w:top w:val="nil"/>
              <w:left w:val="single" w:sz="8" w:space="0" w:color="auto"/>
              <w:bottom w:val="single" w:sz="4" w:space="0" w:color="auto"/>
              <w:right w:val="single" w:sz="4" w:space="0" w:color="auto"/>
            </w:tcBorders>
            <w:shd w:val="clear" w:color="000000" w:fill="FFC7CE"/>
            <w:noWrap/>
            <w:vAlign w:val="bottom"/>
            <w:hideMark/>
          </w:tcPr>
          <w:p w14:paraId="014B6C3B"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0,525</w:t>
            </w:r>
          </w:p>
        </w:tc>
        <w:tc>
          <w:tcPr>
            <w:tcW w:w="1100" w:type="dxa"/>
            <w:tcBorders>
              <w:top w:val="nil"/>
              <w:left w:val="nil"/>
              <w:bottom w:val="single" w:sz="4" w:space="0" w:color="auto"/>
              <w:right w:val="single" w:sz="8" w:space="0" w:color="auto"/>
            </w:tcBorders>
            <w:shd w:val="clear" w:color="auto" w:fill="auto"/>
            <w:noWrap/>
            <w:vAlign w:val="bottom"/>
            <w:hideMark/>
          </w:tcPr>
          <w:p w14:paraId="4583D452"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0,00</w:t>
            </w:r>
          </w:p>
        </w:tc>
        <w:tc>
          <w:tcPr>
            <w:tcW w:w="1317" w:type="dxa"/>
            <w:tcBorders>
              <w:top w:val="nil"/>
              <w:left w:val="single" w:sz="8" w:space="0" w:color="auto"/>
              <w:bottom w:val="single" w:sz="4" w:space="0" w:color="auto"/>
              <w:right w:val="single" w:sz="4" w:space="0" w:color="auto"/>
            </w:tcBorders>
            <w:shd w:val="clear" w:color="000000" w:fill="FFC7CE"/>
            <w:noWrap/>
            <w:vAlign w:val="bottom"/>
            <w:hideMark/>
          </w:tcPr>
          <w:p w14:paraId="6D75332A"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0,969</w:t>
            </w:r>
          </w:p>
        </w:tc>
        <w:tc>
          <w:tcPr>
            <w:tcW w:w="1283" w:type="dxa"/>
            <w:tcBorders>
              <w:top w:val="nil"/>
              <w:left w:val="nil"/>
              <w:bottom w:val="single" w:sz="4" w:space="0" w:color="auto"/>
              <w:right w:val="single" w:sz="8" w:space="0" w:color="auto"/>
            </w:tcBorders>
            <w:shd w:val="clear" w:color="auto" w:fill="auto"/>
            <w:noWrap/>
            <w:vAlign w:val="bottom"/>
            <w:hideMark/>
          </w:tcPr>
          <w:p w14:paraId="4438D4B5"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0,00</w:t>
            </w:r>
          </w:p>
        </w:tc>
        <w:tc>
          <w:tcPr>
            <w:tcW w:w="1429" w:type="dxa"/>
            <w:tcBorders>
              <w:top w:val="nil"/>
              <w:left w:val="single" w:sz="8" w:space="0" w:color="auto"/>
              <w:bottom w:val="single" w:sz="4" w:space="0" w:color="auto"/>
              <w:right w:val="single" w:sz="4" w:space="0" w:color="auto"/>
            </w:tcBorders>
            <w:shd w:val="clear" w:color="000000" w:fill="FFC7CE"/>
            <w:noWrap/>
            <w:vAlign w:val="bottom"/>
            <w:hideMark/>
          </w:tcPr>
          <w:p w14:paraId="534506BC"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0,897</w:t>
            </w:r>
          </w:p>
        </w:tc>
        <w:tc>
          <w:tcPr>
            <w:tcW w:w="1171" w:type="dxa"/>
            <w:tcBorders>
              <w:top w:val="nil"/>
              <w:left w:val="nil"/>
              <w:bottom w:val="single" w:sz="4" w:space="0" w:color="auto"/>
              <w:right w:val="single" w:sz="8" w:space="0" w:color="auto"/>
            </w:tcBorders>
            <w:shd w:val="clear" w:color="auto" w:fill="auto"/>
            <w:noWrap/>
            <w:vAlign w:val="bottom"/>
            <w:hideMark/>
          </w:tcPr>
          <w:p w14:paraId="1A20321E"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0,00</w:t>
            </w:r>
          </w:p>
        </w:tc>
      </w:tr>
      <w:tr w:rsidR="0085101B" w:rsidRPr="0085101B" w14:paraId="695F00ED" w14:textId="77777777" w:rsidTr="0085101B">
        <w:trPr>
          <w:trHeight w:val="255"/>
          <w:jc w:val="center"/>
        </w:trPr>
        <w:tc>
          <w:tcPr>
            <w:tcW w:w="1300" w:type="dxa"/>
            <w:tcBorders>
              <w:top w:val="nil"/>
              <w:left w:val="single" w:sz="8" w:space="0" w:color="auto"/>
              <w:bottom w:val="single" w:sz="4" w:space="0" w:color="auto"/>
              <w:right w:val="nil"/>
            </w:tcBorders>
            <w:shd w:val="clear" w:color="auto" w:fill="auto"/>
            <w:noWrap/>
            <w:vAlign w:val="bottom"/>
            <w:hideMark/>
          </w:tcPr>
          <w:p w14:paraId="134B284F"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DS</w:t>
            </w:r>
          </w:p>
        </w:tc>
        <w:tc>
          <w:tcPr>
            <w:tcW w:w="1500" w:type="dxa"/>
            <w:tcBorders>
              <w:top w:val="single" w:sz="4" w:space="0" w:color="auto"/>
              <w:left w:val="single" w:sz="8" w:space="0" w:color="auto"/>
              <w:bottom w:val="single" w:sz="4" w:space="0" w:color="auto"/>
              <w:right w:val="single" w:sz="4" w:space="0" w:color="auto"/>
            </w:tcBorders>
            <w:shd w:val="clear" w:color="000000" w:fill="D8E4BC"/>
            <w:noWrap/>
            <w:vAlign w:val="bottom"/>
            <w:hideMark/>
          </w:tcPr>
          <w:p w14:paraId="455622CF"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0,068</w:t>
            </w:r>
          </w:p>
        </w:tc>
        <w:tc>
          <w:tcPr>
            <w:tcW w:w="1100" w:type="dxa"/>
            <w:tcBorders>
              <w:top w:val="nil"/>
              <w:left w:val="nil"/>
              <w:bottom w:val="single" w:sz="4" w:space="0" w:color="auto"/>
              <w:right w:val="single" w:sz="8" w:space="0" w:color="auto"/>
            </w:tcBorders>
            <w:shd w:val="clear" w:color="auto" w:fill="auto"/>
            <w:noWrap/>
            <w:vAlign w:val="bottom"/>
            <w:hideMark/>
          </w:tcPr>
          <w:p w14:paraId="14823D50"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-2,40</w:t>
            </w:r>
          </w:p>
        </w:tc>
        <w:tc>
          <w:tcPr>
            <w:tcW w:w="1317" w:type="dxa"/>
            <w:tcBorders>
              <w:top w:val="single" w:sz="4" w:space="0" w:color="auto"/>
              <w:left w:val="single" w:sz="8" w:space="0" w:color="auto"/>
              <w:bottom w:val="single" w:sz="4" w:space="0" w:color="auto"/>
              <w:right w:val="single" w:sz="4" w:space="0" w:color="auto"/>
            </w:tcBorders>
            <w:shd w:val="clear" w:color="000000" w:fill="FFC7CE"/>
            <w:noWrap/>
            <w:vAlign w:val="bottom"/>
            <w:hideMark/>
          </w:tcPr>
          <w:p w14:paraId="6376DEEE"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0,223</w:t>
            </w:r>
          </w:p>
        </w:tc>
        <w:tc>
          <w:tcPr>
            <w:tcW w:w="1283" w:type="dxa"/>
            <w:tcBorders>
              <w:top w:val="nil"/>
              <w:left w:val="nil"/>
              <w:bottom w:val="single" w:sz="4" w:space="0" w:color="auto"/>
              <w:right w:val="single" w:sz="8" w:space="0" w:color="auto"/>
            </w:tcBorders>
            <w:shd w:val="clear" w:color="auto" w:fill="auto"/>
            <w:noWrap/>
            <w:vAlign w:val="bottom"/>
            <w:hideMark/>
          </w:tcPr>
          <w:p w14:paraId="62534B7E"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27,84</w:t>
            </w:r>
          </w:p>
        </w:tc>
        <w:tc>
          <w:tcPr>
            <w:tcW w:w="1429" w:type="dxa"/>
            <w:tcBorders>
              <w:top w:val="single" w:sz="4" w:space="0" w:color="auto"/>
              <w:left w:val="single" w:sz="8" w:space="0" w:color="auto"/>
              <w:bottom w:val="single" w:sz="4" w:space="0" w:color="auto"/>
              <w:right w:val="single" w:sz="4" w:space="0" w:color="auto"/>
            </w:tcBorders>
            <w:shd w:val="clear" w:color="000000" w:fill="FFC7CE"/>
            <w:noWrap/>
            <w:vAlign w:val="bottom"/>
            <w:hideMark/>
          </w:tcPr>
          <w:p w14:paraId="3084045B"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0,556</w:t>
            </w:r>
          </w:p>
        </w:tc>
        <w:tc>
          <w:tcPr>
            <w:tcW w:w="1171" w:type="dxa"/>
            <w:tcBorders>
              <w:top w:val="nil"/>
              <w:left w:val="nil"/>
              <w:bottom w:val="single" w:sz="4" w:space="0" w:color="auto"/>
              <w:right w:val="single" w:sz="8" w:space="0" w:color="auto"/>
            </w:tcBorders>
            <w:shd w:val="clear" w:color="auto" w:fill="auto"/>
            <w:noWrap/>
            <w:vAlign w:val="bottom"/>
            <w:hideMark/>
          </w:tcPr>
          <w:p w14:paraId="53A7D9E5"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1,51</w:t>
            </w:r>
          </w:p>
        </w:tc>
      </w:tr>
      <w:tr w:rsidR="0085101B" w:rsidRPr="0085101B" w14:paraId="309FFBD4" w14:textId="77777777" w:rsidTr="0085101B">
        <w:trPr>
          <w:trHeight w:val="255"/>
          <w:jc w:val="center"/>
        </w:trPr>
        <w:tc>
          <w:tcPr>
            <w:tcW w:w="1300" w:type="dxa"/>
            <w:tcBorders>
              <w:top w:val="nil"/>
              <w:left w:val="single" w:sz="8" w:space="0" w:color="auto"/>
              <w:bottom w:val="single" w:sz="4" w:space="0" w:color="auto"/>
              <w:right w:val="nil"/>
            </w:tcBorders>
            <w:shd w:val="clear" w:color="auto" w:fill="auto"/>
            <w:noWrap/>
            <w:vAlign w:val="bottom"/>
            <w:hideMark/>
          </w:tcPr>
          <w:p w14:paraId="7CB38306"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IS</w:t>
            </w:r>
          </w:p>
        </w:tc>
        <w:tc>
          <w:tcPr>
            <w:tcW w:w="1500" w:type="dxa"/>
            <w:tcBorders>
              <w:top w:val="single" w:sz="4" w:space="0" w:color="auto"/>
              <w:left w:val="single" w:sz="8" w:space="0" w:color="auto"/>
              <w:bottom w:val="single" w:sz="4" w:space="0" w:color="auto"/>
              <w:right w:val="single" w:sz="4" w:space="0" w:color="auto"/>
            </w:tcBorders>
            <w:shd w:val="clear" w:color="000000" w:fill="FFC7CE"/>
            <w:noWrap/>
            <w:vAlign w:val="bottom"/>
            <w:hideMark/>
          </w:tcPr>
          <w:p w14:paraId="0DB671D9"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0,616</w:t>
            </w:r>
          </w:p>
        </w:tc>
        <w:tc>
          <w:tcPr>
            <w:tcW w:w="1100" w:type="dxa"/>
            <w:tcBorders>
              <w:top w:val="nil"/>
              <w:left w:val="nil"/>
              <w:bottom w:val="single" w:sz="4" w:space="0" w:color="auto"/>
              <w:right w:val="single" w:sz="8" w:space="0" w:color="auto"/>
            </w:tcBorders>
            <w:shd w:val="clear" w:color="auto" w:fill="auto"/>
            <w:noWrap/>
            <w:vAlign w:val="bottom"/>
            <w:hideMark/>
          </w:tcPr>
          <w:p w14:paraId="2B3A3E44"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2,35</w:t>
            </w:r>
          </w:p>
        </w:tc>
        <w:tc>
          <w:tcPr>
            <w:tcW w:w="1317" w:type="dxa"/>
            <w:tcBorders>
              <w:top w:val="single" w:sz="4" w:space="0" w:color="auto"/>
              <w:left w:val="single" w:sz="8" w:space="0" w:color="auto"/>
              <w:bottom w:val="single" w:sz="4" w:space="0" w:color="auto"/>
              <w:right w:val="single" w:sz="4" w:space="0" w:color="auto"/>
            </w:tcBorders>
            <w:shd w:val="clear" w:color="000000" w:fill="D8E4BC"/>
            <w:noWrap/>
            <w:vAlign w:val="bottom"/>
            <w:hideMark/>
          </w:tcPr>
          <w:p w14:paraId="74738586"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0,048</w:t>
            </w:r>
          </w:p>
        </w:tc>
        <w:tc>
          <w:tcPr>
            <w:tcW w:w="1283" w:type="dxa"/>
            <w:tcBorders>
              <w:top w:val="nil"/>
              <w:left w:val="nil"/>
              <w:bottom w:val="single" w:sz="4" w:space="0" w:color="auto"/>
              <w:right w:val="single" w:sz="8" w:space="0" w:color="auto"/>
            </w:tcBorders>
            <w:shd w:val="clear" w:color="auto" w:fill="auto"/>
            <w:noWrap/>
            <w:vAlign w:val="bottom"/>
            <w:hideMark/>
          </w:tcPr>
          <w:p w14:paraId="0ED6692F"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-14,73</w:t>
            </w:r>
          </w:p>
        </w:tc>
        <w:tc>
          <w:tcPr>
            <w:tcW w:w="1429" w:type="dxa"/>
            <w:tcBorders>
              <w:top w:val="single" w:sz="4" w:space="0" w:color="auto"/>
              <w:left w:val="single" w:sz="8" w:space="0" w:color="auto"/>
              <w:bottom w:val="single" w:sz="4" w:space="0" w:color="auto"/>
              <w:right w:val="single" w:sz="4" w:space="0" w:color="auto"/>
            </w:tcBorders>
            <w:shd w:val="clear" w:color="000000" w:fill="FFC7CE"/>
            <w:noWrap/>
            <w:vAlign w:val="bottom"/>
            <w:hideMark/>
          </w:tcPr>
          <w:p w14:paraId="528DDB28"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0,478</w:t>
            </w:r>
          </w:p>
        </w:tc>
        <w:tc>
          <w:tcPr>
            <w:tcW w:w="1171" w:type="dxa"/>
            <w:tcBorders>
              <w:top w:val="nil"/>
              <w:left w:val="nil"/>
              <w:bottom w:val="single" w:sz="4" w:space="0" w:color="auto"/>
              <w:right w:val="single" w:sz="8" w:space="0" w:color="auto"/>
            </w:tcBorders>
            <w:shd w:val="clear" w:color="auto" w:fill="auto"/>
            <w:noWrap/>
            <w:vAlign w:val="bottom"/>
            <w:hideMark/>
          </w:tcPr>
          <w:p w14:paraId="271D7861"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-6,19</w:t>
            </w:r>
          </w:p>
        </w:tc>
      </w:tr>
      <w:tr w:rsidR="0085101B" w:rsidRPr="0085101B" w14:paraId="281865DA" w14:textId="77777777" w:rsidTr="0085101B">
        <w:trPr>
          <w:trHeight w:val="255"/>
          <w:jc w:val="center"/>
        </w:trPr>
        <w:tc>
          <w:tcPr>
            <w:tcW w:w="1300" w:type="dxa"/>
            <w:tcBorders>
              <w:top w:val="nil"/>
              <w:left w:val="single" w:sz="8" w:space="0" w:color="auto"/>
              <w:bottom w:val="single" w:sz="4" w:space="0" w:color="auto"/>
              <w:right w:val="nil"/>
            </w:tcBorders>
            <w:shd w:val="clear" w:color="auto" w:fill="auto"/>
            <w:noWrap/>
            <w:vAlign w:val="bottom"/>
            <w:hideMark/>
          </w:tcPr>
          <w:p w14:paraId="048CBEA6"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CLR</w:t>
            </w:r>
          </w:p>
        </w:tc>
        <w:tc>
          <w:tcPr>
            <w:tcW w:w="1500" w:type="dxa"/>
            <w:tcBorders>
              <w:top w:val="single" w:sz="4" w:space="0" w:color="auto"/>
              <w:left w:val="single" w:sz="8" w:space="0" w:color="auto"/>
              <w:bottom w:val="single" w:sz="4" w:space="0" w:color="auto"/>
              <w:right w:val="single" w:sz="4" w:space="0" w:color="auto"/>
            </w:tcBorders>
            <w:shd w:val="clear" w:color="000000" w:fill="D8E4BC"/>
            <w:noWrap/>
            <w:vAlign w:val="bottom"/>
            <w:hideMark/>
          </w:tcPr>
          <w:p w14:paraId="267A967C"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0,062</w:t>
            </w:r>
          </w:p>
        </w:tc>
        <w:tc>
          <w:tcPr>
            <w:tcW w:w="1100" w:type="dxa"/>
            <w:tcBorders>
              <w:top w:val="nil"/>
              <w:left w:val="nil"/>
              <w:bottom w:val="single" w:sz="4" w:space="0" w:color="auto"/>
              <w:right w:val="single" w:sz="8" w:space="0" w:color="auto"/>
            </w:tcBorders>
            <w:shd w:val="clear" w:color="auto" w:fill="auto"/>
            <w:noWrap/>
            <w:vAlign w:val="bottom"/>
            <w:hideMark/>
          </w:tcPr>
          <w:p w14:paraId="47EBE505"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0,01</w:t>
            </w:r>
          </w:p>
        </w:tc>
        <w:tc>
          <w:tcPr>
            <w:tcW w:w="1317" w:type="dxa"/>
            <w:tcBorders>
              <w:top w:val="single" w:sz="4" w:space="0" w:color="auto"/>
              <w:left w:val="single" w:sz="8" w:space="0" w:color="auto"/>
              <w:bottom w:val="single" w:sz="4" w:space="0" w:color="auto"/>
              <w:right w:val="single" w:sz="4" w:space="0" w:color="auto"/>
            </w:tcBorders>
            <w:shd w:val="clear" w:color="000000" w:fill="D8E4BC"/>
            <w:noWrap/>
            <w:vAlign w:val="bottom"/>
            <w:hideMark/>
          </w:tcPr>
          <w:p w14:paraId="3FBDBFB7"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0,029</w:t>
            </w:r>
          </w:p>
        </w:tc>
        <w:tc>
          <w:tcPr>
            <w:tcW w:w="1283" w:type="dxa"/>
            <w:tcBorders>
              <w:top w:val="nil"/>
              <w:left w:val="nil"/>
              <w:bottom w:val="single" w:sz="4" w:space="0" w:color="auto"/>
              <w:right w:val="single" w:sz="8" w:space="0" w:color="auto"/>
            </w:tcBorders>
            <w:shd w:val="clear" w:color="auto" w:fill="auto"/>
            <w:noWrap/>
            <w:vAlign w:val="bottom"/>
            <w:hideMark/>
          </w:tcPr>
          <w:p w14:paraId="6D70B395"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-0,09</w:t>
            </w:r>
          </w:p>
        </w:tc>
        <w:tc>
          <w:tcPr>
            <w:tcW w:w="1429" w:type="dxa"/>
            <w:tcBorders>
              <w:top w:val="single" w:sz="4" w:space="0" w:color="auto"/>
              <w:left w:val="single" w:sz="8" w:space="0" w:color="auto"/>
              <w:bottom w:val="single" w:sz="4" w:space="0" w:color="auto"/>
              <w:right w:val="single" w:sz="4" w:space="0" w:color="auto"/>
            </w:tcBorders>
            <w:shd w:val="clear" w:color="000000" w:fill="D8E4BC"/>
            <w:noWrap/>
            <w:vAlign w:val="bottom"/>
            <w:hideMark/>
          </w:tcPr>
          <w:p w14:paraId="17A64EBF"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0,011</w:t>
            </w:r>
          </w:p>
        </w:tc>
        <w:tc>
          <w:tcPr>
            <w:tcW w:w="1171" w:type="dxa"/>
            <w:tcBorders>
              <w:top w:val="nil"/>
              <w:left w:val="nil"/>
              <w:bottom w:val="single" w:sz="4" w:space="0" w:color="auto"/>
              <w:right w:val="single" w:sz="8" w:space="0" w:color="auto"/>
            </w:tcBorders>
            <w:shd w:val="clear" w:color="auto" w:fill="auto"/>
            <w:noWrap/>
            <w:vAlign w:val="bottom"/>
            <w:hideMark/>
          </w:tcPr>
          <w:p w14:paraId="6227B35A"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-0,01</w:t>
            </w:r>
          </w:p>
        </w:tc>
      </w:tr>
      <w:tr w:rsidR="0085101B" w:rsidRPr="0085101B" w14:paraId="6031D324" w14:textId="77777777" w:rsidTr="0085101B">
        <w:trPr>
          <w:trHeight w:val="270"/>
          <w:jc w:val="center"/>
        </w:trPr>
        <w:tc>
          <w:tcPr>
            <w:tcW w:w="1300" w:type="dxa"/>
            <w:tcBorders>
              <w:top w:val="nil"/>
              <w:left w:val="single" w:sz="8" w:space="0" w:color="auto"/>
              <w:bottom w:val="single" w:sz="4" w:space="0" w:color="auto"/>
              <w:right w:val="nil"/>
            </w:tcBorders>
            <w:shd w:val="clear" w:color="auto" w:fill="auto"/>
            <w:noWrap/>
            <w:vAlign w:val="bottom"/>
            <w:hideMark/>
          </w:tcPr>
          <w:p w14:paraId="4B083416"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GDP</w:t>
            </w:r>
          </w:p>
        </w:tc>
        <w:tc>
          <w:tcPr>
            <w:tcW w:w="1500" w:type="dxa"/>
            <w:tcBorders>
              <w:top w:val="single" w:sz="4" w:space="0" w:color="auto"/>
              <w:left w:val="single" w:sz="8" w:space="0" w:color="auto"/>
              <w:bottom w:val="single" w:sz="4" w:space="0" w:color="auto"/>
              <w:right w:val="single" w:sz="4" w:space="0" w:color="auto"/>
            </w:tcBorders>
            <w:shd w:val="clear" w:color="000000" w:fill="D8E4BC"/>
            <w:noWrap/>
            <w:vAlign w:val="bottom"/>
            <w:hideMark/>
          </w:tcPr>
          <w:p w14:paraId="14C30C4F"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0,058</w:t>
            </w:r>
          </w:p>
        </w:tc>
        <w:tc>
          <w:tcPr>
            <w:tcW w:w="1100" w:type="dxa"/>
            <w:tcBorders>
              <w:top w:val="nil"/>
              <w:left w:val="nil"/>
              <w:bottom w:val="single" w:sz="4" w:space="0" w:color="auto"/>
              <w:right w:val="single" w:sz="8" w:space="0" w:color="auto"/>
            </w:tcBorders>
            <w:shd w:val="clear" w:color="auto" w:fill="auto"/>
            <w:noWrap/>
            <w:vAlign w:val="bottom"/>
            <w:hideMark/>
          </w:tcPr>
          <w:p w14:paraId="19BBDDC9"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-1,02</w:t>
            </w:r>
          </w:p>
        </w:tc>
        <w:tc>
          <w:tcPr>
            <w:tcW w:w="1317" w:type="dxa"/>
            <w:tcBorders>
              <w:top w:val="single" w:sz="4" w:space="0" w:color="auto"/>
              <w:left w:val="single" w:sz="8" w:space="0" w:color="auto"/>
              <w:bottom w:val="single" w:sz="4" w:space="0" w:color="auto"/>
              <w:right w:val="single" w:sz="4" w:space="0" w:color="auto"/>
            </w:tcBorders>
            <w:shd w:val="clear" w:color="000000" w:fill="D8E4BC"/>
            <w:noWrap/>
            <w:vAlign w:val="bottom"/>
            <w:hideMark/>
          </w:tcPr>
          <w:p w14:paraId="57382C81"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0,004</w:t>
            </w:r>
          </w:p>
        </w:tc>
        <w:tc>
          <w:tcPr>
            <w:tcW w:w="1283" w:type="dxa"/>
            <w:tcBorders>
              <w:top w:val="nil"/>
              <w:left w:val="nil"/>
              <w:bottom w:val="single" w:sz="4" w:space="0" w:color="auto"/>
              <w:right w:val="single" w:sz="8" w:space="0" w:color="auto"/>
            </w:tcBorders>
            <w:shd w:val="clear" w:color="auto" w:fill="auto"/>
            <w:noWrap/>
            <w:vAlign w:val="bottom"/>
            <w:hideMark/>
          </w:tcPr>
          <w:p w14:paraId="21102B74"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-1,30</w:t>
            </w:r>
          </w:p>
        </w:tc>
        <w:tc>
          <w:tcPr>
            <w:tcW w:w="1429" w:type="dxa"/>
            <w:tcBorders>
              <w:top w:val="single" w:sz="4" w:space="0" w:color="auto"/>
              <w:left w:val="single" w:sz="8" w:space="0" w:color="auto"/>
              <w:bottom w:val="single" w:sz="4" w:space="0" w:color="auto"/>
              <w:right w:val="single" w:sz="4" w:space="0" w:color="auto"/>
            </w:tcBorders>
            <w:shd w:val="clear" w:color="000000" w:fill="D8E4BC"/>
            <w:noWrap/>
            <w:vAlign w:val="bottom"/>
            <w:hideMark/>
          </w:tcPr>
          <w:p w14:paraId="045FCBC6"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0,004</w:t>
            </w:r>
          </w:p>
        </w:tc>
        <w:tc>
          <w:tcPr>
            <w:tcW w:w="1171" w:type="dxa"/>
            <w:tcBorders>
              <w:top w:val="nil"/>
              <w:left w:val="nil"/>
              <w:bottom w:val="single" w:sz="4" w:space="0" w:color="auto"/>
              <w:right w:val="single" w:sz="8" w:space="0" w:color="auto"/>
            </w:tcBorders>
            <w:shd w:val="clear" w:color="auto" w:fill="auto"/>
            <w:noWrap/>
            <w:vAlign w:val="bottom"/>
            <w:hideMark/>
          </w:tcPr>
          <w:p w14:paraId="6A191B1B"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-1,42</w:t>
            </w:r>
          </w:p>
        </w:tc>
      </w:tr>
      <w:tr w:rsidR="0085101B" w:rsidRPr="0085101B" w14:paraId="07BF28B1" w14:textId="77777777" w:rsidTr="0085101B">
        <w:trPr>
          <w:trHeight w:val="270"/>
          <w:jc w:val="center"/>
        </w:trPr>
        <w:tc>
          <w:tcPr>
            <w:tcW w:w="1300" w:type="dxa"/>
            <w:tcBorders>
              <w:top w:val="nil"/>
              <w:left w:val="single" w:sz="8" w:space="0" w:color="auto"/>
              <w:bottom w:val="single" w:sz="4" w:space="0" w:color="auto"/>
              <w:right w:val="nil"/>
            </w:tcBorders>
            <w:shd w:val="clear" w:color="auto" w:fill="auto"/>
            <w:noWrap/>
            <w:vAlign w:val="bottom"/>
            <w:hideMark/>
          </w:tcPr>
          <w:p w14:paraId="727E0157"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OPR</w:t>
            </w:r>
          </w:p>
        </w:tc>
        <w:tc>
          <w:tcPr>
            <w:tcW w:w="1500" w:type="dxa"/>
            <w:tcBorders>
              <w:top w:val="single" w:sz="4" w:space="0" w:color="auto"/>
              <w:left w:val="single" w:sz="8" w:space="0" w:color="auto"/>
              <w:bottom w:val="single" w:sz="4" w:space="0" w:color="auto"/>
              <w:right w:val="single" w:sz="4" w:space="0" w:color="auto"/>
            </w:tcBorders>
            <w:shd w:val="clear" w:color="000000" w:fill="D8E4BC"/>
            <w:noWrap/>
            <w:vAlign w:val="bottom"/>
            <w:hideMark/>
          </w:tcPr>
          <w:p w14:paraId="67064AB5"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0,001</w:t>
            </w:r>
          </w:p>
        </w:tc>
        <w:tc>
          <w:tcPr>
            <w:tcW w:w="1100" w:type="dxa"/>
            <w:tcBorders>
              <w:top w:val="nil"/>
              <w:left w:val="nil"/>
              <w:bottom w:val="single" w:sz="4" w:space="0" w:color="auto"/>
              <w:right w:val="single" w:sz="8" w:space="0" w:color="auto"/>
            </w:tcBorders>
            <w:shd w:val="clear" w:color="auto" w:fill="auto"/>
            <w:noWrap/>
            <w:vAlign w:val="bottom"/>
            <w:hideMark/>
          </w:tcPr>
          <w:p w14:paraId="776CF55D"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-0,22</w:t>
            </w:r>
          </w:p>
        </w:tc>
        <w:tc>
          <w:tcPr>
            <w:tcW w:w="1317" w:type="dxa"/>
            <w:tcBorders>
              <w:top w:val="single" w:sz="4" w:space="0" w:color="auto"/>
              <w:left w:val="single" w:sz="8" w:space="0" w:color="auto"/>
              <w:bottom w:val="single" w:sz="4" w:space="0" w:color="auto"/>
              <w:right w:val="single" w:sz="4" w:space="0" w:color="auto"/>
            </w:tcBorders>
            <w:shd w:val="clear" w:color="000000" w:fill="D8E4BC"/>
            <w:noWrap/>
            <w:vAlign w:val="bottom"/>
            <w:hideMark/>
          </w:tcPr>
          <w:p w14:paraId="2A0DFB67"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0,057</w:t>
            </w:r>
          </w:p>
        </w:tc>
        <w:tc>
          <w:tcPr>
            <w:tcW w:w="1283" w:type="dxa"/>
            <w:tcBorders>
              <w:top w:val="nil"/>
              <w:left w:val="nil"/>
              <w:bottom w:val="single" w:sz="4" w:space="0" w:color="auto"/>
              <w:right w:val="single" w:sz="8" w:space="0" w:color="auto"/>
            </w:tcBorders>
            <w:shd w:val="clear" w:color="auto" w:fill="auto"/>
            <w:noWrap/>
            <w:vAlign w:val="bottom"/>
            <w:hideMark/>
          </w:tcPr>
          <w:p w14:paraId="757279C1"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0,14</w:t>
            </w:r>
          </w:p>
        </w:tc>
        <w:tc>
          <w:tcPr>
            <w:tcW w:w="1429" w:type="dxa"/>
            <w:tcBorders>
              <w:top w:val="single" w:sz="4" w:space="0" w:color="auto"/>
              <w:left w:val="single" w:sz="8" w:space="0" w:color="auto"/>
              <w:bottom w:val="single" w:sz="4" w:space="0" w:color="auto"/>
              <w:right w:val="single" w:sz="4" w:space="0" w:color="auto"/>
            </w:tcBorders>
            <w:shd w:val="clear" w:color="000000" w:fill="D8E4BC"/>
            <w:noWrap/>
            <w:vAlign w:val="bottom"/>
            <w:hideMark/>
          </w:tcPr>
          <w:p w14:paraId="43B5CB10"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0,019</w:t>
            </w:r>
          </w:p>
        </w:tc>
        <w:tc>
          <w:tcPr>
            <w:tcW w:w="1171" w:type="dxa"/>
            <w:tcBorders>
              <w:top w:val="nil"/>
              <w:left w:val="nil"/>
              <w:bottom w:val="single" w:sz="4" w:space="0" w:color="auto"/>
              <w:right w:val="single" w:sz="8" w:space="0" w:color="auto"/>
            </w:tcBorders>
            <w:shd w:val="clear" w:color="auto" w:fill="auto"/>
            <w:noWrap/>
            <w:vAlign w:val="bottom"/>
            <w:hideMark/>
          </w:tcPr>
          <w:p w14:paraId="303BF8A9"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0,47</w:t>
            </w:r>
          </w:p>
        </w:tc>
      </w:tr>
      <w:tr w:rsidR="0085101B" w:rsidRPr="0085101B" w14:paraId="31A05814" w14:textId="77777777" w:rsidTr="0085101B">
        <w:trPr>
          <w:trHeight w:val="255"/>
          <w:jc w:val="center"/>
        </w:trPr>
        <w:tc>
          <w:tcPr>
            <w:tcW w:w="1300" w:type="dxa"/>
            <w:tcBorders>
              <w:top w:val="nil"/>
              <w:left w:val="single" w:sz="8" w:space="0" w:color="auto"/>
              <w:bottom w:val="single" w:sz="4" w:space="0" w:color="auto"/>
              <w:right w:val="nil"/>
            </w:tcBorders>
            <w:shd w:val="clear" w:color="auto" w:fill="auto"/>
            <w:noWrap/>
            <w:vAlign w:val="bottom"/>
            <w:hideMark/>
          </w:tcPr>
          <w:p w14:paraId="4B88B1BE"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lastRenderedPageBreak/>
              <w:t>ft1</w:t>
            </w:r>
          </w:p>
        </w:tc>
        <w:tc>
          <w:tcPr>
            <w:tcW w:w="1500" w:type="dxa"/>
            <w:tcBorders>
              <w:top w:val="single" w:sz="4" w:space="0" w:color="auto"/>
              <w:left w:val="single" w:sz="8" w:space="0" w:color="auto"/>
              <w:bottom w:val="single" w:sz="4" w:space="0" w:color="auto"/>
              <w:right w:val="single" w:sz="4" w:space="0" w:color="auto"/>
            </w:tcBorders>
            <w:shd w:val="clear" w:color="000000" w:fill="FFC7CE"/>
            <w:noWrap/>
            <w:vAlign w:val="bottom"/>
            <w:hideMark/>
          </w:tcPr>
          <w:p w14:paraId="56179CA4"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0,363</w:t>
            </w:r>
          </w:p>
        </w:tc>
        <w:tc>
          <w:tcPr>
            <w:tcW w:w="1100" w:type="dxa"/>
            <w:tcBorders>
              <w:top w:val="nil"/>
              <w:left w:val="nil"/>
              <w:bottom w:val="single" w:sz="4" w:space="0" w:color="auto"/>
              <w:right w:val="single" w:sz="8" w:space="0" w:color="auto"/>
            </w:tcBorders>
            <w:shd w:val="clear" w:color="auto" w:fill="auto"/>
            <w:noWrap/>
            <w:vAlign w:val="bottom"/>
            <w:hideMark/>
          </w:tcPr>
          <w:p w14:paraId="62E11884"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-5,46</w:t>
            </w:r>
          </w:p>
        </w:tc>
        <w:tc>
          <w:tcPr>
            <w:tcW w:w="1317" w:type="dxa"/>
            <w:tcBorders>
              <w:top w:val="single" w:sz="4" w:space="0" w:color="auto"/>
              <w:left w:val="single" w:sz="8" w:space="0" w:color="auto"/>
              <w:bottom w:val="single" w:sz="4" w:space="0" w:color="auto"/>
              <w:right w:val="single" w:sz="4" w:space="0" w:color="auto"/>
            </w:tcBorders>
            <w:shd w:val="clear" w:color="000000" w:fill="FFC7CE"/>
            <w:noWrap/>
            <w:vAlign w:val="bottom"/>
            <w:hideMark/>
          </w:tcPr>
          <w:p w14:paraId="70767118"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0,986</w:t>
            </w:r>
          </w:p>
        </w:tc>
        <w:tc>
          <w:tcPr>
            <w:tcW w:w="1283" w:type="dxa"/>
            <w:tcBorders>
              <w:top w:val="nil"/>
              <w:left w:val="nil"/>
              <w:bottom w:val="single" w:sz="4" w:space="0" w:color="auto"/>
              <w:right w:val="single" w:sz="8" w:space="0" w:color="auto"/>
            </w:tcBorders>
            <w:shd w:val="clear" w:color="auto" w:fill="auto"/>
            <w:noWrap/>
            <w:vAlign w:val="bottom"/>
            <w:hideMark/>
          </w:tcPr>
          <w:p w14:paraId="0ADD8A33"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0,15</w:t>
            </w:r>
          </w:p>
        </w:tc>
        <w:tc>
          <w:tcPr>
            <w:tcW w:w="1429" w:type="dxa"/>
            <w:tcBorders>
              <w:top w:val="single" w:sz="4" w:space="0" w:color="auto"/>
              <w:left w:val="single" w:sz="8" w:space="0" w:color="auto"/>
              <w:bottom w:val="single" w:sz="4" w:space="0" w:color="auto"/>
              <w:right w:val="single" w:sz="4" w:space="0" w:color="auto"/>
            </w:tcBorders>
            <w:shd w:val="clear" w:color="000000" w:fill="FFC7CE"/>
            <w:noWrap/>
            <w:vAlign w:val="bottom"/>
            <w:hideMark/>
          </w:tcPr>
          <w:p w14:paraId="700B9054"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0,681</w:t>
            </w:r>
          </w:p>
        </w:tc>
        <w:tc>
          <w:tcPr>
            <w:tcW w:w="1171" w:type="dxa"/>
            <w:tcBorders>
              <w:top w:val="nil"/>
              <w:left w:val="nil"/>
              <w:bottom w:val="single" w:sz="4" w:space="0" w:color="auto"/>
              <w:right w:val="single" w:sz="8" w:space="0" w:color="auto"/>
            </w:tcBorders>
            <w:shd w:val="clear" w:color="auto" w:fill="auto"/>
            <w:noWrap/>
            <w:vAlign w:val="bottom"/>
            <w:hideMark/>
          </w:tcPr>
          <w:p w14:paraId="06ACE380"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4,25</w:t>
            </w:r>
          </w:p>
        </w:tc>
      </w:tr>
      <w:tr w:rsidR="0085101B" w:rsidRPr="0085101B" w14:paraId="47EB270F" w14:textId="77777777" w:rsidTr="0085101B">
        <w:trPr>
          <w:trHeight w:val="270"/>
          <w:jc w:val="center"/>
        </w:trPr>
        <w:tc>
          <w:tcPr>
            <w:tcW w:w="1300" w:type="dxa"/>
            <w:tcBorders>
              <w:top w:val="nil"/>
              <w:left w:val="single" w:sz="8" w:space="0" w:color="auto"/>
              <w:bottom w:val="single" w:sz="4" w:space="0" w:color="auto"/>
              <w:right w:val="nil"/>
            </w:tcBorders>
            <w:shd w:val="clear" w:color="auto" w:fill="auto"/>
            <w:noWrap/>
            <w:vAlign w:val="bottom"/>
            <w:hideMark/>
          </w:tcPr>
          <w:p w14:paraId="6F5FC20B"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ft2</w:t>
            </w:r>
          </w:p>
        </w:tc>
        <w:tc>
          <w:tcPr>
            <w:tcW w:w="1500" w:type="dxa"/>
            <w:tcBorders>
              <w:top w:val="single" w:sz="4" w:space="0" w:color="auto"/>
              <w:left w:val="single" w:sz="8" w:space="0" w:color="auto"/>
              <w:bottom w:val="single" w:sz="4" w:space="0" w:color="auto"/>
              <w:right w:val="single" w:sz="4" w:space="0" w:color="auto"/>
            </w:tcBorders>
            <w:shd w:val="clear" w:color="000000" w:fill="FFC7CE"/>
            <w:noWrap/>
            <w:vAlign w:val="bottom"/>
            <w:hideMark/>
          </w:tcPr>
          <w:p w14:paraId="47A4047A"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0,434</w:t>
            </w:r>
          </w:p>
        </w:tc>
        <w:tc>
          <w:tcPr>
            <w:tcW w:w="1100" w:type="dxa"/>
            <w:tcBorders>
              <w:top w:val="nil"/>
              <w:left w:val="nil"/>
              <w:bottom w:val="single" w:sz="4" w:space="0" w:color="auto"/>
              <w:right w:val="single" w:sz="8" w:space="0" w:color="auto"/>
            </w:tcBorders>
            <w:shd w:val="clear" w:color="auto" w:fill="auto"/>
            <w:noWrap/>
            <w:vAlign w:val="bottom"/>
            <w:hideMark/>
          </w:tcPr>
          <w:p w14:paraId="7A4C861F"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-5,43</w:t>
            </w:r>
          </w:p>
        </w:tc>
        <w:tc>
          <w:tcPr>
            <w:tcW w:w="1317" w:type="dxa"/>
            <w:tcBorders>
              <w:top w:val="single" w:sz="4" w:space="0" w:color="auto"/>
              <w:left w:val="single" w:sz="8" w:space="0" w:color="auto"/>
              <w:bottom w:val="single" w:sz="4" w:space="0" w:color="auto"/>
              <w:right w:val="single" w:sz="4" w:space="0" w:color="auto"/>
            </w:tcBorders>
            <w:shd w:val="clear" w:color="000000" w:fill="FFC7CE"/>
            <w:noWrap/>
            <w:vAlign w:val="bottom"/>
            <w:hideMark/>
          </w:tcPr>
          <w:p w14:paraId="64C2503D"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0,602</w:t>
            </w:r>
          </w:p>
        </w:tc>
        <w:tc>
          <w:tcPr>
            <w:tcW w:w="1283" w:type="dxa"/>
            <w:tcBorders>
              <w:top w:val="nil"/>
              <w:left w:val="nil"/>
              <w:bottom w:val="single" w:sz="4" w:space="0" w:color="auto"/>
              <w:right w:val="single" w:sz="8" w:space="0" w:color="auto"/>
            </w:tcBorders>
            <w:shd w:val="clear" w:color="auto" w:fill="auto"/>
            <w:noWrap/>
            <w:vAlign w:val="bottom"/>
            <w:hideMark/>
          </w:tcPr>
          <w:p w14:paraId="0D8D3377"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-5,48</w:t>
            </w:r>
          </w:p>
        </w:tc>
        <w:tc>
          <w:tcPr>
            <w:tcW w:w="1429" w:type="dxa"/>
            <w:tcBorders>
              <w:top w:val="single" w:sz="4" w:space="0" w:color="auto"/>
              <w:left w:val="single" w:sz="8" w:space="0" w:color="auto"/>
              <w:bottom w:val="single" w:sz="4" w:space="0" w:color="auto"/>
              <w:right w:val="single" w:sz="4" w:space="0" w:color="auto"/>
            </w:tcBorders>
            <w:shd w:val="clear" w:color="000000" w:fill="FFC7CE"/>
            <w:noWrap/>
            <w:vAlign w:val="bottom"/>
            <w:hideMark/>
          </w:tcPr>
          <w:p w14:paraId="7CFC2701"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0,708</w:t>
            </w:r>
          </w:p>
        </w:tc>
        <w:tc>
          <w:tcPr>
            <w:tcW w:w="1171" w:type="dxa"/>
            <w:tcBorders>
              <w:top w:val="nil"/>
              <w:left w:val="nil"/>
              <w:bottom w:val="single" w:sz="4" w:space="0" w:color="auto"/>
              <w:right w:val="single" w:sz="8" w:space="0" w:color="auto"/>
            </w:tcBorders>
            <w:shd w:val="clear" w:color="auto" w:fill="auto"/>
            <w:noWrap/>
            <w:vAlign w:val="bottom"/>
            <w:hideMark/>
          </w:tcPr>
          <w:p w14:paraId="70715C34"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4,59</w:t>
            </w:r>
          </w:p>
        </w:tc>
      </w:tr>
      <w:tr w:rsidR="0085101B" w:rsidRPr="0085101B" w14:paraId="1C343EC9" w14:textId="77777777" w:rsidTr="0085101B">
        <w:trPr>
          <w:trHeight w:val="270"/>
          <w:jc w:val="center"/>
        </w:trPr>
        <w:tc>
          <w:tcPr>
            <w:tcW w:w="1300" w:type="dxa"/>
            <w:tcBorders>
              <w:top w:val="nil"/>
              <w:left w:val="single" w:sz="8" w:space="0" w:color="auto"/>
              <w:bottom w:val="single" w:sz="8" w:space="0" w:color="auto"/>
              <w:right w:val="nil"/>
            </w:tcBorders>
            <w:shd w:val="clear" w:color="auto" w:fill="auto"/>
            <w:noWrap/>
            <w:vAlign w:val="bottom"/>
            <w:hideMark/>
          </w:tcPr>
          <w:p w14:paraId="23464125"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proofErr w:type="spellStart"/>
            <w:r w:rsidRPr="0085101B">
              <w:rPr>
                <w:rFonts w:eastAsia="Times New Roman" w:cs="Times New Roman"/>
                <w:color w:val="000000"/>
                <w:sz w:val="20"/>
                <w:szCs w:val="20"/>
                <w:lang w:val="ru-RU" w:eastAsia="ru-RU"/>
              </w:rPr>
              <w:t>Constanta</w:t>
            </w:r>
            <w:proofErr w:type="spellEnd"/>
          </w:p>
        </w:tc>
        <w:tc>
          <w:tcPr>
            <w:tcW w:w="1500" w:type="dxa"/>
            <w:tcBorders>
              <w:top w:val="single" w:sz="4" w:space="0" w:color="auto"/>
              <w:left w:val="single" w:sz="8" w:space="0" w:color="auto"/>
              <w:bottom w:val="single" w:sz="8" w:space="0" w:color="auto"/>
              <w:right w:val="single" w:sz="4" w:space="0" w:color="auto"/>
            </w:tcBorders>
            <w:shd w:val="clear" w:color="000000" w:fill="D8E4BC"/>
            <w:noWrap/>
            <w:vAlign w:val="bottom"/>
            <w:hideMark/>
          </w:tcPr>
          <w:p w14:paraId="593DE1FC"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0,023</w:t>
            </w:r>
          </w:p>
        </w:tc>
        <w:tc>
          <w:tcPr>
            <w:tcW w:w="1100" w:type="dxa"/>
            <w:tcBorders>
              <w:top w:val="nil"/>
              <w:left w:val="nil"/>
              <w:bottom w:val="single" w:sz="8" w:space="0" w:color="auto"/>
              <w:right w:val="single" w:sz="8" w:space="0" w:color="auto"/>
            </w:tcBorders>
            <w:shd w:val="clear" w:color="auto" w:fill="auto"/>
            <w:noWrap/>
            <w:vAlign w:val="bottom"/>
            <w:hideMark/>
          </w:tcPr>
          <w:p w14:paraId="36136D92"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39,67</w:t>
            </w:r>
          </w:p>
        </w:tc>
        <w:tc>
          <w:tcPr>
            <w:tcW w:w="1317" w:type="dxa"/>
            <w:tcBorders>
              <w:top w:val="single" w:sz="4" w:space="0" w:color="auto"/>
              <w:left w:val="single" w:sz="8" w:space="0" w:color="auto"/>
              <w:bottom w:val="single" w:sz="8" w:space="0" w:color="auto"/>
              <w:right w:val="single" w:sz="4" w:space="0" w:color="auto"/>
            </w:tcBorders>
            <w:shd w:val="clear" w:color="000000" w:fill="FFC7CE"/>
            <w:noWrap/>
            <w:vAlign w:val="bottom"/>
            <w:hideMark/>
          </w:tcPr>
          <w:p w14:paraId="225F3888"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0,197</w:t>
            </w:r>
          </w:p>
        </w:tc>
        <w:tc>
          <w:tcPr>
            <w:tcW w:w="1283" w:type="dxa"/>
            <w:tcBorders>
              <w:top w:val="nil"/>
              <w:left w:val="nil"/>
              <w:bottom w:val="single" w:sz="8" w:space="0" w:color="auto"/>
              <w:right w:val="single" w:sz="8" w:space="0" w:color="auto"/>
            </w:tcBorders>
            <w:shd w:val="clear" w:color="auto" w:fill="auto"/>
            <w:noWrap/>
            <w:vAlign w:val="bottom"/>
            <w:hideMark/>
          </w:tcPr>
          <w:p w14:paraId="3A087F9D"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-184,98</w:t>
            </w:r>
          </w:p>
        </w:tc>
        <w:tc>
          <w:tcPr>
            <w:tcW w:w="1429" w:type="dxa"/>
            <w:tcBorders>
              <w:top w:val="single" w:sz="4" w:space="0" w:color="auto"/>
              <w:left w:val="single" w:sz="8" w:space="0" w:color="auto"/>
              <w:bottom w:val="single" w:sz="8" w:space="0" w:color="auto"/>
              <w:right w:val="single" w:sz="4" w:space="0" w:color="auto"/>
            </w:tcBorders>
            <w:shd w:val="clear" w:color="000000" w:fill="FFC7CE"/>
            <w:noWrap/>
            <w:vAlign w:val="bottom"/>
            <w:hideMark/>
          </w:tcPr>
          <w:p w14:paraId="73148B70"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0,69</w:t>
            </w:r>
          </w:p>
        </w:tc>
        <w:tc>
          <w:tcPr>
            <w:tcW w:w="1171" w:type="dxa"/>
            <w:tcBorders>
              <w:top w:val="nil"/>
              <w:left w:val="nil"/>
              <w:bottom w:val="single" w:sz="8" w:space="0" w:color="auto"/>
              <w:right w:val="single" w:sz="8" w:space="0" w:color="auto"/>
            </w:tcBorders>
            <w:shd w:val="clear" w:color="auto" w:fill="auto"/>
            <w:noWrap/>
            <w:vAlign w:val="bottom"/>
            <w:hideMark/>
          </w:tcPr>
          <w:p w14:paraId="76364CFB" w14:textId="77777777" w:rsidR="0085101B" w:rsidRPr="0085101B" w:rsidRDefault="0085101B" w:rsidP="0085101B">
            <w:pPr>
              <w:spacing w:after="0" w:line="240" w:lineRule="auto"/>
              <w:ind w:firstLine="0"/>
              <w:contextualSpacing w:val="0"/>
              <w:jc w:val="center"/>
              <w:rPr>
                <w:rFonts w:eastAsia="Times New Roman" w:cs="Times New Roman"/>
                <w:color w:val="000000"/>
                <w:sz w:val="20"/>
                <w:szCs w:val="20"/>
                <w:lang w:val="ru-RU" w:eastAsia="ru-RU"/>
              </w:rPr>
            </w:pPr>
            <w:r w:rsidRPr="0085101B">
              <w:rPr>
                <w:rFonts w:eastAsia="Times New Roman" w:cs="Times New Roman"/>
                <w:color w:val="000000"/>
                <w:sz w:val="20"/>
                <w:szCs w:val="20"/>
                <w:lang w:val="ru-RU" w:eastAsia="ru-RU"/>
              </w:rPr>
              <w:t>-14,43</w:t>
            </w:r>
          </w:p>
        </w:tc>
      </w:tr>
    </w:tbl>
    <w:p w14:paraId="451FCF1F" w14:textId="77777777" w:rsidR="00BB4714" w:rsidRDefault="00BB4714" w:rsidP="004D2A38">
      <w:pPr>
        <w:tabs>
          <w:tab w:val="left" w:pos="0"/>
        </w:tabs>
      </w:pPr>
    </w:p>
    <w:p w14:paraId="2FE6D55C" w14:textId="208A8263" w:rsidR="00485F0E" w:rsidRDefault="0075442D" w:rsidP="004D2A38">
      <w:pPr>
        <w:tabs>
          <w:tab w:val="left" w:pos="0"/>
        </w:tabs>
      </w:pPr>
      <w:r>
        <w:t xml:space="preserve">At first sight we can see that </w:t>
      </w:r>
      <w:r w:rsidR="00485F0E">
        <w:t xml:space="preserve">working capital structure does have some influence onto the corporate performance in the </w:t>
      </w:r>
      <w:r>
        <w:t>short-, middle and long</w:t>
      </w:r>
      <w:r w:rsidR="00485F0E">
        <w:t xml:space="preserve"> terms after the M&amp;A deal execution. </w:t>
      </w:r>
      <w:r>
        <w:t xml:space="preserve">The p-values of </w:t>
      </w:r>
      <w:r w:rsidR="0085101B">
        <w:t xml:space="preserve">AR (Change in Days accounts receivables), </w:t>
      </w:r>
      <w:proofErr w:type="spellStart"/>
      <w:r w:rsidR="0085101B">
        <w:t>Inv</w:t>
      </w:r>
      <w:proofErr w:type="spellEnd"/>
      <w:r w:rsidR="0085101B">
        <w:t xml:space="preserve"> (Change in Days inventories), AP (Change in Days accounts payable) </w:t>
      </w:r>
      <w:r>
        <w:t xml:space="preserve">are all statistically significant at 10% confidence level. </w:t>
      </w:r>
      <w:r w:rsidR="00485F0E">
        <w:t>The coefficient</w:t>
      </w:r>
      <w:r>
        <w:t>s</w:t>
      </w:r>
      <w:r w:rsidR="00485F0E">
        <w:t xml:space="preserve"> of </w:t>
      </w:r>
      <w:r w:rsidR="00996E9E">
        <w:t xml:space="preserve">at all the time periods are negative, </w:t>
      </w:r>
      <w:r w:rsidR="00485F0E">
        <w:t xml:space="preserve">which means that if the proportion of working capital to total assets increases, the Tobin’s Q ratio decreases and vice versa. Actually, this result could be predicted naturally. Indeed, with increase in the proportion of the working capital the financial costs of operating current assets increase. Besides oversupplying current assets leads to inefficient usage of the assets and inactivity. In the opposite case of decreasing the working capital ratios leads to the short-time increase in efficiency and financial performance. Increase of time for payments to suppliers, investing current assets into operating fixed assets all of these lead to higher profitability, but at the same time increases financial risks for the company. </w:t>
      </w:r>
      <w:r w:rsidR="0085101B">
        <w:t xml:space="preserve">However, at the first sight the increase in Days accounts payable should naturally increase the performance of the company due to the increased time of pay outs to suppliers. However, </w:t>
      </w:r>
      <w:r w:rsidR="00393653">
        <w:t>this phenomenon</w:t>
      </w:r>
      <w:r w:rsidR="0085101B">
        <w:t xml:space="preserve"> was highly discussed in the literature and according to </w:t>
      </w:r>
      <w:proofErr w:type="spellStart"/>
      <w:r w:rsidR="0085101B">
        <w:t>Deloof</w:t>
      </w:r>
      <w:proofErr w:type="spellEnd"/>
      <w:r w:rsidR="0085101B">
        <w:t xml:space="preserve"> (2003) it happens due to the fact that in average less profitable firms tend to increase Days in accounts payable. </w:t>
      </w:r>
    </w:p>
    <w:p w14:paraId="63B61663" w14:textId="17422483" w:rsidR="00996E9E" w:rsidRDefault="00996E9E" w:rsidP="004D2A38">
      <w:pPr>
        <w:tabs>
          <w:tab w:val="left" w:pos="0"/>
        </w:tabs>
      </w:pPr>
      <w:r>
        <w:t xml:space="preserve">However, based on the previous analysis, </w:t>
      </w:r>
      <w:r w:rsidRPr="00996E9E">
        <w:t>working capital – profitability relationship lies on the inverted U-shaped curve (</w:t>
      </w:r>
      <w:proofErr w:type="spellStart"/>
      <w:r w:rsidRPr="00996E9E">
        <w:t>Baños</w:t>
      </w:r>
      <w:proofErr w:type="spellEnd"/>
      <w:r w:rsidRPr="00996E9E">
        <w:t>, García and Mart</w:t>
      </w:r>
      <w:r w:rsidRPr="00996E9E">
        <w:rPr>
          <w:rFonts w:cs="Times New Roman"/>
        </w:rPr>
        <w:t>í</w:t>
      </w:r>
      <w:r w:rsidRPr="00996E9E">
        <w:t>nez, 2014). Thus, there is the point of the highest profitability a</w:t>
      </w:r>
      <w:r>
        <w:t>n</w:t>
      </w:r>
      <w:r w:rsidRPr="00996E9E">
        <w:t xml:space="preserve">d the </w:t>
      </w:r>
      <w:r>
        <w:t>highest</w:t>
      </w:r>
      <w:r w:rsidRPr="00996E9E">
        <w:t xml:space="preserve"> working capital value. Further </w:t>
      </w:r>
      <w:r>
        <w:t>increase</w:t>
      </w:r>
      <w:r w:rsidRPr="00996E9E">
        <w:t xml:space="preserve"> in working capital amount leads actually to the lower profits. That is why linear specification might be misinterpreted and should have limitations for interpretations. </w:t>
      </w:r>
      <w:r>
        <w:t>Nevertheless, as we can see from the t-test results for – quadratic interpretation of the working capital structure</w:t>
      </w:r>
      <w:r w:rsidR="0080654D">
        <w:t xml:space="preserve"> (AR2, Inv2, AP2)</w:t>
      </w:r>
      <w:r>
        <w:t>, there is no evidence of the significant relationship between the U-shaped working capital structure and the corporate performance. Very high p-values suggest that this interpretation is not the best one and that the linear fit is a much better example.</w:t>
      </w:r>
    </w:p>
    <w:p w14:paraId="41AC1D90" w14:textId="41D5F705" w:rsidR="00996E9E" w:rsidRDefault="00996E9E" w:rsidP="004D2A38">
      <w:pPr>
        <w:tabs>
          <w:tab w:val="left" w:pos="0"/>
        </w:tabs>
      </w:pPr>
      <w:r>
        <w:t xml:space="preserve">At the same time the regression analysis surprisingly showed </w:t>
      </w:r>
      <w:r w:rsidR="0098538A">
        <w:t xml:space="preserve">no </w:t>
      </w:r>
      <w:r>
        <w:t xml:space="preserve">evidence of the </w:t>
      </w:r>
      <w:r w:rsidR="0098538A">
        <w:t xml:space="preserve">steadily </w:t>
      </w:r>
      <w:r>
        <w:t>significant relationship between company performance in mergers and acquisitions and the historically highly discussed variables of financing type, industry similarity and the deal size</w:t>
      </w:r>
      <w:r w:rsidR="0098538A">
        <w:t xml:space="preserve"> through the whole </w:t>
      </w:r>
      <w:r w:rsidR="00393653">
        <w:t>5-year</w:t>
      </w:r>
      <w:r w:rsidR="0098538A">
        <w:t xml:space="preserve"> horizon</w:t>
      </w:r>
      <w:r>
        <w:t xml:space="preserve">. None of the </w:t>
      </w:r>
      <w:r w:rsidR="000E4994">
        <w:t xml:space="preserve">p-values showed significance at all the periods of the research. </w:t>
      </w:r>
    </w:p>
    <w:p w14:paraId="3893BF64" w14:textId="695D9370" w:rsidR="000E4994" w:rsidRDefault="000E4994" w:rsidP="004D2A38">
      <w:pPr>
        <w:tabs>
          <w:tab w:val="left" w:pos="0"/>
        </w:tabs>
      </w:pPr>
      <w:r>
        <w:lastRenderedPageBreak/>
        <w:t xml:space="preserve">As for the specific control variables, such as GDP growth rate, oil prices and leverage ratio, these variables proved to be statistically significant and have an impact onto the company performance. Nevertheless, beta coefficients showed somewhat interesting pattern throughout the different time periods. First of all, the beta coefficient of the Change in Leverage ratio shifts from the positive value in T+1 to the negative values for T+3 and T+5. This may be the result of the same behavioral pattern as for the working capital structure. Indeed, leverage ratio may also have inverted U-shaped curve relationship to company performance. However, this is not the objective of the </w:t>
      </w:r>
      <w:r w:rsidR="00BF6A26">
        <w:t>current</w:t>
      </w:r>
      <w:r>
        <w:t xml:space="preserve"> research and will not be tested further. </w:t>
      </w:r>
      <w:r w:rsidR="00BF6A26">
        <w:t xml:space="preserve">Another “surprise” comes from the coefficient of the GDP growth that suggests that the higher the GDP growth rates in the country, the lower the performance of the company in mergers and acquisitions. </w:t>
      </w:r>
    </w:p>
    <w:p w14:paraId="51036AC5" w14:textId="791A76AF" w:rsidR="00BF6A26" w:rsidRDefault="00BF6A26" w:rsidP="004D2A38">
      <w:pPr>
        <w:tabs>
          <w:tab w:val="left" w:pos="0"/>
        </w:tabs>
      </w:pPr>
      <w:r>
        <w:t xml:space="preserve">To further graphically follow the relationship between the main variables </w:t>
      </w:r>
      <w:r w:rsidR="00500F13">
        <w:t>o</w:t>
      </w:r>
      <w:r>
        <w:t xml:space="preserve">f CTQ and </w:t>
      </w:r>
      <w:r w:rsidR="00393653">
        <w:t xml:space="preserve">AR, </w:t>
      </w:r>
      <w:proofErr w:type="spellStart"/>
      <w:r w:rsidR="00393653">
        <w:t>Inv</w:t>
      </w:r>
      <w:proofErr w:type="spellEnd"/>
      <w:r w:rsidR="00393653">
        <w:t>, AP</w:t>
      </w:r>
      <w:r>
        <w:t xml:space="preserve"> look at the </w:t>
      </w:r>
      <w:r w:rsidR="00415B58" w:rsidRPr="0079715F">
        <w:t>Figure 3.</w:t>
      </w:r>
      <w:r>
        <w:t xml:space="preserve"> </w:t>
      </w:r>
    </w:p>
    <w:p w14:paraId="40C9A87A" w14:textId="42622892" w:rsidR="00BF6A26" w:rsidRDefault="00393653" w:rsidP="004D2A38">
      <w:pPr>
        <w:tabs>
          <w:tab w:val="left" w:pos="0"/>
        </w:tabs>
        <w:ind w:firstLine="0"/>
        <w:jc w:val="center"/>
      </w:pPr>
      <w:r w:rsidRPr="00393653">
        <w:rPr>
          <w:noProof/>
          <w:lang w:val="ru-RU" w:eastAsia="ru-RU"/>
        </w:rPr>
        <w:drawing>
          <wp:inline distT="0" distB="0" distL="0" distR="0" wp14:anchorId="27D1DDEF" wp14:editId="45734E79">
            <wp:extent cx="2771942" cy="2025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583" cy="2039272"/>
                    </a:xfrm>
                    <a:prstGeom prst="rect">
                      <a:avLst/>
                    </a:prstGeom>
                    <a:noFill/>
                    <a:ln>
                      <a:noFill/>
                    </a:ln>
                  </pic:spPr>
                </pic:pic>
              </a:graphicData>
            </a:graphic>
          </wp:inline>
        </w:drawing>
      </w:r>
      <w:r w:rsidR="00E06201" w:rsidRPr="00E06201">
        <w:t xml:space="preserve"> </w:t>
      </w:r>
      <w:r w:rsidRPr="00393653">
        <w:rPr>
          <w:noProof/>
          <w:lang w:val="ru-RU" w:eastAsia="ru-RU"/>
        </w:rPr>
        <w:drawing>
          <wp:inline distT="0" distB="0" distL="0" distR="0" wp14:anchorId="1608D117" wp14:editId="3EC787D8">
            <wp:extent cx="2870200" cy="2097454"/>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8293" cy="2103368"/>
                    </a:xfrm>
                    <a:prstGeom prst="rect">
                      <a:avLst/>
                    </a:prstGeom>
                    <a:noFill/>
                    <a:ln>
                      <a:noFill/>
                    </a:ln>
                  </pic:spPr>
                </pic:pic>
              </a:graphicData>
            </a:graphic>
          </wp:inline>
        </w:drawing>
      </w:r>
      <w:r w:rsidR="00E06201" w:rsidRPr="00E06201">
        <w:t xml:space="preserve"> </w:t>
      </w:r>
      <w:r w:rsidR="003B3911" w:rsidRPr="003B3911">
        <w:rPr>
          <w:noProof/>
          <w:lang w:val="ru-RU" w:eastAsia="ru-RU"/>
        </w:rPr>
        <w:drawing>
          <wp:inline distT="0" distB="0" distL="0" distR="0" wp14:anchorId="2C2681BA" wp14:editId="55AE7A21">
            <wp:extent cx="2768600" cy="202320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983" cy="2037373"/>
                    </a:xfrm>
                    <a:prstGeom prst="rect">
                      <a:avLst/>
                    </a:prstGeom>
                    <a:noFill/>
                    <a:ln>
                      <a:noFill/>
                    </a:ln>
                  </pic:spPr>
                </pic:pic>
              </a:graphicData>
            </a:graphic>
          </wp:inline>
        </w:drawing>
      </w:r>
    </w:p>
    <w:p w14:paraId="13513075" w14:textId="61B958E3" w:rsidR="00BF6A26" w:rsidRDefault="00BF6A26" w:rsidP="00393653">
      <w:pPr>
        <w:pStyle w:val="a"/>
        <w:tabs>
          <w:tab w:val="left" w:pos="0"/>
        </w:tabs>
        <w:spacing w:after="0"/>
      </w:pPr>
      <w:bookmarkStart w:id="32" w:name="_Ref513686718"/>
      <w:r>
        <w:t>Regression variables scatter plots</w:t>
      </w:r>
      <w:bookmarkEnd w:id="32"/>
      <w:r w:rsidR="00E06201">
        <w:t xml:space="preserve"> for T+1</w:t>
      </w:r>
    </w:p>
    <w:p w14:paraId="1E93DF4C" w14:textId="6816AD2F" w:rsidR="00393653" w:rsidRPr="00393653" w:rsidRDefault="00393653" w:rsidP="00393653">
      <w:pPr>
        <w:pStyle w:val="a"/>
        <w:numPr>
          <w:ilvl w:val="0"/>
          <w:numId w:val="0"/>
        </w:numPr>
        <w:tabs>
          <w:tab w:val="left" w:pos="0"/>
        </w:tabs>
      </w:pPr>
      <w:r w:rsidRPr="00393653">
        <w:t>Source</w:t>
      </w:r>
      <w:r>
        <w:t>: author’s calculations</w:t>
      </w:r>
    </w:p>
    <w:p w14:paraId="5167921B" w14:textId="72780ECF" w:rsidR="00E249F5" w:rsidRPr="00E249F5" w:rsidRDefault="00E249F5" w:rsidP="00E249F5">
      <w:r>
        <w:t xml:space="preserve">At the beginning of the research methodology specification there were several hypotheses stated. In accordance with the results of the research we can conclude, that Hypotheses 1 should be </w:t>
      </w:r>
      <w:r>
        <w:lastRenderedPageBreak/>
        <w:t xml:space="preserve">accepted. Indeed, there is a significant relationship between working capital structure and company performance, which is expressed in terms of p-values of the regression. However, Hypotheses 2, should be rejected. The results of the research showed no evidence of the non-linear relationship between company performance and the working capital structure. On the contrary there are strong results showing the existence of the linear relationship between tested variables. </w:t>
      </w:r>
    </w:p>
    <w:p w14:paraId="27C12E56" w14:textId="706D326F" w:rsidR="00BF6A26" w:rsidRPr="00BF6A26" w:rsidRDefault="00F6230D" w:rsidP="004D2A38">
      <w:pPr>
        <w:pStyle w:val="2"/>
        <w:tabs>
          <w:tab w:val="left" w:pos="0"/>
        </w:tabs>
      </w:pPr>
      <w:bookmarkStart w:id="33" w:name="_Toc514964138"/>
      <w:r>
        <w:t>Optimal</w:t>
      </w:r>
      <w:r w:rsidR="00BF6A26" w:rsidRPr="00BF6A26">
        <w:t xml:space="preserve"> working capital </w:t>
      </w:r>
      <w:r>
        <w:t>level and company performance</w:t>
      </w:r>
      <w:bookmarkEnd w:id="33"/>
    </w:p>
    <w:p w14:paraId="3711DEF1" w14:textId="369514B9" w:rsidR="00641A85" w:rsidRDefault="00641A85" w:rsidP="004D2A38">
      <w:pPr>
        <w:tabs>
          <w:tab w:val="left" w:pos="0"/>
        </w:tabs>
      </w:pPr>
      <w:r>
        <w:t xml:space="preserve">In order to answer the second set of stated hypotheses a twostep analysis should be performed. On the first step the Target working capital ratio will be calculated using the predefined model </w:t>
      </w:r>
      <w:r w:rsidRPr="0079715F">
        <w:t>(</w:t>
      </w:r>
      <w:r w:rsidR="00415B58" w:rsidRPr="0079715F">
        <w:t xml:space="preserve">Formula </w:t>
      </w:r>
      <w:r w:rsidR="0079715F">
        <w:t>2</w:t>
      </w:r>
      <w:r w:rsidRPr="0079715F">
        <w:t>).</w:t>
      </w:r>
      <w:r>
        <w:t xml:space="preserve"> Further the calculated model for the target working capital ratio will be used to calculate the optimal working capital structure for each of the company in the sample for each of the time periods T+1, T+3 and T+5. Based on the optimal working capital calculations the deviations will be calculated by subtracting the actual amount of working capital. Further on these deviations (Working capital deficit) will be used to assess the relationship between </w:t>
      </w:r>
      <w:r w:rsidR="004D2A38">
        <w:t xml:space="preserve">the optimal working capital structure and company performance in mergers and acquisitions. </w:t>
      </w:r>
    </w:p>
    <w:p w14:paraId="7825A324" w14:textId="53DD92FD" w:rsidR="004D2A38" w:rsidRDefault="004D2A38" w:rsidP="004D2A38">
      <w:pPr>
        <w:tabs>
          <w:tab w:val="left" w:pos="0"/>
        </w:tabs>
      </w:pPr>
      <w:r>
        <w:t>First of all, we start with the analysis of the input data sample for descriptive statistics and correlation matrix (</w:t>
      </w:r>
      <w:r w:rsidR="00415B58" w:rsidRPr="0079715F">
        <w:fldChar w:fldCharType="begin"/>
      </w:r>
      <w:r w:rsidR="00415B58" w:rsidRPr="0079715F">
        <w:instrText xml:space="preserve"> REF _Ref514671955 \r \h  \* MERGEFORMAT </w:instrText>
      </w:r>
      <w:r w:rsidR="00415B58" w:rsidRPr="0079715F">
        <w:fldChar w:fldCharType="separate"/>
      </w:r>
      <w:r w:rsidR="00154E78">
        <w:t>Table 14</w:t>
      </w:r>
      <w:r w:rsidR="00415B58" w:rsidRPr="0079715F">
        <w:fldChar w:fldCharType="end"/>
      </w:r>
      <w:r w:rsidRPr="0079715F">
        <w:t xml:space="preserve"> and </w:t>
      </w:r>
      <w:r w:rsidR="00415B58" w:rsidRPr="0079715F">
        <w:fldChar w:fldCharType="begin"/>
      </w:r>
      <w:r w:rsidR="00415B58" w:rsidRPr="0079715F">
        <w:instrText xml:space="preserve"> REF _Ref514671967 \r \h </w:instrText>
      </w:r>
      <w:r w:rsidR="0079715F">
        <w:instrText xml:space="preserve"> \* MERGEFORMAT </w:instrText>
      </w:r>
      <w:r w:rsidR="00415B58" w:rsidRPr="0079715F">
        <w:fldChar w:fldCharType="separate"/>
      </w:r>
      <w:r w:rsidR="00154E78">
        <w:t>Table 15</w:t>
      </w:r>
      <w:r w:rsidR="00415B58" w:rsidRPr="0079715F">
        <w:fldChar w:fldCharType="end"/>
      </w:r>
      <w:r>
        <w:t xml:space="preserve">). </w:t>
      </w:r>
    </w:p>
    <w:p w14:paraId="61A6ADCB" w14:textId="3C05AAE8" w:rsidR="004D2A38" w:rsidRDefault="004D2A38" w:rsidP="004D2A38">
      <w:pPr>
        <w:pStyle w:val="a0"/>
        <w:tabs>
          <w:tab w:val="left" w:pos="0"/>
        </w:tabs>
        <w:ind w:left="0"/>
      </w:pPr>
      <w:bookmarkStart w:id="34" w:name="_Ref514671955"/>
      <w:r>
        <w:t>Descriptive statistics for Target working capital estimation data</w:t>
      </w:r>
      <w:bookmarkEnd w:id="34"/>
    </w:p>
    <w:tbl>
      <w:tblPr>
        <w:tblW w:w="5000" w:type="pct"/>
        <w:tblLook w:val="04A0" w:firstRow="1" w:lastRow="0" w:firstColumn="1" w:lastColumn="0" w:noHBand="0" w:noVBand="1"/>
      </w:tblPr>
      <w:tblGrid>
        <w:gridCol w:w="2392"/>
        <w:gridCol w:w="1042"/>
        <w:gridCol w:w="1041"/>
        <w:gridCol w:w="1041"/>
        <w:gridCol w:w="1041"/>
        <w:gridCol w:w="1041"/>
        <w:gridCol w:w="1041"/>
        <w:gridCol w:w="1040"/>
      </w:tblGrid>
      <w:tr w:rsidR="004D2A38" w:rsidRPr="004D2A38" w14:paraId="6A349F47" w14:textId="77777777" w:rsidTr="004D2A38">
        <w:trPr>
          <w:trHeight w:val="255"/>
        </w:trPr>
        <w:tc>
          <w:tcPr>
            <w:tcW w:w="1235" w:type="pct"/>
            <w:tcBorders>
              <w:top w:val="single" w:sz="4" w:space="0" w:color="auto"/>
              <w:left w:val="single" w:sz="4" w:space="0" w:color="auto"/>
              <w:bottom w:val="single" w:sz="4" w:space="0" w:color="auto"/>
              <w:right w:val="nil"/>
            </w:tcBorders>
            <w:shd w:val="clear" w:color="auto" w:fill="auto"/>
            <w:noWrap/>
            <w:vAlign w:val="center"/>
            <w:hideMark/>
          </w:tcPr>
          <w:p w14:paraId="41EA623F" w14:textId="77777777" w:rsidR="004D2A38" w:rsidRPr="004D2A38" w:rsidRDefault="004D2A38" w:rsidP="004D2A38">
            <w:pPr>
              <w:tabs>
                <w:tab w:val="left" w:pos="0"/>
              </w:tabs>
              <w:spacing w:after="0" w:line="240" w:lineRule="auto"/>
              <w:ind w:firstLine="0"/>
              <w:contextualSpacing w:val="0"/>
              <w:jc w:val="left"/>
              <w:rPr>
                <w:rFonts w:eastAsia="Times New Roman" w:cs="Times New Roman"/>
                <w:b/>
                <w:bCs/>
                <w:color w:val="000000"/>
                <w:sz w:val="20"/>
                <w:szCs w:val="20"/>
                <w:lang w:val="ru-RU" w:eastAsia="ru-RU"/>
              </w:rPr>
            </w:pPr>
            <w:r w:rsidRPr="004D2A38">
              <w:rPr>
                <w:rFonts w:eastAsia="Times New Roman" w:cs="Times New Roman"/>
                <w:b/>
                <w:bCs/>
                <w:color w:val="000000"/>
                <w:sz w:val="20"/>
                <w:szCs w:val="20"/>
                <w:lang w:val="ru-RU" w:eastAsia="ru-RU"/>
              </w:rPr>
              <w:t>Total sample (N = 123)</w:t>
            </w:r>
          </w:p>
        </w:tc>
        <w:tc>
          <w:tcPr>
            <w:tcW w:w="538" w:type="pct"/>
            <w:tcBorders>
              <w:top w:val="single" w:sz="4" w:space="0" w:color="auto"/>
              <w:left w:val="single" w:sz="4" w:space="0" w:color="auto"/>
              <w:bottom w:val="single" w:sz="4" w:space="0" w:color="auto"/>
              <w:right w:val="nil"/>
            </w:tcBorders>
            <w:shd w:val="clear" w:color="auto" w:fill="auto"/>
            <w:noWrap/>
            <w:vAlign w:val="bottom"/>
            <w:hideMark/>
          </w:tcPr>
          <w:p w14:paraId="57C7E9F8"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b/>
                <w:bCs/>
                <w:color w:val="000000"/>
                <w:sz w:val="20"/>
                <w:szCs w:val="20"/>
                <w:lang w:val="ru-RU" w:eastAsia="ru-RU"/>
              </w:rPr>
            </w:pPr>
            <w:r w:rsidRPr="004D2A38">
              <w:rPr>
                <w:rFonts w:eastAsia="Times New Roman" w:cs="Times New Roman"/>
                <w:b/>
                <w:bCs/>
                <w:color w:val="000000"/>
                <w:sz w:val="20"/>
                <w:szCs w:val="20"/>
                <w:lang w:val="ru-RU" w:eastAsia="ru-RU"/>
              </w:rPr>
              <w:t>T_WC</w:t>
            </w:r>
          </w:p>
        </w:tc>
        <w:tc>
          <w:tcPr>
            <w:tcW w:w="538" w:type="pct"/>
            <w:tcBorders>
              <w:top w:val="single" w:sz="4" w:space="0" w:color="auto"/>
              <w:left w:val="nil"/>
              <w:bottom w:val="single" w:sz="4" w:space="0" w:color="auto"/>
              <w:right w:val="nil"/>
            </w:tcBorders>
            <w:shd w:val="clear" w:color="auto" w:fill="auto"/>
            <w:noWrap/>
            <w:vAlign w:val="bottom"/>
            <w:hideMark/>
          </w:tcPr>
          <w:p w14:paraId="2B67BC31"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b/>
                <w:bCs/>
                <w:color w:val="000000"/>
                <w:sz w:val="20"/>
                <w:szCs w:val="20"/>
                <w:lang w:val="ru-RU" w:eastAsia="ru-RU"/>
              </w:rPr>
            </w:pPr>
            <w:r w:rsidRPr="004D2A38">
              <w:rPr>
                <w:rFonts w:eastAsia="Times New Roman" w:cs="Times New Roman"/>
                <w:b/>
                <w:bCs/>
                <w:color w:val="000000"/>
                <w:sz w:val="20"/>
                <w:szCs w:val="20"/>
                <w:lang w:val="ru-RU" w:eastAsia="ru-RU"/>
              </w:rPr>
              <w:t>CFO</w:t>
            </w:r>
          </w:p>
        </w:tc>
        <w:tc>
          <w:tcPr>
            <w:tcW w:w="538" w:type="pct"/>
            <w:tcBorders>
              <w:top w:val="single" w:sz="4" w:space="0" w:color="auto"/>
              <w:left w:val="nil"/>
              <w:bottom w:val="single" w:sz="4" w:space="0" w:color="auto"/>
              <w:right w:val="nil"/>
            </w:tcBorders>
            <w:shd w:val="clear" w:color="auto" w:fill="auto"/>
            <w:noWrap/>
            <w:vAlign w:val="bottom"/>
            <w:hideMark/>
          </w:tcPr>
          <w:p w14:paraId="45AB6942"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b/>
                <w:bCs/>
                <w:color w:val="000000"/>
                <w:sz w:val="20"/>
                <w:szCs w:val="20"/>
                <w:lang w:val="ru-RU" w:eastAsia="ru-RU"/>
              </w:rPr>
            </w:pPr>
            <w:r w:rsidRPr="004D2A38">
              <w:rPr>
                <w:rFonts w:eastAsia="Times New Roman" w:cs="Times New Roman"/>
                <w:b/>
                <w:bCs/>
                <w:color w:val="000000"/>
                <w:sz w:val="20"/>
                <w:szCs w:val="20"/>
                <w:lang w:val="ru-RU" w:eastAsia="ru-RU"/>
              </w:rPr>
              <w:t>OC</w:t>
            </w:r>
          </w:p>
        </w:tc>
        <w:tc>
          <w:tcPr>
            <w:tcW w:w="538" w:type="pct"/>
            <w:tcBorders>
              <w:top w:val="single" w:sz="4" w:space="0" w:color="auto"/>
              <w:left w:val="nil"/>
              <w:bottom w:val="single" w:sz="4" w:space="0" w:color="auto"/>
              <w:right w:val="nil"/>
            </w:tcBorders>
            <w:shd w:val="clear" w:color="auto" w:fill="auto"/>
            <w:noWrap/>
            <w:vAlign w:val="bottom"/>
            <w:hideMark/>
          </w:tcPr>
          <w:p w14:paraId="5BF1F16D"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b/>
                <w:bCs/>
                <w:color w:val="000000"/>
                <w:sz w:val="20"/>
                <w:szCs w:val="20"/>
                <w:lang w:val="ru-RU" w:eastAsia="ru-RU"/>
              </w:rPr>
            </w:pPr>
            <w:r w:rsidRPr="004D2A38">
              <w:rPr>
                <w:rFonts w:eastAsia="Times New Roman" w:cs="Times New Roman"/>
                <w:b/>
                <w:bCs/>
                <w:color w:val="000000"/>
                <w:sz w:val="20"/>
                <w:szCs w:val="20"/>
                <w:lang w:val="ru-RU" w:eastAsia="ru-RU"/>
              </w:rPr>
              <w:t>ROA</w:t>
            </w:r>
          </w:p>
        </w:tc>
        <w:tc>
          <w:tcPr>
            <w:tcW w:w="538" w:type="pct"/>
            <w:tcBorders>
              <w:top w:val="single" w:sz="4" w:space="0" w:color="auto"/>
              <w:left w:val="nil"/>
              <w:bottom w:val="single" w:sz="4" w:space="0" w:color="auto"/>
              <w:right w:val="nil"/>
            </w:tcBorders>
            <w:shd w:val="clear" w:color="auto" w:fill="auto"/>
            <w:noWrap/>
            <w:vAlign w:val="bottom"/>
            <w:hideMark/>
          </w:tcPr>
          <w:p w14:paraId="6BC7C460"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b/>
                <w:bCs/>
                <w:color w:val="000000"/>
                <w:sz w:val="20"/>
                <w:szCs w:val="20"/>
                <w:lang w:val="ru-RU" w:eastAsia="ru-RU"/>
              </w:rPr>
            </w:pPr>
            <w:r w:rsidRPr="004D2A38">
              <w:rPr>
                <w:rFonts w:eastAsia="Times New Roman" w:cs="Times New Roman"/>
                <w:b/>
                <w:bCs/>
                <w:color w:val="000000"/>
                <w:sz w:val="20"/>
                <w:szCs w:val="20"/>
                <w:lang w:val="ru-RU" w:eastAsia="ru-RU"/>
              </w:rPr>
              <w:t>LR</w:t>
            </w:r>
          </w:p>
        </w:tc>
        <w:tc>
          <w:tcPr>
            <w:tcW w:w="538" w:type="pct"/>
            <w:tcBorders>
              <w:top w:val="single" w:sz="4" w:space="0" w:color="auto"/>
              <w:left w:val="nil"/>
              <w:bottom w:val="single" w:sz="4" w:space="0" w:color="auto"/>
              <w:right w:val="nil"/>
            </w:tcBorders>
            <w:shd w:val="clear" w:color="auto" w:fill="auto"/>
            <w:noWrap/>
            <w:vAlign w:val="bottom"/>
            <w:hideMark/>
          </w:tcPr>
          <w:p w14:paraId="69C598A6"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b/>
                <w:bCs/>
                <w:color w:val="000000"/>
                <w:sz w:val="20"/>
                <w:szCs w:val="20"/>
                <w:lang w:val="ru-RU" w:eastAsia="ru-RU"/>
              </w:rPr>
            </w:pPr>
            <w:r w:rsidRPr="004D2A38">
              <w:rPr>
                <w:rFonts w:eastAsia="Times New Roman" w:cs="Times New Roman"/>
                <w:b/>
                <w:bCs/>
                <w:color w:val="000000"/>
                <w:sz w:val="20"/>
                <w:szCs w:val="20"/>
                <w:lang w:val="ru-RU" w:eastAsia="ru-RU"/>
              </w:rPr>
              <w:t>CAPEX</w:t>
            </w:r>
          </w:p>
        </w:tc>
        <w:tc>
          <w:tcPr>
            <w:tcW w:w="538" w:type="pct"/>
            <w:tcBorders>
              <w:top w:val="single" w:sz="4" w:space="0" w:color="auto"/>
              <w:left w:val="nil"/>
              <w:bottom w:val="single" w:sz="4" w:space="0" w:color="auto"/>
              <w:right w:val="single" w:sz="4" w:space="0" w:color="auto"/>
            </w:tcBorders>
            <w:shd w:val="clear" w:color="auto" w:fill="auto"/>
            <w:noWrap/>
            <w:vAlign w:val="bottom"/>
            <w:hideMark/>
          </w:tcPr>
          <w:p w14:paraId="5C7E0938"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b/>
                <w:bCs/>
                <w:color w:val="000000"/>
                <w:sz w:val="20"/>
                <w:szCs w:val="20"/>
                <w:lang w:val="ru-RU" w:eastAsia="ru-RU"/>
              </w:rPr>
            </w:pPr>
            <w:r w:rsidRPr="004D2A38">
              <w:rPr>
                <w:rFonts w:eastAsia="Times New Roman" w:cs="Times New Roman"/>
                <w:b/>
                <w:bCs/>
                <w:color w:val="000000"/>
                <w:sz w:val="20"/>
                <w:szCs w:val="20"/>
                <w:lang w:val="ru-RU" w:eastAsia="ru-RU"/>
              </w:rPr>
              <w:t>S</w:t>
            </w:r>
          </w:p>
        </w:tc>
      </w:tr>
      <w:tr w:rsidR="004D2A38" w:rsidRPr="004D2A38" w14:paraId="3BE3D0E8" w14:textId="77777777" w:rsidTr="004D2A38">
        <w:trPr>
          <w:trHeight w:val="255"/>
        </w:trPr>
        <w:tc>
          <w:tcPr>
            <w:tcW w:w="1235" w:type="pct"/>
            <w:tcBorders>
              <w:top w:val="nil"/>
              <w:left w:val="single" w:sz="4" w:space="0" w:color="auto"/>
              <w:bottom w:val="nil"/>
              <w:right w:val="nil"/>
            </w:tcBorders>
            <w:shd w:val="clear" w:color="auto" w:fill="auto"/>
            <w:noWrap/>
            <w:vAlign w:val="bottom"/>
            <w:hideMark/>
          </w:tcPr>
          <w:p w14:paraId="7FCF633F" w14:textId="77777777" w:rsidR="004D2A38" w:rsidRPr="004D2A38" w:rsidRDefault="004D2A38"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Mean</w:t>
            </w:r>
          </w:p>
        </w:tc>
        <w:tc>
          <w:tcPr>
            <w:tcW w:w="538" w:type="pct"/>
            <w:tcBorders>
              <w:top w:val="nil"/>
              <w:left w:val="single" w:sz="4" w:space="0" w:color="auto"/>
              <w:bottom w:val="nil"/>
              <w:right w:val="nil"/>
            </w:tcBorders>
            <w:shd w:val="clear" w:color="auto" w:fill="auto"/>
            <w:noWrap/>
            <w:vAlign w:val="bottom"/>
            <w:hideMark/>
          </w:tcPr>
          <w:p w14:paraId="521F5CC6"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6,8</w:t>
            </w:r>
          </w:p>
        </w:tc>
        <w:tc>
          <w:tcPr>
            <w:tcW w:w="538" w:type="pct"/>
            <w:tcBorders>
              <w:top w:val="nil"/>
              <w:left w:val="nil"/>
              <w:bottom w:val="nil"/>
              <w:right w:val="nil"/>
            </w:tcBorders>
            <w:shd w:val="clear" w:color="auto" w:fill="auto"/>
            <w:noWrap/>
            <w:vAlign w:val="bottom"/>
            <w:hideMark/>
          </w:tcPr>
          <w:p w14:paraId="1836FF8F"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12,1</w:t>
            </w:r>
          </w:p>
        </w:tc>
        <w:tc>
          <w:tcPr>
            <w:tcW w:w="538" w:type="pct"/>
            <w:tcBorders>
              <w:top w:val="nil"/>
              <w:left w:val="nil"/>
              <w:bottom w:val="nil"/>
              <w:right w:val="nil"/>
            </w:tcBorders>
            <w:shd w:val="clear" w:color="auto" w:fill="auto"/>
            <w:noWrap/>
            <w:vAlign w:val="bottom"/>
            <w:hideMark/>
          </w:tcPr>
          <w:p w14:paraId="10F6CC72"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86,5</w:t>
            </w:r>
          </w:p>
        </w:tc>
        <w:tc>
          <w:tcPr>
            <w:tcW w:w="538" w:type="pct"/>
            <w:tcBorders>
              <w:top w:val="nil"/>
              <w:left w:val="nil"/>
              <w:bottom w:val="nil"/>
              <w:right w:val="nil"/>
            </w:tcBorders>
            <w:shd w:val="clear" w:color="auto" w:fill="auto"/>
            <w:noWrap/>
            <w:vAlign w:val="bottom"/>
            <w:hideMark/>
          </w:tcPr>
          <w:p w14:paraId="670DED6E"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5,6</w:t>
            </w:r>
          </w:p>
        </w:tc>
        <w:tc>
          <w:tcPr>
            <w:tcW w:w="538" w:type="pct"/>
            <w:tcBorders>
              <w:top w:val="nil"/>
              <w:left w:val="nil"/>
              <w:bottom w:val="nil"/>
              <w:right w:val="nil"/>
            </w:tcBorders>
            <w:shd w:val="clear" w:color="auto" w:fill="auto"/>
            <w:noWrap/>
            <w:vAlign w:val="bottom"/>
            <w:hideMark/>
          </w:tcPr>
          <w:p w14:paraId="1C5A81C2"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36,2</w:t>
            </w:r>
          </w:p>
        </w:tc>
        <w:tc>
          <w:tcPr>
            <w:tcW w:w="538" w:type="pct"/>
            <w:tcBorders>
              <w:top w:val="nil"/>
              <w:left w:val="nil"/>
              <w:bottom w:val="nil"/>
              <w:right w:val="nil"/>
            </w:tcBorders>
            <w:shd w:val="clear" w:color="auto" w:fill="auto"/>
            <w:noWrap/>
            <w:vAlign w:val="bottom"/>
            <w:hideMark/>
          </w:tcPr>
          <w:p w14:paraId="5730BF6D"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13,7</w:t>
            </w:r>
          </w:p>
        </w:tc>
        <w:tc>
          <w:tcPr>
            <w:tcW w:w="538" w:type="pct"/>
            <w:tcBorders>
              <w:top w:val="nil"/>
              <w:left w:val="nil"/>
              <w:bottom w:val="nil"/>
              <w:right w:val="single" w:sz="4" w:space="0" w:color="auto"/>
            </w:tcBorders>
            <w:shd w:val="clear" w:color="auto" w:fill="auto"/>
            <w:noWrap/>
            <w:vAlign w:val="bottom"/>
            <w:hideMark/>
          </w:tcPr>
          <w:p w14:paraId="042C8B2C"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15,7</w:t>
            </w:r>
          </w:p>
        </w:tc>
      </w:tr>
      <w:tr w:rsidR="004D2A38" w:rsidRPr="004D2A38" w14:paraId="12F70875" w14:textId="77777777" w:rsidTr="004D2A38">
        <w:trPr>
          <w:trHeight w:val="255"/>
        </w:trPr>
        <w:tc>
          <w:tcPr>
            <w:tcW w:w="1235" w:type="pct"/>
            <w:tcBorders>
              <w:top w:val="nil"/>
              <w:left w:val="single" w:sz="4" w:space="0" w:color="auto"/>
              <w:bottom w:val="nil"/>
              <w:right w:val="nil"/>
            </w:tcBorders>
            <w:shd w:val="clear" w:color="auto" w:fill="auto"/>
            <w:noWrap/>
            <w:vAlign w:val="bottom"/>
            <w:hideMark/>
          </w:tcPr>
          <w:p w14:paraId="2DD2176B" w14:textId="77777777" w:rsidR="004D2A38" w:rsidRPr="004D2A38" w:rsidRDefault="004D2A38"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SD</w:t>
            </w:r>
          </w:p>
        </w:tc>
        <w:tc>
          <w:tcPr>
            <w:tcW w:w="538" w:type="pct"/>
            <w:tcBorders>
              <w:top w:val="nil"/>
              <w:left w:val="single" w:sz="4" w:space="0" w:color="auto"/>
              <w:bottom w:val="nil"/>
              <w:right w:val="nil"/>
            </w:tcBorders>
            <w:shd w:val="clear" w:color="auto" w:fill="auto"/>
            <w:noWrap/>
            <w:vAlign w:val="bottom"/>
            <w:hideMark/>
          </w:tcPr>
          <w:p w14:paraId="6FD9341E"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11,1</w:t>
            </w:r>
          </w:p>
        </w:tc>
        <w:tc>
          <w:tcPr>
            <w:tcW w:w="538" w:type="pct"/>
            <w:tcBorders>
              <w:top w:val="nil"/>
              <w:left w:val="nil"/>
              <w:bottom w:val="nil"/>
              <w:right w:val="nil"/>
            </w:tcBorders>
            <w:shd w:val="clear" w:color="auto" w:fill="auto"/>
            <w:noWrap/>
            <w:vAlign w:val="bottom"/>
            <w:hideMark/>
          </w:tcPr>
          <w:p w14:paraId="7AB15157"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8,2</w:t>
            </w:r>
          </w:p>
        </w:tc>
        <w:tc>
          <w:tcPr>
            <w:tcW w:w="538" w:type="pct"/>
            <w:tcBorders>
              <w:top w:val="nil"/>
              <w:left w:val="nil"/>
              <w:bottom w:val="nil"/>
              <w:right w:val="nil"/>
            </w:tcBorders>
            <w:shd w:val="clear" w:color="auto" w:fill="auto"/>
            <w:noWrap/>
            <w:vAlign w:val="bottom"/>
            <w:hideMark/>
          </w:tcPr>
          <w:p w14:paraId="7F8A6CEA"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52,9</w:t>
            </w:r>
          </w:p>
        </w:tc>
        <w:tc>
          <w:tcPr>
            <w:tcW w:w="538" w:type="pct"/>
            <w:tcBorders>
              <w:top w:val="nil"/>
              <w:left w:val="nil"/>
              <w:bottom w:val="nil"/>
              <w:right w:val="nil"/>
            </w:tcBorders>
            <w:shd w:val="clear" w:color="auto" w:fill="auto"/>
            <w:noWrap/>
            <w:vAlign w:val="bottom"/>
            <w:hideMark/>
          </w:tcPr>
          <w:p w14:paraId="7C814603"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10,7</w:t>
            </w:r>
          </w:p>
        </w:tc>
        <w:tc>
          <w:tcPr>
            <w:tcW w:w="538" w:type="pct"/>
            <w:tcBorders>
              <w:top w:val="nil"/>
              <w:left w:val="nil"/>
              <w:bottom w:val="nil"/>
              <w:right w:val="nil"/>
            </w:tcBorders>
            <w:shd w:val="clear" w:color="auto" w:fill="auto"/>
            <w:noWrap/>
            <w:vAlign w:val="bottom"/>
            <w:hideMark/>
          </w:tcPr>
          <w:p w14:paraId="0667EEC8"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33,3</w:t>
            </w:r>
          </w:p>
        </w:tc>
        <w:tc>
          <w:tcPr>
            <w:tcW w:w="538" w:type="pct"/>
            <w:tcBorders>
              <w:top w:val="nil"/>
              <w:left w:val="nil"/>
              <w:bottom w:val="nil"/>
              <w:right w:val="nil"/>
            </w:tcBorders>
            <w:shd w:val="clear" w:color="auto" w:fill="auto"/>
            <w:noWrap/>
            <w:vAlign w:val="bottom"/>
            <w:hideMark/>
          </w:tcPr>
          <w:p w14:paraId="5C4034B6"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9,1</w:t>
            </w:r>
          </w:p>
        </w:tc>
        <w:tc>
          <w:tcPr>
            <w:tcW w:w="538" w:type="pct"/>
            <w:tcBorders>
              <w:top w:val="nil"/>
              <w:left w:val="nil"/>
              <w:bottom w:val="nil"/>
              <w:right w:val="single" w:sz="4" w:space="0" w:color="auto"/>
            </w:tcBorders>
            <w:shd w:val="clear" w:color="auto" w:fill="auto"/>
            <w:noWrap/>
            <w:vAlign w:val="bottom"/>
            <w:hideMark/>
          </w:tcPr>
          <w:p w14:paraId="263323F4"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2,3</w:t>
            </w:r>
          </w:p>
        </w:tc>
      </w:tr>
      <w:tr w:rsidR="004D2A38" w:rsidRPr="004D2A38" w14:paraId="41B558D7" w14:textId="77777777" w:rsidTr="004D2A38">
        <w:trPr>
          <w:trHeight w:val="255"/>
        </w:trPr>
        <w:tc>
          <w:tcPr>
            <w:tcW w:w="1235" w:type="pct"/>
            <w:tcBorders>
              <w:top w:val="nil"/>
              <w:left w:val="single" w:sz="4" w:space="0" w:color="auto"/>
              <w:bottom w:val="nil"/>
              <w:right w:val="nil"/>
            </w:tcBorders>
            <w:shd w:val="clear" w:color="auto" w:fill="auto"/>
            <w:noWrap/>
            <w:vAlign w:val="bottom"/>
            <w:hideMark/>
          </w:tcPr>
          <w:p w14:paraId="2A0C288D" w14:textId="77777777" w:rsidR="004D2A38" w:rsidRPr="004D2A38" w:rsidRDefault="004D2A38"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Minimum</w:t>
            </w:r>
          </w:p>
        </w:tc>
        <w:tc>
          <w:tcPr>
            <w:tcW w:w="538" w:type="pct"/>
            <w:tcBorders>
              <w:top w:val="nil"/>
              <w:left w:val="single" w:sz="4" w:space="0" w:color="auto"/>
              <w:bottom w:val="nil"/>
              <w:right w:val="nil"/>
            </w:tcBorders>
            <w:shd w:val="clear" w:color="auto" w:fill="auto"/>
            <w:noWrap/>
            <w:vAlign w:val="bottom"/>
            <w:hideMark/>
          </w:tcPr>
          <w:p w14:paraId="2F7C7DF8"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-16,3</w:t>
            </w:r>
          </w:p>
        </w:tc>
        <w:tc>
          <w:tcPr>
            <w:tcW w:w="538" w:type="pct"/>
            <w:tcBorders>
              <w:top w:val="nil"/>
              <w:left w:val="nil"/>
              <w:bottom w:val="nil"/>
              <w:right w:val="nil"/>
            </w:tcBorders>
            <w:shd w:val="clear" w:color="auto" w:fill="auto"/>
            <w:noWrap/>
            <w:vAlign w:val="bottom"/>
            <w:hideMark/>
          </w:tcPr>
          <w:p w14:paraId="55F95747"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-17,8</w:t>
            </w:r>
          </w:p>
        </w:tc>
        <w:tc>
          <w:tcPr>
            <w:tcW w:w="538" w:type="pct"/>
            <w:tcBorders>
              <w:top w:val="nil"/>
              <w:left w:val="nil"/>
              <w:bottom w:val="nil"/>
              <w:right w:val="nil"/>
            </w:tcBorders>
            <w:shd w:val="clear" w:color="auto" w:fill="auto"/>
            <w:noWrap/>
            <w:vAlign w:val="bottom"/>
            <w:hideMark/>
          </w:tcPr>
          <w:p w14:paraId="599623DF"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9,3</w:t>
            </w:r>
          </w:p>
        </w:tc>
        <w:tc>
          <w:tcPr>
            <w:tcW w:w="538" w:type="pct"/>
            <w:tcBorders>
              <w:top w:val="nil"/>
              <w:left w:val="nil"/>
              <w:bottom w:val="nil"/>
              <w:right w:val="nil"/>
            </w:tcBorders>
            <w:shd w:val="clear" w:color="auto" w:fill="auto"/>
            <w:noWrap/>
            <w:vAlign w:val="bottom"/>
            <w:hideMark/>
          </w:tcPr>
          <w:p w14:paraId="6FEAFD1F"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-40,8</w:t>
            </w:r>
          </w:p>
        </w:tc>
        <w:tc>
          <w:tcPr>
            <w:tcW w:w="538" w:type="pct"/>
            <w:tcBorders>
              <w:top w:val="nil"/>
              <w:left w:val="nil"/>
              <w:bottom w:val="nil"/>
              <w:right w:val="nil"/>
            </w:tcBorders>
            <w:shd w:val="clear" w:color="auto" w:fill="auto"/>
            <w:noWrap/>
            <w:vAlign w:val="bottom"/>
            <w:hideMark/>
          </w:tcPr>
          <w:p w14:paraId="24FD89AC"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0,0</w:t>
            </w:r>
          </w:p>
        </w:tc>
        <w:tc>
          <w:tcPr>
            <w:tcW w:w="538" w:type="pct"/>
            <w:tcBorders>
              <w:top w:val="nil"/>
              <w:left w:val="nil"/>
              <w:bottom w:val="nil"/>
              <w:right w:val="nil"/>
            </w:tcBorders>
            <w:shd w:val="clear" w:color="auto" w:fill="auto"/>
            <w:noWrap/>
            <w:vAlign w:val="bottom"/>
            <w:hideMark/>
          </w:tcPr>
          <w:p w14:paraId="2D974541"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0,1</w:t>
            </w:r>
          </w:p>
        </w:tc>
        <w:tc>
          <w:tcPr>
            <w:tcW w:w="538" w:type="pct"/>
            <w:tcBorders>
              <w:top w:val="nil"/>
              <w:left w:val="nil"/>
              <w:bottom w:val="nil"/>
              <w:right w:val="single" w:sz="4" w:space="0" w:color="auto"/>
            </w:tcBorders>
            <w:shd w:val="clear" w:color="auto" w:fill="auto"/>
            <w:noWrap/>
            <w:vAlign w:val="bottom"/>
            <w:hideMark/>
          </w:tcPr>
          <w:p w14:paraId="1F48AA2E"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10,1</w:t>
            </w:r>
          </w:p>
        </w:tc>
      </w:tr>
      <w:tr w:rsidR="004D2A38" w:rsidRPr="004D2A38" w14:paraId="1FD37D8F" w14:textId="77777777" w:rsidTr="004D2A38">
        <w:trPr>
          <w:trHeight w:val="255"/>
        </w:trPr>
        <w:tc>
          <w:tcPr>
            <w:tcW w:w="1235" w:type="pct"/>
            <w:tcBorders>
              <w:top w:val="nil"/>
              <w:left w:val="single" w:sz="4" w:space="0" w:color="auto"/>
              <w:bottom w:val="single" w:sz="4" w:space="0" w:color="auto"/>
              <w:right w:val="nil"/>
            </w:tcBorders>
            <w:shd w:val="clear" w:color="auto" w:fill="auto"/>
            <w:noWrap/>
            <w:vAlign w:val="bottom"/>
            <w:hideMark/>
          </w:tcPr>
          <w:p w14:paraId="651DF76F" w14:textId="77777777" w:rsidR="004D2A38" w:rsidRPr="004D2A38" w:rsidRDefault="004D2A38"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Maximum</w:t>
            </w:r>
          </w:p>
        </w:tc>
        <w:tc>
          <w:tcPr>
            <w:tcW w:w="538" w:type="pct"/>
            <w:tcBorders>
              <w:top w:val="nil"/>
              <w:left w:val="single" w:sz="4" w:space="0" w:color="auto"/>
              <w:bottom w:val="single" w:sz="4" w:space="0" w:color="auto"/>
              <w:right w:val="nil"/>
            </w:tcBorders>
            <w:shd w:val="clear" w:color="auto" w:fill="auto"/>
            <w:noWrap/>
            <w:vAlign w:val="bottom"/>
            <w:hideMark/>
          </w:tcPr>
          <w:p w14:paraId="49AA5A87"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49,9</w:t>
            </w:r>
          </w:p>
        </w:tc>
        <w:tc>
          <w:tcPr>
            <w:tcW w:w="538" w:type="pct"/>
            <w:tcBorders>
              <w:top w:val="nil"/>
              <w:left w:val="nil"/>
              <w:bottom w:val="single" w:sz="4" w:space="0" w:color="auto"/>
              <w:right w:val="nil"/>
            </w:tcBorders>
            <w:shd w:val="clear" w:color="auto" w:fill="auto"/>
            <w:noWrap/>
            <w:vAlign w:val="bottom"/>
            <w:hideMark/>
          </w:tcPr>
          <w:p w14:paraId="275FDAE4"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31,8</w:t>
            </w:r>
          </w:p>
        </w:tc>
        <w:tc>
          <w:tcPr>
            <w:tcW w:w="538" w:type="pct"/>
            <w:tcBorders>
              <w:top w:val="nil"/>
              <w:left w:val="nil"/>
              <w:bottom w:val="single" w:sz="4" w:space="0" w:color="auto"/>
              <w:right w:val="nil"/>
            </w:tcBorders>
            <w:shd w:val="clear" w:color="auto" w:fill="auto"/>
            <w:noWrap/>
            <w:vAlign w:val="bottom"/>
            <w:hideMark/>
          </w:tcPr>
          <w:p w14:paraId="235D1B3F"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331,8</w:t>
            </w:r>
          </w:p>
        </w:tc>
        <w:tc>
          <w:tcPr>
            <w:tcW w:w="538" w:type="pct"/>
            <w:tcBorders>
              <w:top w:val="nil"/>
              <w:left w:val="nil"/>
              <w:bottom w:val="single" w:sz="4" w:space="0" w:color="auto"/>
              <w:right w:val="nil"/>
            </w:tcBorders>
            <w:shd w:val="clear" w:color="auto" w:fill="auto"/>
            <w:noWrap/>
            <w:vAlign w:val="bottom"/>
            <w:hideMark/>
          </w:tcPr>
          <w:p w14:paraId="45EAFF20"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36,8</w:t>
            </w:r>
          </w:p>
        </w:tc>
        <w:tc>
          <w:tcPr>
            <w:tcW w:w="538" w:type="pct"/>
            <w:tcBorders>
              <w:top w:val="nil"/>
              <w:left w:val="nil"/>
              <w:bottom w:val="single" w:sz="4" w:space="0" w:color="auto"/>
              <w:right w:val="nil"/>
            </w:tcBorders>
            <w:shd w:val="clear" w:color="auto" w:fill="auto"/>
            <w:noWrap/>
            <w:vAlign w:val="bottom"/>
            <w:hideMark/>
          </w:tcPr>
          <w:p w14:paraId="634A5427"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159,8</w:t>
            </w:r>
          </w:p>
        </w:tc>
        <w:tc>
          <w:tcPr>
            <w:tcW w:w="538" w:type="pct"/>
            <w:tcBorders>
              <w:top w:val="nil"/>
              <w:left w:val="nil"/>
              <w:bottom w:val="single" w:sz="4" w:space="0" w:color="auto"/>
              <w:right w:val="nil"/>
            </w:tcBorders>
            <w:shd w:val="clear" w:color="auto" w:fill="auto"/>
            <w:noWrap/>
            <w:vAlign w:val="bottom"/>
            <w:hideMark/>
          </w:tcPr>
          <w:p w14:paraId="358B3ABA"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47,6</w:t>
            </w:r>
          </w:p>
        </w:tc>
        <w:tc>
          <w:tcPr>
            <w:tcW w:w="538" w:type="pct"/>
            <w:tcBorders>
              <w:top w:val="nil"/>
              <w:left w:val="nil"/>
              <w:bottom w:val="single" w:sz="4" w:space="0" w:color="auto"/>
              <w:right w:val="single" w:sz="4" w:space="0" w:color="auto"/>
            </w:tcBorders>
            <w:shd w:val="clear" w:color="auto" w:fill="auto"/>
            <w:noWrap/>
            <w:vAlign w:val="bottom"/>
            <w:hideMark/>
          </w:tcPr>
          <w:p w14:paraId="3958D440" w14:textId="77777777" w:rsidR="004D2A38" w:rsidRPr="004D2A38" w:rsidRDefault="004D2A38" w:rsidP="004D2A38">
            <w:pPr>
              <w:tabs>
                <w:tab w:val="left" w:pos="0"/>
              </w:tabs>
              <w:spacing w:after="0" w:line="240" w:lineRule="auto"/>
              <w:ind w:firstLine="0"/>
              <w:contextualSpacing w:val="0"/>
              <w:jc w:val="center"/>
              <w:rPr>
                <w:rFonts w:eastAsia="Times New Roman" w:cs="Times New Roman"/>
                <w:color w:val="000000"/>
                <w:sz w:val="20"/>
                <w:szCs w:val="20"/>
                <w:lang w:val="ru-RU" w:eastAsia="ru-RU"/>
              </w:rPr>
            </w:pPr>
            <w:r w:rsidRPr="004D2A38">
              <w:rPr>
                <w:rFonts w:eastAsia="Times New Roman" w:cs="Times New Roman"/>
                <w:color w:val="000000"/>
                <w:sz w:val="20"/>
                <w:szCs w:val="20"/>
                <w:lang w:val="ru-RU" w:eastAsia="ru-RU"/>
              </w:rPr>
              <w:t>19,5</w:t>
            </w:r>
          </w:p>
        </w:tc>
      </w:tr>
    </w:tbl>
    <w:p w14:paraId="37E9C623" w14:textId="1E0F1026" w:rsidR="004D2A38" w:rsidRDefault="004D2A38" w:rsidP="004D2A38">
      <w:pPr>
        <w:tabs>
          <w:tab w:val="left" w:pos="0"/>
        </w:tabs>
      </w:pPr>
      <w:r>
        <w:t>As we can see the mean value of the target working capital ratios is equal to 6,8%. This basically means, that the ne</w:t>
      </w:r>
      <w:r w:rsidR="00033F17">
        <w:t>t</w:t>
      </w:r>
      <w:r>
        <w:t xml:space="preserve"> working capital (Current assets – Current Liabilities) is just 6,8% of the total assets of the companies in average. We can also observe negative values representing the excess of liabilities over assets. Actually, this is not traditional for the oil &amp; gas companies and more frequently met at the technological companies. Still negative values may be treated as aggressive working capital management policy and still can be appropriate at some situations. There are no any other “surprising” results arising from the data sample.</w:t>
      </w:r>
    </w:p>
    <w:p w14:paraId="7569F9F7" w14:textId="27F741FD" w:rsidR="004D2A38" w:rsidRDefault="004D2A38" w:rsidP="004D2A38">
      <w:pPr>
        <w:pStyle w:val="a0"/>
        <w:tabs>
          <w:tab w:val="left" w:pos="0"/>
        </w:tabs>
        <w:ind w:left="0"/>
      </w:pPr>
      <w:bookmarkStart w:id="35" w:name="_Ref514671967"/>
      <w:r>
        <w:t>Correlation matrix for Target working capital variables</w:t>
      </w:r>
      <w:bookmarkEnd w:id="35"/>
    </w:p>
    <w:tbl>
      <w:tblPr>
        <w:tblW w:w="5000" w:type="pct"/>
        <w:tblLook w:val="04A0" w:firstRow="1" w:lastRow="0" w:firstColumn="1" w:lastColumn="0" w:noHBand="0" w:noVBand="1"/>
      </w:tblPr>
      <w:tblGrid>
        <w:gridCol w:w="1209"/>
        <w:gridCol w:w="1210"/>
        <w:gridCol w:w="1210"/>
        <w:gridCol w:w="1210"/>
        <w:gridCol w:w="1210"/>
        <w:gridCol w:w="1210"/>
        <w:gridCol w:w="1210"/>
        <w:gridCol w:w="1210"/>
      </w:tblGrid>
      <w:tr w:rsidR="00A7488F" w:rsidRPr="00A7488F" w14:paraId="4FFA8976" w14:textId="77777777" w:rsidTr="005257C4">
        <w:trPr>
          <w:trHeight w:val="300"/>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05004" w14:textId="77777777" w:rsidR="00A7488F" w:rsidRPr="00E565C5" w:rsidRDefault="00A7488F" w:rsidP="00A7488F">
            <w:pPr>
              <w:spacing w:after="0" w:line="240" w:lineRule="auto"/>
              <w:ind w:firstLine="0"/>
              <w:contextualSpacing w:val="0"/>
              <w:jc w:val="center"/>
              <w:rPr>
                <w:rFonts w:eastAsia="Times New Roman" w:cs="Times New Roman"/>
                <w:b/>
                <w:bCs/>
                <w:color w:val="000000"/>
                <w:sz w:val="20"/>
                <w:szCs w:val="20"/>
                <w:lang w:eastAsia="ru-RU"/>
              </w:rPr>
            </w:pPr>
            <w:r w:rsidRPr="00E565C5">
              <w:rPr>
                <w:rFonts w:eastAsia="Times New Roman" w:cs="Times New Roman"/>
                <w:b/>
                <w:bCs/>
                <w:color w:val="000000"/>
                <w:sz w:val="20"/>
                <w:szCs w:val="20"/>
                <w:lang w:eastAsia="ru-RU"/>
              </w:rPr>
              <w:t> </w:t>
            </w:r>
          </w:p>
        </w:tc>
        <w:tc>
          <w:tcPr>
            <w:tcW w:w="625" w:type="pct"/>
            <w:tcBorders>
              <w:top w:val="single" w:sz="4" w:space="0" w:color="auto"/>
              <w:left w:val="nil"/>
              <w:bottom w:val="single" w:sz="4" w:space="0" w:color="auto"/>
              <w:right w:val="nil"/>
            </w:tcBorders>
            <w:shd w:val="clear" w:color="auto" w:fill="auto"/>
            <w:noWrap/>
            <w:vAlign w:val="bottom"/>
            <w:hideMark/>
          </w:tcPr>
          <w:p w14:paraId="016A852B" w14:textId="0D331CAE" w:rsidR="00A7488F" w:rsidRPr="00A7488F" w:rsidRDefault="00A7488F" w:rsidP="00A7488F">
            <w:pPr>
              <w:spacing w:after="0" w:line="240" w:lineRule="auto"/>
              <w:ind w:firstLine="0"/>
              <w:contextualSpacing w:val="0"/>
              <w:jc w:val="center"/>
              <w:rPr>
                <w:rFonts w:eastAsia="Times New Roman" w:cs="Times New Roman"/>
                <w:b/>
                <w:bCs/>
                <w:color w:val="000000"/>
                <w:sz w:val="20"/>
                <w:szCs w:val="20"/>
                <w:lang w:eastAsia="ru-RU"/>
              </w:rPr>
            </w:pPr>
            <w:r w:rsidRPr="00A7488F">
              <w:rPr>
                <w:rFonts w:eastAsia="Times New Roman" w:cs="Times New Roman"/>
                <w:b/>
                <w:bCs/>
                <w:color w:val="000000"/>
                <w:sz w:val="20"/>
                <w:szCs w:val="20"/>
                <w:lang w:val="ru-RU" w:eastAsia="ru-RU"/>
              </w:rPr>
              <w:t>T_W</w:t>
            </w:r>
            <w:r w:rsidR="00B71324">
              <w:rPr>
                <w:rFonts w:eastAsia="Times New Roman" w:cs="Times New Roman"/>
                <w:b/>
                <w:bCs/>
                <w:color w:val="000000"/>
                <w:sz w:val="20"/>
                <w:szCs w:val="20"/>
                <w:lang w:eastAsia="ru-RU"/>
              </w:rPr>
              <w:t>C</w:t>
            </w:r>
          </w:p>
        </w:tc>
        <w:tc>
          <w:tcPr>
            <w:tcW w:w="625" w:type="pct"/>
            <w:tcBorders>
              <w:top w:val="single" w:sz="4" w:space="0" w:color="auto"/>
              <w:left w:val="nil"/>
              <w:bottom w:val="single" w:sz="4" w:space="0" w:color="auto"/>
              <w:right w:val="nil"/>
            </w:tcBorders>
            <w:shd w:val="clear" w:color="auto" w:fill="auto"/>
            <w:noWrap/>
            <w:vAlign w:val="bottom"/>
            <w:hideMark/>
          </w:tcPr>
          <w:p w14:paraId="6E8382AF" w14:textId="77777777" w:rsidR="00A7488F" w:rsidRPr="00A7488F" w:rsidRDefault="00A7488F" w:rsidP="00A7488F">
            <w:pPr>
              <w:spacing w:after="0" w:line="240" w:lineRule="auto"/>
              <w:ind w:firstLine="0"/>
              <w:contextualSpacing w:val="0"/>
              <w:jc w:val="center"/>
              <w:rPr>
                <w:rFonts w:eastAsia="Times New Roman" w:cs="Times New Roman"/>
                <w:b/>
                <w:bCs/>
                <w:color w:val="000000"/>
                <w:sz w:val="20"/>
                <w:szCs w:val="20"/>
                <w:lang w:val="ru-RU" w:eastAsia="ru-RU"/>
              </w:rPr>
            </w:pPr>
            <w:r w:rsidRPr="00A7488F">
              <w:rPr>
                <w:rFonts w:eastAsia="Times New Roman" w:cs="Times New Roman"/>
                <w:b/>
                <w:bCs/>
                <w:color w:val="000000"/>
                <w:sz w:val="20"/>
                <w:szCs w:val="20"/>
                <w:lang w:val="ru-RU" w:eastAsia="ru-RU"/>
              </w:rPr>
              <w:t>CFO</w:t>
            </w:r>
          </w:p>
        </w:tc>
        <w:tc>
          <w:tcPr>
            <w:tcW w:w="625" w:type="pct"/>
            <w:tcBorders>
              <w:top w:val="single" w:sz="4" w:space="0" w:color="auto"/>
              <w:left w:val="nil"/>
              <w:bottom w:val="single" w:sz="4" w:space="0" w:color="auto"/>
              <w:right w:val="nil"/>
            </w:tcBorders>
            <w:shd w:val="clear" w:color="auto" w:fill="auto"/>
            <w:noWrap/>
            <w:vAlign w:val="bottom"/>
            <w:hideMark/>
          </w:tcPr>
          <w:p w14:paraId="46395907" w14:textId="77777777" w:rsidR="00A7488F" w:rsidRPr="00A7488F" w:rsidRDefault="00A7488F" w:rsidP="00A7488F">
            <w:pPr>
              <w:spacing w:after="0" w:line="240" w:lineRule="auto"/>
              <w:ind w:firstLine="0"/>
              <w:contextualSpacing w:val="0"/>
              <w:jc w:val="center"/>
              <w:rPr>
                <w:rFonts w:eastAsia="Times New Roman" w:cs="Times New Roman"/>
                <w:b/>
                <w:bCs/>
                <w:color w:val="000000"/>
                <w:sz w:val="20"/>
                <w:szCs w:val="20"/>
                <w:lang w:val="ru-RU" w:eastAsia="ru-RU"/>
              </w:rPr>
            </w:pPr>
            <w:r w:rsidRPr="00A7488F">
              <w:rPr>
                <w:rFonts w:eastAsia="Times New Roman" w:cs="Times New Roman"/>
                <w:b/>
                <w:bCs/>
                <w:color w:val="000000"/>
                <w:sz w:val="20"/>
                <w:szCs w:val="20"/>
                <w:lang w:val="ru-RU" w:eastAsia="ru-RU"/>
              </w:rPr>
              <w:t>OC</w:t>
            </w:r>
          </w:p>
        </w:tc>
        <w:tc>
          <w:tcPr>
            <w:tcW w:w="625" w:type="pct"/>
            <w:tcBorders>
              <w:top w:val="single" w:sz="4" w:space="0" w:color="auto"/>
              <w:left w:val="nil"/>
              <w:bottom w:val="single" w:sz="4" w:space="0" w:color="auto"/>
              <w:right w:val="nil"/>
            </w:tcBorders>
            <w:shd w:val="clear" w:color="auto" w:fill="auto"/>
            <w:noWrap/>
            <w:vAlign w:val="bottom"/>
            <w:hideMark/>
          </w:tcPr>
          <w:p w14:paraId="211944AD" w14:textId="77777777" w:rsidR="00A7488F" w:rsidRPr="00A7488F" w:rsidRDefault="00A7488F" w:rsidP="00A7488F">
            <w:pPr>
              <w:spacing w:after="0" w:line="240" w:lineRule="auto"/>
              <w:ind w:firstLine="0"/>
              <w:contextualSpacing w:val="0"/>
              <w:jc w:val="center"/>
              <w:rPr>
                <w:rFonts w:eastAsia="Times New Roman" w:cs="Times New Roman"/>
                <w:b/>
                <w:bCs/>
                <w:color w:val="000000"/>
                <w:sz w:val="20"/>
                <w:szCs w:val="20"/>
                <w:lang w:val="ru-RU" w:eastAsia="ru-RU"/>
              </w:rPr>
            </w:pPr>
            <w:r w:rsidRPr="00A7488F">
              <w:rPr>
                <w:rFonts w:eastAsia="Times New Roman" w:cs="Times New Roman"/>
                <w:b/>
                <w:bCs/>
                <w:color w:val="000000"/>
                <w:sz w:val="20"/>
                <w:szCs w:val="20"/>
                <w:lang w:val="ru-RU" w:eastAsia="ru-RU"/>
              </w:rPr>
              <w:t>ROA</w:t>
            </w:r>
          </w:p>
        </w:tc>
        <w:tc>
          <w:tcPr>
            <w:tcW w:w="625" w:type="pct"/>
            <w:tcBorders>
              <w:top w:val="single" w:sz="4" w:space="0" w:color="auto"/>
              <w:left w:val="nil"/>
              <w:bottom w:val="single" w:sz="4" w:space="0" w:color="auto"/>
              <w:right w:val="nil"/>
            </w:tcBorders>
            <w:shd w:val="clear" w:color="auto" w:fill="auto"/>
            <w:noWrap/>
            <w:vAlign w:val="bottom"/>
            <w:hideMark/>
          </w:tcPr>
          <w:p w14:paraId="616C603C" w14:textId="77777777" w:rsidR="00A7488F" w:rsidRPr="00A7488F" w:rsidRDefault="00A7488F" w:rsidP="00A7488F">
            <w:pPr>
              <w:spacing w:after="0" w:line="240" w:lineRule="auto"/>
              <w:ind w:firstLine="0"/>
              <w:contextualSpacing w:val="0"/>
              <w:jc w:val="center"/>
              <w:rPr>
                <w:rFonts w:eastAsia="Times New Roman" w:cs="Times New Roman"/>
                <w:b/>
                <w:bCs/>
                <w:color w:val="000000"/>
                <w:sz w:val="20"/>
                <w:szCs w:val="20"/>
                <w:lang w:val="ru-RU" w:eastAsia="ru-RU"/>
              </w:rPr>
            </w:pPr>
            <w:r w:rsidRPr="00A7488F">
              <w:rPr>
                <w:rFonts w:eastAsia="Times New Roman" w:cs="Times New Roman"/>
                <w:b/>
                <w:bCs/>
                <w:color w:val="000000"/>
                <w:sz w:val="20"/>
                <w:szCs w:val="20"/>
                <w:lang w:val="ru-RU" w:eastAsia="ru-RU"/>
              </w:rPr>
              <w:t>LR</w:t>
            </w:r>
          </w:p>
        </w:tc>
        <w:tc>
          <w:tcPr>
            <w:tcW w:w="625" w:type="pct"/>
            <w:tcBorders>
              <w:top w:val="single" w:sz="4" w:space="0" w:color="auto"/>
              <w:left w:val="nil"/>
              <w:bottom w:val="single" w:sz="4" w:space="0" w:color="auto"/>
              <w:right w:val="nil"/>
            </w:tcBorders>
            <w:shd w:val="clear" w:color="auto" w:fill="auto"/>
            <w:noWrap/>
            <w:vAlign w:val="bottom"/>
            <w:hideMark/>
          </w:tcPr>
          <w:p w14:paraId="15B4D144" w14:textId="77777777" w:rsidR="00A7488F" w:rsidRPr="00A7488F" w:rsidRDefault="00A7488F" w:rsidP="00A7488F">
            <w:pPr>
              <w:spacing w:after="0" w:line="240" w:lineRule="auto"/>
              <w:ind w:firstLine="0"/>
              <w:contextualSpacing w:val="0"/>
              <w:jc w:val="center"/>
              <w:rPr>
                <w:rFonts w:eastAsia="Times New Roman" w:cs="Times New Roman"/>
                <w:b/>
                <w:bCs/>
                <w:color w:val="000000"/>
                <w:sz w:val="20"/>
                <w:szCs w:val="20"/>
                <w:lang w:val="ru-RU" w:eastAsia="ru-RU"/>
              </w:rPr>
            </w:pPr>
            <w:r w:rsidRPr="00A7488F">
              <w:rPr>
                <w:rFonts w:eastAsia="Times New Roman" w:cs="Times New Roman"/>
                <w:b/>
                <w:bCs/>
                <w:color w:val="000000"/>
                <w:sz w:val="20"/>
                <w:szCs w:val="20"/>
                <w:lang w:val="ru-RU" w:eastAsia="ru-RU"/>
              </w:rPr>
              <w:t>CAPEX</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54CCCDA8" w14:textId="77777777" w:rsidR="00A7488F" w:rsidRPr="00A7488F" w:rsidRDefault="00A7488F" w:rsidP="00A7488F">
            <w:pPr>
              <w:spacing w:after="0" w:line="240" w:lineRule="auto"/>
              <w:ind w:firstLine="0"/>
              <w:contextualSpacing w:val="0"/>
              <w:jc w:val="center"/>
              <w:rPr>
                <w:rFonts w:eastAsia="Times New Roman" w:cs="Times New Roman"/>
                <w:b/>
                <w:bCs/>
                <w:color w:val="000000"/>
                <w:sz w:val="20"/>
                <w:szCs w:val="20"/>
                <w:lang w:val="ru-RU" w:eastAsia="ru-RU"/>
              </w:rPr>
            </w:pPr>
            <w:r w:rsidRPr="00A7488F">
              <w:rPr>
                <w:rFonts w:eastAsia="Times New Roman" w:cs="Times New Roman"/>
                <w:b/>
                <w:bCs/>
                <w:color w:val="000000"/>
                <w:sz w:val="20"/>
                <w:szCs w:val="20"/>
                <w:lang w:val="ru-RU" w:eastAsia="ru-RU"/>
              </w:rPr>
              <w:t>S</w:t>
            </w:r>
          </w:p>
        </w:tc>
      </w:tr>
      <w:tr w:rsidR="00A7488F" w:rsidRPr="00A7488F" w14:paraId="7216696A" w14:textId="77777777" w:rsidTr="005257C4">
        <w:trPr>
          <w:trHeight w:val="300"/>
        </w:trPr>
        <w:tc>
          <w:tcPr>
            <w:tcW w:w="625" w:type="pct"/>
            <w:tcBorders>
              <w:top w:val="nil"/>
              <w:left w:val="single" w:sz="4" w:space="0" w:color="auto"/>
              <w:bottom w:val="nil"/>
              <w:right w:val="single" w:sz="4" w:space="0" w:color="auto"/>
            </w:tcBorders>
            <w:shd w:val="clear" w:color="auto" w:fill="auto"/>
            <w:noWrap/>
            <w:vAlign w:val="bottom"/>
            <w:hideMark/>
          </w:tcPr>
          <w:p w14:paraId="59784F21" w14:textId="634371FD" w:rsidR="00A7488F" w:rsidRPr="00A7488F" w:rsidRDefault="00A7488F" w:rsidP="00A7488F">
            <w:pPr>
              <w:spacing w:after="0" w:line="240" w:lineRule="auto"/>
              <w:ind w:firstLine="0"/>
              <w:contextualSpacing w:val="0"/>
              <w:jc w:val="center"/>
              <w:rPr>
                <w:rFonts w:eastAsia="Times New Roman" w:cs="Times New Roman"/>
                <w:b/>
                <w:bCs/>
                <w:color w:val="000000"/>
                <w:sz w:val="20"/>
                <w:szCs w:val="20"/>
                <w:lang w:eastAsia="ru-RU"/>
              </w:rPr>
            </w:pPr>
            <w:r w:rsidRPr="00A7488F">
              <w:rPr>
                <w:rFonts w:eastAsia="Times New Roman" w:cs="Times New Roman"/>
                <w:b/>
                <w:bCs/>
                <w:color w:val="000000"/>
                <w:sz w:val="20"/>
                <w:szCs w:val="20"/>
                <w:lang w:val="ru-RU" w:eastAsia="ru-RU"/>
              </w:rPr>
              <w:t>T</w:t>
            </w:r>
            <w:r w:rsidR="00B71324">
              <w:rPr>
                <w:rFonts w:eastAsia="Times New Roman" w:cs="Times New Roman"/>
                <w:b/>
                <w:bCs/>
                <w:color w:val="000000"/>
                <w:sz w:val="20"/>
                <w:szCs w:val="20"/>
                <w:lang w:eastAsia="ru-RU"/>
              </w:rPr>
              <w:t>_</w:t>
            </w:r>
            <w:r w:rsidRPr="00A7488F">
              <w:rPr>
                <w:rFonts w:eastAsia="Times New Roman" w:cs="Times New Roman"/>
                <w:b/>
                <w:bCs/>
                <w:color w:val="000000"/>
                <w:sz w:val="20"/>
                <w:szCs w:val="20"/>
                <w:lang w:val="ru-RU" w:eastAsia="ru-RU"/>
              </w:rPr>
              <w:t>W</w:t>
            </w:r>
            <w:r w:rsidR="00B71324">
              <w:rPr>
                <w:rFonts w:eastAsia="Times New Roman" w:cs="Times New Roman"/>
                <w:b/>
                <w:bCs/>
                <w:color w:val="000000"/>
                <w:sz w:val="20"/>
                <w:szCs w:val="20"/>
                <w:lang w:eastAsia="ru-RU"/>
              </w:rPr>
              <w:t>C</w:t>
            </w:r>
          </w:p>
        </w:tc>
        <w:tc>
          <w:tcPr>
            <w:tcW w:w="625" w:type="pct"/>
            <w:tcBorders>
              <w:top w:val="nil"/>
              <w:left w:val="nil"/>
              <w:bottom w:val="nil"/>
              <w:right w:val="nil"/>
            </w:tcBorders>
            <w:shd w:val="clear" w:color="auto" w:fill="auto"/>
            <w:noWrap/>
            <w:vAlign w:val="bottom"/>
            <w:hideMark/>
          </w:tcPr>
          <w:p w14:paraId="778087F7"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r w:rsidRPr="00A7488F">
              <w:rPr>
                <w:rFonts w:eastAsia="Times New Roman" w:cs="Times New Roman"/>
                <w:color w:val="000000"/>
                <w:sz w:val="20"/>
                <w:szCs w:val="20"/>
                <w:lang w:val="ru-RU" w:eastAsia="ru-RU"/>
              </w:rPr>
              <w:t>1,0000</w:t>
            </w:r>
          </w:p>
        </w:tc>
        <w:tc>
          <w:tcPr>
            <w:tcW w:w="625" w:type="pct"/>
            <w:tcBorders>
              <w:top w:val="nil"/>
              <w:left w:val="nil"/>
              <w:bottom w:val="nil"/>
              <w:right w:val="nil"/>
            </w:tcBorders>
            <w:shd w:val="clear" w:color="auto" w:fill="auto"/>
            <w:noWrap/>
            <w:vAlign w:val="bottom"/>
            <w:hideMark/>
          </w:tcPr>
          <w:p w14:paraId="18ED0CEA"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p>
        </w:tc>
        <w:tc>
          <w:tcPr>
            <w:tcW w:w="625" w:type="pct"/>
            <w:tcBorders>
              <w:top w:val="nil"/>
              <w:left w:val="nil"/>
              <w:bottom w:val="nil"/>
              <w:right w:val="nil"/>
            </w:tcBorders>
            <w:shd w:val="clear" w:color="auto" w:fill="auto"/>
            <w:noWrap/>
            <w:vAlign w:val="bottom"/>
            <w:hideMark/>
          </w:tcPr>
          <w:p w14:paraId="59151BFD" w14:textId="77777777" w:rsidR="00A7488F" w:rsidRPr="00A7488F" w:rsidRDefault="00A7488F" w:rsidP="00A7488F">
            <w:pPr>
              <w:spacing w:after="0" w:line="240" w:lineRule="auto"/>
              <w:ind w:firstLine="0"/>
              <w:contextualSpacing w:val="0"/>
              <w:jc w:val="center"/>
              <w:rPr>
                <w:rFonts w:eastAsia="Times New Roman" w:cs="Times New Roman"/>
                <w:sz w:val="20"/>
                <w:szCs w:val="20"/>
                <w:lang w:val="ru-RU" w:eastAsia="ru-RU"/>
              </w:rPr>
            </w:pPr>
          </w:p>
        </w:tc>
        <w:tc>
          <w:tcPr>
            <w:tcW w:w="625" w:type="pct"/>
            <w:tcBorders>
              <w:top w:val="nil"/>
              <w:left w:val="nil"/>
              <w:bottom w:val="nil"/>
              <w:right w:val="nil"/>
            </w:tcBorders>
            <w:shd w:val="clear" w:color="auto" w:fill="auto"/>
            <w:noWrap/>
            <w:vAlign w:val="bottom"/>
            <w:hideMark/>
          </w:tcPr>
          <w:p w14:paraId="19DF8E7B" w14:textId="77777777" w:rsidR="00A7488F" w:rsidRPr="00A7488F" w:rsidRDefault="00A7488F" w:rsidP="00A7488F">
            <w:pPr>
              <w:spacing w:after="0" w:line="240" w:lineRule="auto"/>
              <w:ind w:firstLine="0"/>
              <w:contextualSpacing w:val="0"/>
              <w:jc w:val="center"/>
              <w:rPr>
                <w:rFonts w:eastAsia="Times New Roman" w:cs="Times New Roman"/>
                <w:sz w:val="20"/>
                <w:szCs w:val="20"/>
                <w:lang w:val="ru-RU" w:eastAsia="ru-RU"/>
              </w:rPr>
            </w:pPr>
          </w:p>
        </w:tc>
        <w:tc>
          <w:tcPr>
            <w:tcW w:w="625" w:type="pct"/>
            <w:tcBorders>
              <w:top w:val="nil"/>
              <w:left w:val="nil"/>
              <w:bottom w:val="nil"/>
              <w:right w:val="nil"/>
            </w:tcBorders>
            <w:shd w:val="clear" w:color="auto" w:fill="auto"/>
            <w:noWrap/>
            <w:vAlign w:val="bottom"/>
            <w:hideMark/>
          </w:tcPr>
          <w:p w14:paraId="3069C8CB" w14:textId="77777777" w:rsidR="00A7488F" w:rsidRPr="00A7488F" w:rsidRDefault="00A7488F" w:rsidP="00A7488F">
            <w:pPr>
              <w:spacing w:after="0" w:line="240" w:lineRule="auto"/>
              <w:ind w:firstLine="0"/>
              <w:contextualSpacing w:val="0"/>
              <w:jc w:val="center"/>
              <w:rPr>
                <w:rFonts w:eastAsia="Times New Roman" w:cs="Times New Roman"/>
                <w:sz w:val="20"/>
                <w:szCs w:val="20"/>
                <w:lang w:val="ru-RU" w:eastAsia="ru-RU"/>
              </w:rPr>
            </w:pPr>
          </w:p>
        </w:tc>
        <w:tc>
          <w:tcPr>
            <w:tcW w:w="625" w:type="pct"/>
            <w:tcBorders>
              <w:top w:val="nil"/>
              <w:left w:val="nil"/>
              <w:bottom w:val="nil"/>
              <w:right w:val="nil"/>
            </w:tcBorders>
            <w:shd w:val="clear" w:color="auto" w:fill="auto"/>
            <w:noWrap/>
            <w:vAlign w:val="bottom"/>
            <w:hideMark/>
          </w:tcPr>
          <w:p w14:paraId="6548F1DB" w14:textId="77777777" w:rsidR="00A7488F" w:rsidRPr="00A7488F" w:rsidRDefault="00A7488F" w:rsidP="00A7488F">
            <w:pPr>
              <w:spacing w:after="0" w:line="240" w:lineRule="auto"/>
              <w:ind w:firstLine="0"/>
              <w:contextualSpacing w:val="0"/>
              <w:jc w:val="center"/>
              <w:rPr>
                <w:rFonts w:eastAsia="Times New Roman" w:cs="Times New Roman"/>
                <w:sz w:val="20"/>
                <w:szCs w:val="20"/>
                <w:lang w:val="ru-RU" w:eastAsia="ru-RU"/>
              </w:rPr>
            </w:pPr>
          </w:p>
        </w:tc>
        <w:tc>
          <w:tcPr>
            <w:tcW w:w="625" w:type="pct"/>
            <w:tcBorders>
              <w:top w:val="nil"/>
              <w:left w:val="nil"/>
              <w:bottom w:val="nil"/>
              <w:right w:val="single" w:sz="4" w:space="0" w:color="auto"/>
            </w:tcBorders>
            <w:shd w:val="clear" w:color="auto" w:fill="auto"/>
            <w:noWrap/>
            <w:vAlign w:val="bottom"/>
            <w:hideMark/>
          </w:tcPr>
          <w:p w14:paraId="3A733DCB" w14:textId="77777777" w:rsidR="00A7488F" w:rsidRPr="00A7488F" w:rsidRDefault="00A7488F" w:rsidP="00A7488F">
            <w:pPr>
              <w:spacing w:after="0" w:line="240" w:lineRule="auto"/>
              <w:ind w:firstLine="0"/>
              <w:contextualSpacing w:val="0"/>
              <w:jc w:val="center"/>
              <w:rPr>
                <w:rFonts w:eastAsia="Times New Roman" w:cs="Times New Roman"/>
                <w:sz w:val="20"/>
                <w:szCs w:val="20"/>
                <w:lang w:val="ru-RU" w:eastAsia="ru-RU"/>
              </w:rPr>
            </w:pPr>
          </w:p>
        </w:tc>
      </w:tr>
      <w:tr w:rsidR="00A7488F" w:rsidRPr="00A7488F" w14:paraId="6C7EF409" w14:textId="77777777" w:rsidTr="005257C4">
        <w:trPr>
          <w:trHeight w:val="300"/>
        </w:trPr>
        <w:tc>
          <w:tcPr>
            <w:tcW w:w="625" w:type="pct"/>
            <w:tcBorders>
              <w:top w:val="nil"/>
              <w:left w:val="single" w:sz="4" w:space="0" w:color="auto"/>
              <w:bottom w:val="nil"/>
              <w:right w:val="single" w:sz="4" w:space="0" w:color="auto"/>
            </w:tcBorders>
            <w:shd w:val="clear" w:color="auto" w:fill="auto"/>
            <w:noWrap/>
            <w:vAlign w:val="bottom"/>
            <w:hideMark/>
          </w:tcPr>
          <w:p w14:paraId="60D6EB16" w14:textId="77777777" w:rsidR="00A7488F" w:rsidRPr="00A7488F" w:rsidRDefault="00A7488F" w:rsidP="00A7488F">
            <w:pPr>
              <w:spacing w:after="0" w:line="240" w:lineRule="auto"/>
              <w:ind w:firstLine="0"/>
              <w:contextualSpacing w:val="0"/>
              <w:jc w:val="center"/>
              <w:rPr>
                <w:rFonts w:eastAsia="Times New Roman" w:cs="Times New Roman"/>
                <w:b/>
                <w:bCs/>
                <w:color w:val="000000"/>
                <w:sz w:val="20"/>
                <w:szCs w:val="20"/>
                <w:lang w:val="ru-RU" w:eastAsia="ru-RU"/>
              </w:rPr>
            </w:pPr>
            <w:r w:rsidRPr="00A7488F">
              <w:rPr>
                <w:rFonts w:eastAsia="Times New Roman" w:cs="Times New Roman"/>
                <w:b/>
                <w:bCs/>
                <w:color w:val="000000"/>
                <w:sz w:val="20"/>
                <w:szCs w:val="20"/>
                <w:lang w:val="ru-RU" w:eastAsia="ru-RU"/>
              </w:rPr>
              <w:t>CFO</w:t>
            </w:r>
          </w:p>
        </w:tc>
        <w:tc>
          <w:tcPr>
            <w:tcW w:w="625" w:type="pct"/>
            <w:tcBorders>
              <w:top w:val="nil"/>
              <w:left w:val="nil"/>
              <w:bottom w:val="nil"/>
              <w:right w:val="nil"/>
            </w:tcBorders>
            <w:shd w:val="clear" w:color="auto" w:fill="auto"/>
            <w:noWrap/>
            <w:vAlign w:val="bottom"/>
            <w:hideMark/>
          </w:tcPr>
          <w:p w14:paraId="30059445"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r w:rsidRPr="00A7488F">
              <w:rPr>
                <w:rFonts w:eastAsia="Times New Roman" w:cs="Times New Roman"/>
                <w:color w:val="000000"/>
                <w:sz w:val="20"/>
                <w:szCs w:val="20"/>
                <w:lang w:val="ru-RU" w:eastAsia="ru-RU"/>
              </w:rPr>
              <w:t>-0,1990</w:t>
            </w:r>
          </w:p>
        </w:tc>
        <w:tc>
          <w:tcPr>
            <w:tcW w:w="625" w:type="pct"/>
            <w:tcBorders>
              <w:top w:val="nil"/>
              <w:left w:val="nil"/>
              <w:bottom w:val="nil"/>
              <w:right w:val="nil"/>
            </w:tcBorders>
            <w:shd w:val="clear" w:color="auto" w:fill="auto"/>
            <w:noWrap/>
            <w:vAlign w:val="bottom"/>
            <w:hideMark/>
          </w:tcPr>
          <w:p w14:paraId="6115D668"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r w:rsidRPr="00A7488F">
              <w:rPr>
                <w:rFonts w:eastAsia="Times New Roman" w:cs="Times New Roman"/>
                <w:color w:val="000000"/>
                <w:sz w:val="20"/>
                <w:szCs w:val="20"/>
                <w:lang w:val="ru-RU" w:eastAsia="ru-RU"/>
              </w:rPr>
              <w:t>1,0000</w:t>
            </w:r>
          </w:p>
        </w:tc>
        <w:tc>
          <w:tcPr>
            <w:tcW w:w="625" w:type="pct"/>
            <w:tcBorders>
              <w:top w:val="nil"/>
              <w:left w:val="nil"/>
              <w:bottom w:val="nil"/>
              <w:right w:val="nil"/>
            </w:tcBorders>
            <w:shd w:val="clear" w:color="auto" w:fill="auto"/>
            <w:noWrap/>
            <w:vAlign w:val="bottom"/>
            <w:hideMark/>
          </w:tcPr>
          <w:p w14:paraId="1DCF4E97"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p>
        </w:tc>
        <w:tc>
          <w:tcPr>
            <w:tcW w:w="625" w:type="pct"/>
            <w:tcBorders>
              <w:top w:val="nil"/>
              <w:left w:val="nil"/>
              <w:bottom w:val="nil"/>
              <w:right w:val="nil"/>
            </w:tcBorders>
            <w:shd w:val="clear" w:color="auto" w:fill="auto"/>
            <w:noWrap/>
            <w:vAlign w:val="bottom"/>
            <w:hideMark/>
          </w:tcPr>
          <w:p w14:paraId="3506C588" w14:textId="77777777" w:rsidR="00A7488F" w:rsidRPr="00A7488F" w:rsidRDefault="00A7488F" w:rsidP="00A7488F">
            <w:pPr>
              <w:spacing w:after="0" w:line="240" w:lineRule="auto"/>
              <w:ind w:firstLine="0"/>
              <w:contextualSpacing w:val="0"/>
              <w:jc w:val="center"/>
              <w:rPr>
                <w:rFonts w:eastAsia="Times New Roman" w:cs="Times New Roman"/>
                <w:sz w:val="20"/>
                <w:szCs w:val="20"/>
                <w:lang w:val="ru-RU" w:eastAsia="ru-RU"/>
              </w:rPr>
            </w:pPr>
          </w:p>
        </w:tc>
        <w:tc>
          <w:tcPr>
            <w:tcW w:w="625" w:type="pct"/>
            <w:tcBorders>
              <w:top w:val="nil"/>
              <w:left w:val="nil"/>
              <w:bottom w:val="nil"/>
              <w:right w:val="nil"/>
            </w:tcBorders>
            <w:shd w:val="clear" w:color="auto" w:fill="auto"/>
            <w:noWrap/>
            <w:vAlign w:val="bottom"/>
            <w:hideMark/>
          </w:tcPr>
          <w:p w14:paraId="5FD4C19B" w14:textId="77777777" w:rsidR="00A7488F" w:rsidRPr="00A7488F" w:rsidRDefault="00A7488F" w:rsidP="00A7488F">
            <w:pPr>
              <w:spacing w:after="0" w:line="240" w:lineRule="auto"/>
              <w:ind w:firstLine="0"/>
              <w:contextualSpacing w:val="0"/>
              <w:jc w:val="center"/>
              <w:rPr>
                <w:rFonts w:eastAsia="Times New Roman" w:cs="Times New Roman"/>
                <w:sz w:val="20"/>
                <w:szCs w:val="20"/>
                <w:lang w:val="ru-RU" w:eastAsia="ru-RU"/>
              </w:rPr>
            </w:pPr>
          </w:p>
        </w:tc>
        <w:tc>
          <w:tcPr>
            <w:tcW w:w="625" w:type="pct"/>
            <w:tcBorders>
              <w:top w:val="nil"/>
              <w:left w:val="nil"/>
              <w:bottom w:val="nil"/>
              <w:right w:val="nil"/>
            </w:tcBorders>
            <w:shd w:val="clear" w:color="auto" w:fill="auto"/>
            <w:noWrap/>
            <w:vAlign w:val="bottom"/>
            <w:hideMark/>
          </w:tcPr>
          <w:p w14:paraId="001430ED" w14:textId="77777777" w:rsidR="00A7488F" w:rsidRPr="00A7488F" w:rsidRDefault="00A7488F" w:rsidP="00A7488F">
            <w:pPr>
              <w:spacing w:after="0" w:line="240" w:lineRule="auto"/>
              <w:ind w:firstLine="0"/>
              <w:contextualSpacing w:val="0"/>
              <w:jc w:val="center"/>
              <w:rPr>
                <w:rFonts w:eastAsia="Times New Roman" w:cs="Times New Roman"/>
                <w:sz w:val="20"/>
                <w:szCs w:val="20"/>
                <w:lang w:val="ru-RU" w:eastAsia="ru-RU"/>
              </w:rPr>
            </w:pPr>
          </w:p>
        </w:tc>
        <w:tc>
          <w:tcPr>
            <w:tcW w:w="625" w:type="pct"/>
            <w:tcBorders>
              <w:top w:val="nil"/>
              <w:left w:val="nil"/>
              <w:bottom w:val="nil"/>
              <w:right w:val="single" w:sz="4" w:space="0" w:color="auto"/>
            </w:tcBorders>
            <w:shd w:val="clear" w:color="auto" w:fill="auto"/>
            <w:noWrap/>
            <w:vAlign w:val="bottom"/>
            <w:hideMark/>
          </w:tcPr>
          <w:p w14:paraId="21A5B0DE" w14:textId="77777777" w:rsidR="00A7488F" w:rsidRPr="00A7488F" w:rsidRDefault="00A7488F" w:rsidP="00A7488F">
            <w:pPr>
              <w:spacing w:after="0" w:line="240" w:lineRule="auto"/>
              <w:ind w:firstLine="0"/>
              <w:contextualSpacing w:val="0"/>
              <w:jc w:val="center"/>
              <w:rPr>
                <w:rFonts w:eastAsia="Times New Roman" w:cs="Times New Roman"/>
                <w:sz w:val="20"/>
                <w:szCs w:val="20"/>
                <w:lang w:val="ru-RU" w:eastAsia="ru-RU"/>
              </w:rPr>
            </w:pPr>
          </w:p>
        </w:tc>
      </w:tr>
      <w:tr w:rsidR="00A7488F" w:rsidRPr="00A7488F" w14:paraId="15E7B806" w14:textId="77777777" w:rsidTr="005257C4">
        <w:trPr>
          <w:trHeight w:val="300"/>
        </w:trPr>
        <w:tc>
          <w:tcPr>
            <w:tcW w:w="625" w:type="pct"/>
            <w:tcBorders>
              <w:top w:val="nil"/>
              <w:left w:val="single" w:sz="4" w:space="0" w:color="auto"/>
              <w:bottom w:val="nil"/>
              <w:right w:val="single" w:sz="4" w:space="0" w:color="auto"/>
            </w:tcBorders>
            <w:shd w:val="clear" w:color="auto" w:fill="auto"/>
            <w:noWrap/>
            <w:vAlign w:val="bottom"/>
            <w:hideMark/>
          </w:tcPr>
          <w:p w14:paraId="5D64FE5F" w14:textId="77777777" w:rsidR="00A7488F" w:rsidRPr="00A7488F" w:rsidRDefault="00A7488F" w:rsidP="00A7488F">
            <w:pPr>
              <w:spacing w:after="0" w:line="240" w:lineRule="auto"/>
              <w:ind w:firstLine="0"/>
              <w:contextualSpacing w:val="0"/>
              <w:jc w:val="center"/>
              <w:rPr>
                <w:rFonts w:eastAsia="Times New Roman" w:cs="Times New Roman"/>
                <w:b/>
                <w:bCs/>
                <w:color w:val="000000"/>
                <w:sz w:val="20"/>
                <w:szCs w:val="20"/>
                <w:lang w:val="ru-RU" w:eastAsia="ru-RU"/>
              </w:rPr>
            </w:pPr>
            <w:r w:rsidRPr="00A7488F">
              <w:rPr>
                <w:rFonts w:eastAsia="Times New Roman" w:cs="Times New Roman"/>
                <w:b/>
                <w:bCs/>
                <w:color w:val="000000"/>
                <w:sz w:val="20"/>
                <w:szCs w:val="20"/>
                <w:lang w:val="ru-RU" w:eastAsia="ru-RU"/>
              </w:rPr>
              <w:t>OC</w:t>
            </w:r>
          </w:p>
        </w:tc>
        <w:tc>
          <w:tcPr>
            <w:tcW w:w="625" w:type="pct"/>
            <w:tcBorders>
              <w:top w:val="nil"/>
              <w:left w:val="nil"/>
              <w:bottom w:val="nil"/>
              <w:right w:val="nil"/>
            </w:tcBorders>
            <w:shd w:val="clear" w:color="auto" w:fill="auto"/>
            <w:noWrap/>
            <w:vAlign w:val="bottom"/>
            <w:hideMark/>
          </w:tcPr>
          <w:p w14:paraId="067F5B28"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r w:rsidRPr="00A7488F">
              <w:rPr>
                <w:rFonts w:eastAsia="Times New Roman" w:cs="Times New Roman"/>
                <w:color w:val="000000"/>
                <w:sz w:val="20"/>
                <w:szCs w:val="20"/>
                <w:lang w:val="ru-RU" w:eastAsia="ru-RU"/>
              </w:rPr>
              <w:t>0,0624</w:t>
            </w:r>
          </w:p>
        </w:tc>
        <w:tc>
          <w:tcPr>
            <w:tcW w:w="625" w:type="pct"/>
            <w:tcBorders>
              <w:top w:val="nil"/>
              <w:left w:val="nil"/>
              <w:bottom w:val="nil"/>
              <w:right w:val="nil"/>
            </w:tcBorders>
            <w:shd w:val="clear" w:color="auto" w:fill="auto"/>
            <w:noWrap/>
            <w:vAlign w:val="bottom"/>
            <w:hideMark/>
          </w:tcPr>
          <w:p w14:paraId="5ED8BC6F"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r w:rsidRPr="00A7488F">
              <w:rPr>
                <w:rFonts w:eastAsia="Times New Roman" w:cs="Times New Roman"/>
                <w:color w:val="000000"/>
                <w:sz w:val="20"/>
                <w:szCs w:val="20"/>
                <w:lang w:val="ru-RU" w:eastAsia="ru-RU"/>
              </w:rPr>
              <w:t>-0,2847</w:t>
            </w:r>
          </w:p>
        </w:tc>
        <w:tc>
          <w:tcPr>
            <w:tcW w:w="625" w:type="pct"/>
            <w:tcBorders>
              <w:top w:val="nil"/>
              <w:left w:val="nil"/>
              <w:bottom w:val="nil"/>
              <w:right w:val="nil"/>
            </w:tcBorders>
            <w:shd w:val="clear" w:color="auto" w:fill="auto"/>
            <w:noWrap/>
            <w:vAlign w:val="bottom"/>
            <w:hideMark/>
          </w:tcPr>
          <w:p w14:paraId="3BC1E34A"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r w:rsidRPr="00A7488F">
              <w:rPr>
                <w:rFonts w:eastAsia="Times New Roman" w:cs="Times New Roman"/>
                <w:color w:val="000000"/>
                <w:sz w:val="20"/>
                <w:szCs w:val="20"/>
                <w:lang w:val="ru-RU" w:eastAsia="ru-RU"/>
              </w:rPr>
              <w:t>1,0000</w:t>
            </w:r>
          </w:p>
        </w:tc>
        <w:tc>
          <w:tcPr>
            <w:tcW w:w="625" w:type="pct"/>
            <w:tcBorders>
              <w:top w:val="nil"/>
              <w:left w:val="nil"/>
              <w:bottom w:val="nil"/>
              <w:right w:val="nil"/>
            </w:tcBorders>
            <w:shd w:val="clear" w:color="auto" w:fill="auto"/>
            <w:noWrap/>
            <w:vAlign w:val="bottom"/>
            <w:hideMark/>
          </w:tcPr>
          <w:p w14:paraId="1839561E"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p>
        </w:tc>
        <w:tc>
          <w:tcPr>
            <w:tcW w:w="625" w:type="pct"/>
            <w:tcBorders>
              <w:top w:val="nil"/>
              <w:left w:val="nil"/>
              <w:bottom w:val="nil"/>
              <w:right w:val="nil"/>
            </w:tcBorders>
            <w:shd w:val="clear" w:color="auto" w:fill="auto"/>
            <w:noWrap/>
            <w:vAlign w:val="bottom"/>
            <w:hideMark/>
          </w:tcPr>
          <w:p w14:paraId="6AA97445" w14:textId="77777777" w:rsidR="00A7488F" w:rsidRPr="00A7488F" w:rsidRDefault="00A7488F" w:rsidP="00A7488F">
            <w:pPr>
              <w:spacing w:after="0" w:line="240" w:lineRule="auto"/>
              <w:ind w:firstLine="0"/>
              <w:contextualSpacing w:val="0"/>
              <w:jc w:val="center"/>
              <w:rPr>
                <w:rFonts w:eastAsia="Times New Roman" w:cs="Times New Roman"/>
                <w:sz w:val="20"/>
                <w:szCs w:val="20"/>
                <w:lang w:val="ru-RU" w:eastAsia="ru-RU"/>
              </w:rPr>
            </w:pPr>
          </w:p>
        </w:tc>
        <w:tc>
          <w:tcPr>
            <w:tcW w:w="625" w:type="pct"/>
            <w:tcBorders>
              <w:top w:val="nil"/>
              <w:left w:val="nil"/>
              <w:bottom w:val="nil"/>
              <w:right w:val="nil"/>
            </w:tcBorders>
            <w:shd w:val="clear" w:color="auto" w:fill="auto"/>
            <w:noWrap/>
            <w:vAlign w:val="bottom"/>
            <w:hideMark/>
          </w:tcPr>
          <w:p w14:paraId="01DE5DD3" w14:textId="77777777" w:rsidR="00A7488F" w:rsidRPr="00A7488F" w:rsidRDefault="00A7488F" w:rsidP="00A7488F">
            <w:pPr>
              <w:spacing w:after="0" w:line="240" w:lineRule="auto"/>
              <w:ind w:firstLine="0"/>
              <w:contextualSpacing w:val="0"/>
              <w:jc w:val="center"/>
              <w:rPr>
                <w:rFonts w:eastAsia="Times New Roman" w:cs="Times New Roman"/>
                <w:sz w:val="20"/>
                <w:szCs w:val="20"/>
                <w:lang w:val="ru-RU" w:eastAsia="ru-RU"/>
              </w:rPr>
            </w:pPr>
          </w:p>
        </w:tc>
        <w:tc>
          <w:tcPr>
            <w:tcW w:w="625" w:type="pct"/>
            <w:tcBorders>
              <w:top w:val="nil"/>
              <w:left w:val="nil"/>
              <w:bottom w:val="nil"/>
              <w:right w:val="single" w:sz="4" w:space="0" w:color="auto"/>
            </w:tcBorders>
            <w:shd w:val="clear" w:color="auto" w:fill="auto"/>
            <w:noWrap/>
            <w:vAlign w:val="bottom"/>
            <w:hideMark/>
          </w:tcPr>
          <w:p w14:paraId="4AC22A90" w14:textId="77777777" w:rsidR="00A7488F" w:rsidRPr="00A7488F" w:rsidRDefault="00A7488F" w:rsidP="00A7488F">
            <w:pPr>
              <w:spacing w:after="0" w:line="240" w:lineRule="auto"/>
              <w:ind w:firstLine="0"/>
              <w:contextualSpacing w:val="0"/>
              <w:jc w:val="center"/>
              <w:rPr>
                <w:rFonts w:eastAsia="Times New Roman" w:cs="Times New Roman"/>
                <w:sz w:val="20"/>
                <w:szCs w:val="20"/>
                <w:lang w:val="ru-RU" w:eastAsia="ru-RU"/>
              </w:rPr>
            </w:pPr>
          </w:p>
        </w:tc>
      </w:tr>
      <w:tr w:rsidR="00A7488F" w:rsidRPr="00A7488F" w14:paraId="12F66561" w14:textId="77777777" w:rsidTr="005257C4">
        <w:trPr>
          <w:trHeight w:val="300"/>
        </w:trPr>
        <w:tc>
          <w:tcPr>
            <w:tcW w:w="625" w:type="pct"/>
            <w:tcBorders>
              <w:top w:val="nil"/>
              <w:left w:val="single" w:sz="4" w:space="0" w:color="auto"/>
              <w:bottom w:val="nil"/>
              <w:right w:val="single" w:sz="4" w:space="0" w:color="auto"/>
            </w:tcBorders>
            <w:shd w:val="clear" w:color="auto" w:fill="auto"/>
            <w:noWrap/>
            <w:vAlign w:val="bottom"/>
            <w:hideMark/>
          </w:tcPr>
          <w:p w14:paraId="758B8343" w14:textId="77777777" w:rsidR="00A7488F" w:rsidRPr="00A7488F" w:rsidRDefault="00A7488F" w:rsidP="00A7488F">
            <w:pPr>
              <w:spacing w:after="0" w:line="240" w:lineRule="auto"/>
              <w:ind w:firstLine="0"/>
              <w:contextualSpacing w:val="0"/>
              <w:jc w:val="center"/>
              <w:rPr>
                <w:rFonts w:eastAsia="Times New Roman" w:cs="Times New Roman"/>
                <w:b/>
                <w:bCs/>
                <w:color w:val="000000"/>
                <w:sz w:val="20"/>
                <w:szCs w:val="20"/>
                <w:lang w:val="ru-RU" w:eastAsia="ru-RU"/>
              </w:rPr>
            </w:pPr>
            <w:r w:rsidRPr="00A7488F">
              <w:rPr>
                <w:rFonts w:eastAsia="Times New Roman" w:cs="Times New Roman"/>
                <w:b/>
                <w:bCs/>
                <w:color w:val="000000"/>
                <w:sz w:val="20"/>
                <w:szCs w:val="20"/>
                <w:lang w:val="ru-RU" w:eastAsia="ru-RU"/>
              </w:rPr>
              <w:lastRenderedPageBreak/>
              <w:t>ROA</w:t>
            </w:r>
          </w:p>
        </w:tc>
        <w:tc>
          <w:tcPr>
            <w:tcW w:w="625" w:type="pct"/>
            <w:tcBorders>
              <w:top w:val="nil"/>
              <w:left w:val="nil"/>
              <w:bottom w:val="nil"/>
              <w:right w:val="nil"/>
            </w:tcBorders>
            <w:shd w:val="clear" w:color="auto" w:fill="auto"/>
            <w:noWrap/>
            <w:vAlign w:val="bottom"/>
            <w:hideMark/>
          </w:tcPr>
          <w:p w14:paraId="04378D51"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r w:rsidRPr="00A7488F">
              <w:rPr>
                <w:rFonts w:eastAsia="Times New Roman" w:cs="Times New Roman"/>
                <w:color w:val="000000"/>
                <w:sz w:val="20"/>
                <w:szCs w:val="20"/>
                <w:lang w:val="ru-RU" w:eastAsia="ru-RU"/>
              </w:rPr>
              <w:t>0,5316</w:t>
            </w:r>
          </w:p>
        </w:tc>
        <w:tc>
          <w:tcPr>
            <w:tcW w:w="625" w:type="pct"/>
            <w:tcBorders>
              <w:top w:val="nil"/>
              <w:left w:val="nil"/>
              <w:bottom w:val="nil"/>
              <w:right w:val="nil"/>
            </w:tcBorders>
            <w:shd w:val="clear" w:color="auto" w:fill="auto"/>
            <w:noWrap/>
            <w:vAlign w:val="bottom"/>
            <w:hideMark/>
          </w:tcPr>
          <w:p w14:paraId="62350629"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r w:rsidRPr="00A7488F">
              <w:rPr>
                <w:rFonts w:eastAsia="Times New Roman" w:cs="Times New Roman"/>
                <w:color w:val="000000"/>
                <w:sz w:val="20"/>
                <w:szCs w:val="20"/>
                <w:lang w:val="ru-RU" w:eastAsia="ru-RU"/>
              </w:rPr>
              <w:t>0,3009</w:t>
            </w:r>
          </w:p>
        </w:tc>
        <w:tc>
          <w:tcPr>
            <w:tcW w:w="625" w:type="pct"/>
            <w:tcBorders>
              <w:top w:val="nil"/>
              <w:left w:val="nil"/>
              <w:bottom w:val="nil"/>
              <w:right w:val="nil"/>
            </w:tcBorders>
            <w:shd w:val="clear" w:color="auto" w:fill="auto"/>
            <w:noWrap/>
            <w:vAlign w:val="bottom"/>
            <w:hideMark/>
          </w:tcPr>
          <w:p w14:paraId="273A3367"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r w:rsidRPr="00A7488F">
              <w:rPr>
                <w:rFonts w:eastAsia="Times New Roman" w:cs="Times New Roman"/>
                <w:color w:val="000000"/>
                <w:sz w:val="20"/>
                <w:szCs w:val="20"/>
                <w:lang w:val="ru-RU" w:eastAsia="ru-RU"/>
              </w:rPr>
              <w:t>-0,1655</w:t>
            </w:r>
          </w:p>
        </w:tc>
        <w:tc>
          <w:tcPr>
            <w:tcW w:w="625" w:type="pct"/>
            <w:tcBorders>
              <w:top w:val="nil"/>
              <w:left w:val="nil"/>
              <w:bottom w:val="nil"/>
              <w:right w:val="nil"/>
            </w:tcBorders>
            <w:shd w:val="clear" w:color="auto" w:fill="auto"/>
            <w:noWrap/>
            <w:vAlign w:val="bottom"/>
            <w:hideMark/>
          </w:tcPr>
          <w:p w14:paraId="7ED2CE75"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r w:rsidRPr="00A7488F">
              <w:rPr>
                <w:rFonts w:eastAsia="Times New Roman" w:cs="Times New Roman"/>
                <w:color w:val="000000"/>
                <w:sz w:val="20"/>
                <w:szCs w:val="20"/>
                <w:lang w:val="ru-RU" w:eastAsia="ru-RU"/>
              </w:rPr>
              <w:t>1,0000</w:t>
            </w:r>
          </w:p>
        </w:tc>
        <w:tc>
          <w:tcPr>
            <w:tcW w:w="625" w:type="pct"/>
            <w:tcBorders>
              <w:top w:val="nil"/>
              <w:left w:val="nil"/>
              <w:bottom w:val="nil"/>
              <w:right w:val="nil"/>
            </w:tcBorders>
            <w:shd w:val="clear" w:color="auto" w:fill="auto"/>
            <w:noWrap/>
            <w:vAlign w:val="bottom"/>
            <w:hideMark/>
          </w:tcPr>
          <w:p w14:paraId="784748C0"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p>
        </w:tc>
        <w:tc>
          <w:tcPr>
            <w:tcW w:w="625" w:type="pct"/>
            <w:tcBorders>
              <w:top w:val="nil"/>
              <w:left w:val="nil"/>
              <w:bottom w:val="nil"/>
              <w:right w:val="nil"/>
            </w:tcBorders>
            <w:shd w:val="clear" w:color="auto" w:fill="auto"/>
            <w:noWrap/>
            <w:vAlign w:val="bottom"/>
            <w:hideMark/>
          </w:tcPr>
          <w:p w14:paraId="61BEDD77" w14:textId="77777777" w:rsidR="00A7488F" w:rsidRPr="00A7488F" w:rsidRDefault="00A7488F" w:rsidP="00A7488F">
            <w:pPr>
              <w:spacing w:after="0" w:line="240" w:lineRule="auto"/>
              <w:ind w:firstLine="0"/>
              <w:contextualSpacing w:val="0"/>
              <w:jc w:val="center"/>
              <w:rPr>
                <w:rFonts w:eastAsia="Times New Roman" w:cs="Times New Roman"/>
                <w:sz w:val="20"/>
                <w:szCs w:val="20"/>
                <w:lang w:val="ru-RU" w:eastAsia="ru-RU"/>
              </w:rPr>
            </w:pPr>
          </w:p>
        </w:tc>
        <w:tc>
          <w:tcPr>
            <w:tcW w:w="625" w:type="pct"/>
            <w:tcBorders>
              <w:top w:val="nil"/>
              <w:left w:val="nil"/>
              <w:bottom w:val="nil"/>
              <w:right w:val="single" w:sz="4" w:space="0" w:color="auto"/>
            </w:tcBorders>
            <w:shd w:val="clear" w:color="auto" w:fill="auto"/>
            <w:noWrap/>
            <w:vAlign w:val="bottom"/>
            <w:hideMark/>
          </w:tcPr>
          <w:p w14:paraId="724317D6" w14:textId="77777777" w:rsidR="00A7488F" w:rsidRPr="00A7488F" w:rsidRDefault="00A7488F" w:rsidP="00A7488F">
            <w:pPr>
              <w:spacing w:after="0" w:line="240" w:lineRule="auto"/>
              <w:ind w:firstLine="0"/>
              <w:contextualSpacing w:val="0"/>
              <w:jc w:val="center"/>
              <w:rPr>
                <w:rFonts w:eastAsia="Times New Roman" w:cs="Times New Roman"/>
                <w:sz w:val="20"/>
                <w:szCs w:val="20"/>
                <w:lang w:val="ru-RU" w:eastAsia="ru-RU"/>
              </w:rPr>
            </w:pPr>
          </w:p>
        </w:tc>
      </w:tr>
      <w:tr w:rsidR="00A7488F" w:rsidRPr="00A7488F" w14:paraId="1555A6A0" w14:textId="77777777" w:rsidTr="005257C4">
        <w:trPr>
          <w:trHeight w:val="300"/>
        </w:trPr>
        <w:tc>
          <w:tcPr>
            <w:tcW w:w="625" w:type="pct"/>
            <w:tcBorders>
              <w:top w:val="nil"/>
              <w:left w:val="single" w:sz="4" w:space="0" w:color="auto"/>
              <w:bottom w:val="nil"/>
              <w:right w:val="single" w:sz="4" w:space="0" w:color="auto"/>
            </w:tcBorders>
            <w:shd w:val="clear" w:color="auto" w:fill="auto"/>
            <w:noWrap/>
            <w:vAlign w:val="bottom"/>
            <w:hideMark/>
          </w:tcPr>
          <w:p w14:paraId="119BFECD" w14:textId="77777777" w:rsidR="00A7488F" w:rsidRPr="00A7488F" w:rsidRDefault="00A7488F" w:rsidP="00A7488F">
            <w:pPr>
              <w:spacing w:after="0" w:line="240" w:lineRule="auto"/>
              <w:ind w:firstLine="0"/>
              <w:contextualSpacing w:val="0"/>
              <w:jc w:val="center"/>
              <w:rPr>
                <w:rFonts w:eastAsia="Times New Roman" w:cs="Times New Roman"/>
                <w:b/>
                <w:bCs/>
                <w:color w:val="000000"/>
                <w:sz w:val="20"/>
                <w:szCs w:val="20"/>
                <w:lang w:val="ru-RU" w:eastAsia="ru-RU"/>
              </w:rPr>
            </w:pPr>
            <w:r w:rsidRPr="00A7488F">
              <w:rPr>
                <w:rFonts w:eastAsia="Times New Roman" w:cs="Times New Roman"/>
                <w:b/>
                <w:bCs/>
                <w:color w:val="000000"/>
                <w:sz w:val="20"/>
                <w:szCs w:val="20"/>
                <w:lang w:val="ru-RU" w:eastAsia="ru-RU"/>
              </w:rPr>
              <w:t>LR</w:t>
            </w:r>
          </w:p>
        </w:tc>
        <w:tc>
          <w:tcPr>
            <w:tcW w:w="625" w:type="pct"/>
            <w:tcBorders>
              <w:top w:val="nil"/>
              <w:left w:val="nil"/>
              <w:bottom w:val="nil"/>
              <w:right w:val="nil"/>
            </w:tcBorders>
            <w:shd w:val="clear" w:color="auto" w:fill="auto"/>
            <w:noWrap/>
            <w:vAlign w:val="bottom"/>
            <w:hideMark/>
          </w:tcPr>
          <w:p w14:paraId="288AB9AB"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r w:rsidRPr="00A7488F">
              <w:rPr>
                <w:rFonts w:eastAsia="Times New Roman" w:cs="Times New Roman"/>
                <w:color w:val="000000"/>
                <w:sz w:val="20"/>
                <w:szCs w:val="20"/>
                <w:lang w:val="ru-RU" w:eastAsia="ru-RU"/>
              </w:rPr>
              <w:t>-0,3130</w:t>
            </w:r>
          </w:p>
        </w:tc>
        <w:tc>
          <w:tcPr>
            <w:tcW w:w="625" w:type="pct"/>
            <w:tcBorders>
              <w:top w:val="nil"/>
              <w:left w:val="nil"/>
              <w:bottom w:val="nil"/>
              <w:right w:val="nil"/>
            </w:tcBorders>
            <w:shd w:val="clear" w:color="auto" w:fill="auto"/>
            <w:noWrap/>
            <w:vAlign w:val="bottom"/>
            <w:hideMark/>
          </w:tcPr>
          <w:p w14:paraId="6D019BA0"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r w:rsidRPr="00A7488F">
              <w:rPr>
                <w:rFonts w:eastAsia="Times New Roman" w:cs="Times New Roman"/>
                <w:color w:val="000000"/>
                <w:sz w:val="20"/>
                <w:szCs w:val="20"/>
                <w:lang w:val="ru-RU" w:eastAsia="ru-RU"/>
              </w:rPr>
              <w:t>-0,1081</w:t>
            </w:r>
          </w:p>
        </w:tc>
        <w:tc>
          <w:tcPr>
            <w:tcW w:w="625" w:type="pct"/>
            <w:tcBorders>
              <w:top w:val="nil"/>
              <w:left w:val="nil"/>
              <w:bottom w:val="nil"/>
              <w:right w:val="nil"/>
            </w:tcBorders>
            <w:shd w:val="clear" w:color="auto" w:fill="auto"/>
            <w:noWrap/>
            <w:vAlign w:val="bottom"/>
            <w:hideMark/>
          </w:tcPr>
          <w:p w14:paraId="71BC4667"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r w:rsidRPr="00A7488F">
              <w:rPr>
                <w:rFonts w:eastAsia="Times New Roman" w:cs="Times New Roman"/>
                <w:color w:val="000000"/>
                <w:sz w:val="20"/>
                <w:szCs w:val="20"/>
                <w:lang w:val="ru-RU" w:eastAsia="ru-RU"/>
              </w:rPr>
              <w:t>-0,0983</w:t>
            </w:r>
          </w:p>
        </w:tc>
        <w:tc>
          <w:tcPr>
            <w:tcW w:w="625" w:type="pct"/>
            <w:tcBorders>
              <w:top w:val="nil"/>
              <w:left w:val="nil"/>
              <w:bottom w:val="nil"/>
              <w:right w:val="nil"/>
            </w:tcBorders>
            <w:shd w:val="clear" w:color="auto" w:fill="auto"/>
            <w:noWrap/>
            <w:vAlign w:val="bottom"/>
            <w:hideMark/>
          </w:tcPr>
          <w:p w14:paraId="5EE5D23B"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r w:rsidRPr="00A7488F">
              <w:rPr>
                <w:rFonts w:eastAsia="Times New Roman" w:cs="Times New Roman"/>
                <w:color w:val="000000"/>
                <w:sz w:val="20"/>
                <w:szCs w:val="20"/>
                <w:lang w:val="ru-RU" w:eastAsia="ru-RU"/>
              </w:rPr>
              <w:t>-0,1622</w:t>
            </w:r>
          </w:p>
        </w:tc>
        <w:tc>
          <w:tcPr>
            <w:tcW w:w="625" w:type="pct"/>
            <w:tcBorders>
              <w:top w:val="nil"/>
              <w:left w:val="nil"/>
              <w:bottom w:val="nil"/>
              <w:right w:val="nil"/>
            </w:tcBorders>
            <w:shd w:val="clear" w:color="auto" w:fill="auto"/>
            <w:noWrap/>
            <w:vAlign w:val="bottom"/>
            <w:hideMark/>
          </w:tcPr>
          <w:p w14:paraId="31BF022B"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r w:rsidRPr="00A7488F">
              <w:rPr>
                <w:rFonts w:eastAsia="Times New Roman" w:cs="Times New Roman"/>
                <w:color w:val="000000"/>
                <w:sz w:val="20"/>
                <w:szCs w:val="20"/>
                <w:lang w:val="ru-RU" w:eastAsia="ru-RU"/>
              </w:rPr>
              <w:t>1,0000</w:t>
            </w:r>
          </w:p>
        </w:tc>
        <w:tc>
          <w:tcPr>
            <w:tcW w:w="625" w:type="pct"/>
            <w:tcBorders>
              <w:top w:val="nil"/>
              <w:left w:val="nil"/>
              <w:bottom w:val="nil"/>
              <w:right w:val="nil"/>
            </w:tcBorders>
            <w:shd w:val="clear" w:color="auto" w:fill="auto"/>
            <w:noWrap/>
            <w:vAlign w:val="bottom"/>
            <w:hideMark/>
          </w:tcPr>
          <w:p w14:paraId="07C2F235"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p>
        </w:tc>
        <w:tc>
          <w:tcPr>
            <w:tcW w:w="625" w:type="pct"/>
            <w:tcBorders>
              <w:top w:val="nil"/>
              <w:left w:val="nil"/>
              <w:bottom w:val="nil"/>
              <w:right w:val="single" w:sz="4" w:space="0" w:color="auto"/>
            </w:tcBorders>
            <w:shd w:val="clear" w:color="auto" w:fill="auto"/>
            <w:noWrap/>
            <w:vAlign w:val="bottom"/>
            <w:hideMark/>
          </w:tcPr>
          <w:p w14:paraId="5CD292C6" w14:textId="77777777" w:rsidR="00A7488F" w:rsidRPr="00A7488F" w:rsidRDefault="00A7488F" w:rsidP="00A7488F">
            <w:pPr>
              <w:spacing w:after="0" w:line="240" w:lineRule="auto"/>
              <w:ind w:firstLine="0"/>
              <w:contextualSpacing w:val="0"/>
              <w:jc w:val="center"/>
              <w:rPr>
                <w:rFonts w:eastAsia="Times New Roman" w:cs="Times New Roman"/>
                <w:sz w:val="20"/>
                <w:szCs w:val="20"/>
                <w:lang w:val="ru-RU" w:eastAsia="ru-RU"/>
              </w:rPr>
            </w:pPr>
          </w:p>
        </w:tc>
      </w:tr>
      <w:tr w:rsidR="00A7488F" w:rsidRPr="00A7488F" w14:paraId="59E4F0A6" w14:textId="77777777" w:rsidTr="005257C4">
        <w:trPr>
          <w:trHeight w:val="300"/>
        </w:trPr>
        <w:tc>
          <w:tcPr>
            <w:tcW w:w="625" w:type="pct"/>
            <w:tcBorders>
              <w:top w:val="nil"/>
              <w:left w:val="single" w:sz="4" w:space="0" w:color="auto"/>
              <w:bottom w:val="nil"/>
              <w:right w:val="single" w:sz="4" w:space="0" w:color="auto"/>
            </w:tcBorders>
            <w:shd w:val="clear" w:color="auto" w:fill="auto"/>
            <w:noWrap/>
            <w:vAlign w:val="bottom"/>
            <w:hideMark/>
          </w:tcPr>
          <w:p w14:paraId="11E602CC" w14:textId="77777777" w:rsidR="00A7488F" w:rsidRPr="00A7488F" w:rsidRDefault="00A7488F" w:rsidP="00A7488F">
            <w:pPr>
              <w:spacing w:after="0" w:line="240" w:lineRule="auto"/>
              <w:ind w:firstLine="0"/>
              <w:contextualSpacing w:val="0"/>
              <w:jc w:val="center"/>
              <w:rPr>
                <w:rFonts w:eastAsia="Times New Roman" w:cs="Times New Roman"/>
                <w:b/>
                <w:bCs/>
                <w:color w:val="000000"/>
                <w:sz w:val="20"/>
                <w:szCs w:val="20"/>
                <w:lang w:val="ru-RU" w:eastAsia="ru-RU"/>
              </w:rPr>
            </w:pPr>
            <w:r w:rsidRPr="00A7488F">
              <w:rPr>
                <w:rFonts w:eastAsia="Times New Roman" w:cs="Times New Roman"/>
                <w:b/>
                <w:bCs/>
                <w:color w:val="000000"/>
                <w:sz w:val="20"/>
                <w:szCs w:val="20"/>
                <w:lang w:val="ru-RU" w:eastAsia="ru-RU"/>
              </w:rPr>
              <w:t>CAPEX</w:t>
            </w:r>
          </w:p>
        </w:tc>
        <w:tc>
          <w:tcPr>
            <w:tcW w:w="625" w:type="pct"/>
            <w:tcBorders>
              <w:top w:val="nil"/>
              <w:left w:val="nil"/>
              <w:bottom w:val="nil"/>
              <w:right w:val="nil"/>
            </w:tcBorders>
            <w:shd w:val="clear" w:color="auto" w:fill="auto"/>
            <w:noWrap/>
            <w:vAlign w:val="bottom"/>
            <w:hideMark/>
          </w:tcPr>
          <w:p w14:paraId="40060834"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r w:rsidRPr="00A7488F">
              <w:rPr>
                <w:rFonts w:eastAsia="Times New Roman" w:cs="Times New Roman"/>
                <w:color w:val="000000"/>
                <w:sz w:val="20"/>
                <w:szCs w:val="20"/>
                <w:lang w:val="ru-RU" w:eastAsia="ru-RU"/>
              </w:rPr>
              <w:t>-0,0866</w:t>
            </w:r>
          </w:p>
        </w:tc>
        <w:tc>
          <w:tcPr>
            <w:tcW w:w="625" w:type="pct"/>
            <w:tcBorders>
              <w:top w:val="nil"/>
              <w:left w:val="nil"/>
              <w:bottom w:val="nil"/>
              <w:right w:val="nil"/>
            </w:tcBorders>
            <w:shd w:val="clear" w:color="auto" w:fill="auto"/>
            <w:noWrap/>
            <w:vAlign w:val="bottom"/>
            <w:hideMark/>
          </w:tcPr>
          <w:p w14:paraId="4275804B"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r w:rsidRPr="00A7488F">
              <w:rPr>
                <w:rFonts w:eastAsia="Times New Roman" w:cs="Times New Roman"/>
                <w:color w:val="000000"/>
                <w:sz w:val="20"/>
                <w:szCs w:val="20"/>
                <w:lang w:val="ru-RU" w:eastAsia="ru-RU"/>
              </w:rPr>
              <w:t>-0,0103</w:t>
            </w:r>
          </w:p>
        </w:tc>
        <w:tc>
          <w:tcPr>
            <w:tcW w:w="625" w:type="pct"/>
            <w:tcBorders>
              <w:top w:val="nil"/>
              <w:left w:val="nil"/>
              <w:bottom w:val="nil"/>
              <w:right w:val="nil"/>
            </w:tcBorders>
            <w:shd w:val="clear" w:color="auto" w:fill="auto"/>
            <w:noWrap/>
            <w:vAlign w:val="bottom"/>
            <w:hideMark/>
          </w:tcPr>
          <w:p w14:paraId="30C78913"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r w:rsidRPr="00A7488F">
              <w:rPr>
                <w:rFonts w:eastAsia="Times New Roman" w:cs="Times New Roman"/>
                <w:color w:val="000000"/>
                <w:sz w:val="20"/>
                <w:szCs w:val="20"/>
                <w:lang w:val="ru-RU" w:eastAsia="ru-RU"/>
              </w:rPr>
              <w:t>0,3003</w:t>
            </w:r>
          </w:p>
        </w:tc>
        <w:tc>
          <w:tcPr>
            <w:tcW w:w="625" w:type="pct"/>
            <w:tcBorders>
              <w:top w:val="nil"/>
              <w:left w:val="nil"/>
              <w:bottom w:val="nil"/>
              <w:right w:val="nil"/>
            </w:tcBorders>
            <w:shd w:val="clear" w:color="auto" w:fill="auto"/>
            <w:noWrap/>
            <w:vAlign w:val="bottom"/>
            <w:hideMark/>
          </w:tcPr>
          <w:p w14:paraId="71E270D8"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r w:rsidRPr="00A7488F">
              <w:rPr>
                <w:rFonts w:eastAsia="Times New Roman" w:cs="Times New Roman"/>
                <w:color w:val="000000"/>
                <w:sz w:val="20"/>
                <w:szCs w:val="20"/>
                <w:lang w:val="ru-RU" w:eastAsia="ru-RU"/>
              </w:rPr>
              <w:t>-0,0910</w:t>
            </w:r>
          </w:p>
        </w:tc>
        <w:tc>
          <w:tcPr>
            <w:tcW w:w="625" w:type="pct"/>
            <w:tcBorders>
              <w:top w:val="nil"/>
              <w:left w:val="nil"/>
              <w:bottom w:val="nil"/>
              <w:right w:val="nil"/>
            </w:tcBorders>
            <w:shd w:val="clear" w:color="auto" w:fill="auto"/>
            <w:noWrap/>
            <w:vAlign w:val="bottom"/>
            <w:hideMark/>
          </w:tcPr>
          <w:p w14:paraId="17101199"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r w:rsidRPr="00A7488F">
              <w:rPr>
                <w:rFonts w:eastAsia="Times New Roman" w:cs="Times New Roman"/>
                <w:color w:val="000000"/>
                <w:sz w:val="20"/>
                <w:szCs w:val="20"/>
                <w:lang w:val="ru-RU" w:eastAsia="ru-RU"/>
              </w:rPr>
              <w:t>-0,2593</w:t>
            </w:r>
          </w:p>
        </w:tc>
        <w:tc>
          <w:tcPr>
            <w:tcW w:w="625" w:type="pct"/>
            <w:tcBorders>
              <w:top w:val="nil"/>
              <w:left w:val="nil"/>
              <w:bottom w:val="nil"/>
              <w:right w:val="nil"/>
            </w:tcBorders>
            <w:shd w:val="clear" w:color="auto" w:fill="auto"/>
            <w:noWrap/>
            <w:vAlign w:val="bottom"/>
            <w:hideMark/>
          </w:tcPr>
          <w:p w14:paraId="5E7FC943"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r w:rsidRPr="00A7488F">
              <w:rPr>
                <w:rFonts w:eastAsia="Times New Roman" w:cs="Times New Roman"/>
                <w:color w:val="000000"/>
                <w:sz w:val="20"/>
                <w:szCs w:val="20"/>
                <w:lang w:val="ru-RU" w:eastAsia="ru-RU"/>
              </w:rPr>
              <w:t>1,0000</w:t>
            </w:r>
          </w:p>
        </w:tc>
        <w:tc>
          <w:tcPr>
            <w:tcW w:w="625" w:type="pct"/>
            <w:tcBorders>
              <w:top w:val="nil"/>
              <w:left w:val="nil"/>
              <w:bottom w:val="nil"/>
              <w:right w:val="single" w:sz="4" w:space="0" w:color="auto"/>
            </w:tcBorders>
            <w:shd w:val="clear" w:color="auto" w:fill="auto"/>
            <w:noWrap/>
            <w:vAlign w:val="bottom"/>
            <w:hideMark/>
          </w:tcPr>
          <w:p w14:paraId="6758EF65"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p>
        </w:tc>
      </w:tr>
      <w:tr w:rsidR="00A7488F" w:rsidRPr="00A7488F" w14:paraId="3A549BC9" w14:textId="77777777" w:rsidTr="005257C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3EF0ECEB" w14:textId="77777777" w:rsidR="00A7488F" w:rsidRPr="00A7488F" w:rsidRDefault="00A7488F" w:rsidP="00A7488F">
            <w:pPr>
              <w:spacing w:after="0" w:line="240" w:lineRule="auto"/>
              <w:ind w:firstLine="0"/>
              <w:contextualSpacing w:val="0"/>
              <w:jc w:val="center"/>
              <w:rPr>
                <w:rFonts w:eastAsia="Times New Roman" w:cs="Times New Roman"/>
                <w:b/>
                <w:bCs/>
                <w:color w:val="000000"/>
                <w:sz w:val="20"/>
                <w:szCs w:val="20"/>
                <w:lang w:val="ru-RU" w:eastAsia="ru-RU"/>
              </w:rPr>
            </w:pPr>
            <w:r w:rsidRPr="00A7488F">
              <w:rPr>
                <w:rFonts w:eastAsia="Times New Roman" w:cs="Times New Roman"/>
                <w:b/>
                <w:bCs/>
                <w:color w:val="000000"/>
                <w:sz w:val="20"/>
                <w:szCs w:val="20"/>
                <w:lang w:val="ru-RU" w:eastAsia="ru-RU"/>
              </w:rPr>
              <w:t>S</w:t>
            </w:r>
          </w:p>
        </w:tc>
        <w:tc>
          <w:tcPr>
            <w:tcW w:w="625" w:type="pct"/>
            <w:tcBorders>
              <w:top w:val="nil"/>
              <w:left w:val="nil"/>
              <w:bottom w:val="single" w:sz="4" w:space="0" w:color="auto"/>
              <w:right w:val="nil"/>
            </w:tcBorders>
            <w:shd w:val="clear" w:color="auto" w:fill="auto"/>
            <w:noWrap/>
            <w:vAlign w:val="bottom"/>
            <w:hideMark/>
          </w:tcPr>
          <w:p w14:paraId="3BBDBA54"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r w:rsidRPr="00A7488F">
              <w:rPr>
                <w:rFonts w:eastAsia="Times New Roman" w:cs="Times New Roman"/>
                <w:color w:val="000000"/>
                <w:sz w:val="20"/>
                <w:szCs w:val="20"/>
                <w:lang w:val="ru-RU" w:eastAsia="ru-RU"/>
              </w:rPr>
              <w:t>-0,1854</w:t>
            </w:r>
          </w:p>
        </w:tc>
        <w:tc>
          <w:tcPr>
            <w:tcW w:w="625" w:type="pct"/>
            <w:tcBorders>
              <w:top w:val="nil"/>
              <w:left w:val="nil"/>
              <w:bottom w:val="single" w:sz="4" w:space="0" w:color="auto"/>
              <w:right w:val="nil"/>
            </w:tcBorders>
            <w:shd w:val="clear" w:color="auto" w:fill="auto"/>
            <w:noWrap/>
            <w:vAlign w:val="bottom"/>
            <w:hideMark/>
          </w:tcPr>
          <w:p w14:paraId="78A202E0"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r w:rsidRPr="00A7488F">
              <w:rPr>
                <w:rFonts w:eastAsia="Times New Roman" w:cs="Times New Roman"/>
                <w:color w:val="000000"/>
                <w:sz w:val="20"/>
                <w:szCs w:val="20"/>
                <w:lang w:val="ru-RU" w:eastAsia="ru-RU"/>
              </w:rPr>
              <w:t>0,4066</w:t>
            </w:r>
          </w:p>
        </w:tc>
        <w:tc>
          <w:tcPr>
            <w:tcW w:w="625" w:type="pct"/>
            <w:tcBorders>
              <w:top w:val="nil"/>
              <w:left w:val="nil"/>
              <w:bottom w:val="single" w:sz="4" w:space="0" w:color="auto"/>
              <w:right w:val="nil"/>
            </w:tcBorders>
            <w:shd w:val="clear" w:color="auto" w:fill="auto"/>
            <w:noWrap/>
            <w:vAlign w:val="bottom"/>
            <w:hideMark/>
          </w:tcPr>
          <w:p w14:paraId="7A554DD2"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r w:rsidRPr="00A7488F">
              <w:rPr>
                <w:rFonts w:eastAsia="Times New Roman" w:cs="Times New Roman"/>
                <w:color w:val="000000"/>
                <w:sz w:val="20"/>
                <w:szCs w:val="20"/>
                <w:lang w:val="ru-RU" w:eastAsia="ru-RU"/>
              </w:rPr>
              <w:t>-0,0908</w:t>
            </w:r>
          </w:p>
        </w:tc>
        <w:tc>
          <w:tcPr>
            <w:tcW w:w="625" w:type="pct"/>
            <w:tcBorders>
              <w:top w:val="nil"/>
              <w:left w:val="nil"/>
              <w:bottom w:val="single" w:sz="4" w:space="0" w:color="auto"/>
              <w:right w:val="nil"/>
            </w:tcBorders>
            <w:shd w:val="clear" w:color="auto" w:fill="auto"/>
            <w:noWrap/>
            <w:vAlign w:val="bottom"/>
            <w:hideMark/>
          </w:tcPr>
          <w:p w14:paraId="35977AA2"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r w:rsidRPr="00A7488F">
              <w:rPr>
                <w:rFonts w:eastAsia="Times New Roman" w:cs="Times New Roman"/>
                <w:color w:val="000000"/>
                <w:sz w:val="20"/>
                <w:szCs w:val="20"/>
                <w:lang w:val="ru-RU" w:eastAsia="ru-RU"/>
              </w:rPr>
              <w:t>0,2172</w:t>
            </w:r>
          </w:p>
        </w:tc>
        <w:tc>
          <w:tcPr>
            <w:tcW w:w="625" w:type="pct"/>
            <w:tcBorders>
              <w:top w:val="nil"/>
              <w:left w:val="nil"/>
              <w:bottom w:val="single" w:sz="4" w:space="0" w:color="auto"/>
              <w:right w:val="nil"/>
            </w:tcBorders>
            <w:shd w:val="clear" w:color="auto" w:fill="auto"/>
            <w:noWrap/>
            <w:vAlign w:val="bottom"/>
            <w:hideMark/>
          </w:tcPr>
          <w:p w14:paraId="0F4870BF"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r w:rsidRPr="00A7488F">
              <w:rPr>
                <w:rFonts w:eastAsia="Times New Roman" w:cs="Times New Roman"/>
                <w:color w:val="000000"/>
                <w:sz w:val="20"/>
                <w:szCs w:val="20"/>
                <w:lang w:val="ru-RU" w:eastAsia="ru-RU"/>
              </w:rPr>
              <w:t>0,0910</w:t>
            </w:r>
          </w:p>
        </w:tc>
        <w:tc>
          <w:tcPr>
            <w:tcW w:w="625" w:type="pct"/>
            <w:tcBorders>
              <w:top w:val="nil"/>
              <w:left w:val="nil"/>
              <w:bottom w:val="single" w:sz="4" w:space="0" w:color="auto"/>
              <w:right w:val="nil"/>
            </w:tcBorders>
            <w:shd w:val="clear" w:color="auto" w:fill="auto"/>
            <w:noWrap/>
            <w:vAlign w:val="bottom"/>
            <w:hideMark/>
          </w:tcPr>
          <w:p w14:paraId="691A0555"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r w:rsidRPr="00A7488F">
              <w:rPr>
                <w:rFonts w:eastAsia="Times New Roman" w:cs="Times New Roman"/>
                <w:color w:val="000000"/>
                <w:sz w:val="20"/>
                <w:szCs w:val="20"/>
                <w:lang w:val="ru-RU" w:eastAsia="ru-RU"/>
              </w:rPr>
              <w:t>-0,3384</w:t>
            </w:r>
          </w:p>
        </w:tc>
        <w:tc>
          <w:tcPr>
            <w:tcW w:w="625" w:type="pct"/>
            <w:tcBorders>
              <w:top w:val="nil"/>
              <w:left w:val="nil"/>
              <w:bottom w:val="single" w:sz="4" w:space="0" w:color="auto"/>
              <w:right w:val="single" w:sz="4" w:space="0" w:color="auto"/>
            </w:tcBorders>
            <w:shd w:val="clear" w:color="auto" w:fill="auto"/>
            <w:noWrap/>
            <w:vAlign w:val="bottom"/>
            <w:hideMark/>
          </w:tcPr>
          <w:p w14:paraId="264B85B1" w14:textId="77777777" w:rsidR="00A7488F" w:rsidRPr="00A7488F" w:rsidRDefault="00A7488F" w:rsidP="00A7488F">
            <w:pPr>
              <w:spacing w:after="0" w:line="240" w:lineRule="auto"/>
              <w:ind w:firstLine="0"/>
              <w:contextualSpacing w:val="0"/>
              <w:jc w:val="center"/>
              <w:rPr>
                <w:rFonts w:eastAsia="Times New Roman" w:cs="Times New Roman"/>
                <w:color w:val="000000"/>
                <w:sz w:val="20"/>
                <w:szCs w:val="20"/>
                <w:lang w:val="ru-RU" w:eastAsia="ru-RU"/>
              </w:rPr>
            </w:pPr>
            <w:r w:rsidRPr="00A7488F">
              <w:rPr>
                <w:rFonts w:eastAsia="Times New Roman" w:cs="Times New Roman"/>
                <w:color w:val="000000"/>
                <w:sz w:val="20"/>
                <w:szCs w:val="20"/>
                <w:lang w:val="ru-RU" w:eastAsia="ru-RU"/>
              </w:rPr>
              <w:t>1,0000</w:t>
            </w:r>
          </w:p>
        </w:tc>
      </w:tr>
    </w:tbl>
    <w:p w14:paraId="0E2F57FB" w14:textId="7B7469F0" w:rsidR="004D2A38" w:rsidRDefault="004D2A38" w:rsidP="004D2A38">
      <w:pPr>
        <w:tabs>
          <w:tab w:val="left" w:pos="0"/>
        </w:tabs>
        <w:ind w:firstLine="0"/>
        <w:jc w:val="center"/>
      </w:pPr>
    </w:p>
    <w:p w14:paraId="67ED5ECA" w14:textId="3929C6AD" w:rsidR="005106CD" w:rsidRDefault="005106CD" w:rsidP="005106CD">
      <w:pPr>
        <w:tabs>
          <w:tab w:val="left" w:pos="0"/>
        </w:tabs>
      </w:pPr>
      <w:r>
        <w:t>As we can see from the table, there is no high value of correlation between variables. The highest correlation coefficient can be seen between the ROA and the tested T_WC of 53%. While this coefficient is pretty high, we do not need to worry until the coefficient reaches 70% or above. Overall, we do not see any other coefficients to be higher and that means that all of the variables can be used simultaneously in the further models.</w:t>
      </w:r>
    </w:p>
    <w:p w14:paraId="12B7A69A" w14:textId="65394349" w:rsidR="005106CD" w:rsidRDefault="005106CD" w:rsidP="005106CD">
      <w:pPr>
        <w:tabs>
          <w:tab w:val="left" w:pos="0"/>
        </w:tabs>
      </w:pPr>
      <w:r>
        <w:t>In order to identify the target working capital model the following regression analysis was modelled (</w:t>
      </w:r>
      <w:r w:rsidR="00415B58" w:rsidRPr="0079715F">
        <w:fldChar w:fldCharType="begin"/>
      </w:r>
      <w:r w:rsidR="00415B58" w:rsidRPr="0079715F">
        <w:instrText xml:space="preserve"> REF _Ref514631288 \r \h  \* MERGEFORMAT </w:instrText>
      </w:r>
      <w:r w:rsidR="00415B58" w:rsidRPr="0079715F">
        <w:fldChar w:fldCharType="separate"/>
      </w:r>
      <w:r w:rsidR="00154E78">
        <w:t>Table 16</w:t>
      </w:r>
      <w:r w:rsidR="00415B58" w:rsidRPr="0079715F">
        <w:fldChar w:fldCharType="end"/>
      </w:r>
      <w:r>
        <w:t>).</w:t>
      </w:r>
    </w:p>
    <w:p w14:paraId="6F65F702" w14:textId="04B9E994" w:rsidR="005106CD" w:rsidRDefault="005106CD" w:rsidP="005106CD">
      <w:pPr>
        <w:pStyle w:val="a0"/>
        <w:tabs>
          <w:tab w:val="left" w:pos="0"/>
        </w:tabs>
        <w:ind w:left="0"/>
      </w:pPr>
      <w:bookmarkStart w:id="36" w:name="_Ref514631288"/>
      <w:r>
        <w:t>Target Working Capital regression summary</w:t>
      </w:r>
      <w:bookmarkEnd w:id="36"/>
    </w:p>
    <w:tbl>
      <w:tblPr>
        <w:tblW w:w="5716" w:type="dxa"/>
        <w:jc w:val="center"/>
        <w:tblLook w:val="04A0" w:firstRow="1" w:lastRow="0" w:firstColumn="1" w:lastColumn="0" w:noHBand="0" w:noVBand="1"/>
      </w:tblPr>
      <w:tblGrid>
        <w:gridCol w:w="3440"/>
        <w:gridCol w:w="950"/>
        <w:gridCol w:w="1326"/>
      </w:tblGrid>
      <w:tr w:rsidR="00A60529" w:rsidRPr="00A60529" w14:paraId="50CE0254" w14:textId="77777777" w:rsidTr="00A60529">
        <w:trPr>
          <w:trHeight w:val="300"/>
          <w:jc w:val="center"/>
        </w:trPr>
        <w:tc>
          <w:tcPr>
            <w:tcW w:w="3440" w:type="dxa"/>
            <w:tcBorders>
              <w:top w:val="single" w:sz="4" w:space="0" w:color="auto"/>
              <w:left w:val="single" w:sz="4" w:space="0" w:color="auto"/>
              <w:bottom w:val="nil"/>
              <w:right w:val="nil"/>
            </w:tcBorders>
            <w:shd w:val="clear" w:color="auto" w:fill="auto"/>
            <w:noWrap/>
            <w:vAlign w:val="center"/>
            <w:hideMark/>
          </w:tcPr>
          <w:p w14:paraId="5E5A5D0D" w14:textId="77777777" w:rsidR="00A60529" w:rsidRPr="00A60529" w:rsidRDefault="00A60529" w:rsidP="00A60529">
            <w:pPr>
              <w:spacing w:after="0" w:line="240" w:lineRule="auto"/>
              <w:ind w:firstLine="0"/>
              <w:contextualSpacing w:val="0"/>
              <w:jc w:val="left"/>
              <w:rPr>
                <w:rFonts w:eastAsia="Times New Roman" w:cs="Times New Roman"/>
                <w:color w:val="000000"/>
                <w:sz w:val="20"/>
                <w:szCs w:val="20"/>
                <w:lang w:val="ru-RU" w:eastAsia="ru-RU"/>
              </w:rPr>
            </w:pPr>
            <w:proofErr w:type="spellStart"/>
            <w:r w:rsidRPr="00A60529">
              <w:rPr>
                <w:rFonts w:eastAsia="Times New Roman" w:cs="Times New Roman"/>
                <w:color w:val="000000"/>
                <w:sz w:val="20"/>
                <w:szCs w:val="20"/>
                <w:lang w:val="ru-RU" w:eastAsia="ru-RU"/>
              </w:rPr>
              <w:t>Number</w:t>
            </w:r>
            <w:proofErr w:type="spellEnd"/>
            <w:r w:rsidRPr="00A60529">
              <w:rPr>
                <w:rFonts w:eastAsia="Times New Roman" w:cs="Times New Roman"/>
                <w:color w:val="000000"/>
                <w:sz w:val="20"/>
                <w:szCs w:val="20"/>
                <w:lang w:val="ru-RU" w:eastAsia="ru-RU"/>
              </w:rPr>
              <w:t xml:space="preserve"> </w:t>
            </w:r>
            <w:proofErr w:type="spellStart"/>
            <w:r w:rsidRPr="00A60529">
              <w:rPr>
                <w:rFonts w:eastAsia="Times New Roman" w:cs="Times New Roman"/>
                <w:color w:val="000000"/>
                <w:sz w:val="20"/>
                <w:szCs w:val="20"/>
                <w:lang w:val="ru-RU" w:eastAsia="ru-RU"/>
              </w:rPr>
              <w:t>of</w:t>
            </w:r>
            <w:proofErr w:type="spellEnd"/>
            <w:r w:rsidRPr="00A60529">
              <w:rPr>
                <w:rFonts w:eastAsia="Times New Roman" w:cs="Times New Roman"/>
                <w:color w:val="000000"/>
                <w:sz w:val="20"/>
                <w:szCs w:val="20"/>
                <w:lang w:val="ru-RU" w:eastAsia="ru-RU"/>
              </w:rPr>
              <w:t xml:space="preserve"> </w:t>
            </w:r>
            <w:proofErr w:type="spellStart"/>
            <w:r w:rsidRPr="00A60529">
              <w:rPr>
                <w:rFonts w:eastAsia="Times New Roman" w:cs="Times New Roman"/>
                <w:color w:val="000000"/>
                <w:sz w:val="20"/>
                <w:szCs w:val="20"/>
                <w:lang w:val="ru-RU" w:eastAsia="ru-RU"/>
              </w:rPr>
              <w:t>observations</w:t>
            </w:r>
            <w:proofErr w:type="spellEnd"/>
          </w:p>
        </w:tc>
        <w:tc>
          <w:tcPr>
            <w:tcW w:w="2276"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4BB09842" w14:textId="77777777" w:rsidR="00A60529" w:rsidRPr="00A60529" w:rsidRDefault="00A60529" w:rsidP="00A60529">
            <w:pPr>
              <w:spacing w:after="0" w:line="240" w:lineRule="auto"/>
              <w:ind w:firstLine="0"/>
              <w:contextualSpacing w:val="0"/>
              <w:jc w:val="center"/>
              <w:rPr>
                <w:rFonts w:eastAsia="Times New Roman" w:cs="Times New Roman"/>
                <w:color w:val="000000"/>
                <w:sz w:val="20"/>
                <w:szCs w:val="20"/>
                <w:lang w:val="ru-RU" w:eastAsia="ru-RU"/>
              </w:rPr>
            </w:pPr>
            <w:r w:rsidRPr="00A60529">
              <w:rPr>
                <w:rFonts w:eastAsia="Times New Roman" w:cs="Times New Roman"/>
                <w:color w:val="000000"/>
                <w:sz w:val="20"/>
                <w:szCs w:val="20"/>
                <w:lang w:val="ru-RU" w:eastAsia="ru-RU"/>
              </w:rPr>
              <w:t>123</w:t>
            </w:r>
          </w:p>
        </w:tc>
      </w:tr>
      <w:tr w:rsidR="00A60529" w:rsidRPr="00A60529" w14:paraId="6049A28B" w14:textId="77777777" w:rsidTr="00A60529">
        <w:trPr>
          <w:trHeight w:val="300"/>
          <w:jc w:val="center"/>
        </w:trPr>
        <w:tc>
          <w:tcPr>
            <w:tcW w:w="3440" w:type="dxa"/>
            <w:tcBorders>
              <w:top w:val="nil"/>
              <w:left w:val="single" w:sz="4" w:space="0" w:color="auto"/>
              <w:bottom w:val="nil"/>
              <w:right w:val="nil"/>
            </w:tcBorders>
            <w:shd w:val="clear" w:color="auto" w:fill="auto"/>
            <w:noWrap/>
            <w:vAlign w:val="center"/>
            <w:hideMark/>
          </w:tcPr>
          <w:p w14:paraId="0A3C2F01" w14:textId="77777777" w:rsidR="00A60529" w:rsidRPr="00A60529" w:rsidRDefault="00A60529" w:rsidP="00A60529">
            <w:pPr>
              <w:spacing w:after="0" w:line="240" w:lineRule="auto"/>
              <w:ind w:firstLine="0"/>
              <w:contextualSpacing w:val="0"/>
              <w:jc w:val="left"/>
              <w:rPr>
                <w:rFonts w:eastAsia="Times New Roman" w:cs="Times New Roman"/>
                <w:color w:val="000000"/>
                <w:sz w:val="20"/>
                <w:szCs w:val="20"/>
                <w:lang w:val="ru-RU" w:eastAsia="ru-RU"/>
              </w:rPr>
            </w:pPr>
            <w:r w:rsidRPr="00A60529">
              <w:rPr>
                <w:rFonts w:eastAsia="Times New Roman" w:cs="Times New Roman"/>
                <w:color w:val="000000"/>
                <w:sz w:val="20"/>
                <w:szCs w:val="20"/>
                <w:lang w:val="ru-RU" w:eastAsia="ru-RU"/>
              </w:rPr>
              <w:t>F-</w:t>
            </w:r>
            <w:proofErr w:type="spellStart"/>
            <w:r w:rsidRPr="00A60529">
              <w:rPr>
                <w:rFonts w:eastAsia="Times New Roman" w:cs="Times New Roman"/>
                <w:color w:val="000000"/>
                <w:sz w:val="20"/>
                <w:szCs w:val="20"/>
                <w:lang w:val="ru-RU" w:eastAsia="ru-RU"/>
              </w:rPr>
              <w:t>test</w:t>
            </w:r>
            <w:proofErr w:type="spellEnd"/>
            <w:r w:rsidRPr="00A60529">
              <w:rPr>
                <w:rFonts w:eastAsia="Times New Roman" w:cs="Times New Roman"/>
                <w:color w:val="000000"/>
                <w:sz w:val="20"/>
                <w:szCs w:val="20"/>
                <w:lang w:val="ru-RU" w:eastAsia="ru-RU"/>
              </w:rPr>
              <w:t>, p-</w:t>
            </w:r>
            <w:proofErr w:type="spellStart"/>
            <w:r w:rsidRPr="00A60529">
              <w:rPr>
                <w:rFonts w:eastAsia="Times New Roman" w:cs="Times New Roman"/>
                <w:color w:val="000000"/>
                <w:sz w:val="20"/>
                <w:szCs w:val="20"/>
                <w:lang w:val="ru-RU" w:eastAsia="ru-RU"/>
              </w:rPr>
              <w:t>value</w:t>
            </w:r>
            <w:proofErr w:type="spellEnd"/>
          </w:p>
        </w:tc>
        <w:tc>
          <w:tcPr>
            <w:tcW w:w="2276" w:type="dxa"/>
            <w:gridSpan w:val="2"/>
            <w:tcBorders>
              <w:top w:val="nil"/>
              <w:left w:val="single" w:sz="4" w:space="0" w:color="auto"/>
              <w:bottom w:val="nil"/>
              <w:right w:val="single" w:sz="4" w:space="0" w:color="000000"/>
            </w:tcBorders>
            <w:shd w:val="clear" w:color="auto" w:fill="auto"/>
            <w:noWrap/>
            <w:vAlign w:val="bottom"/>
            <w:hideMark/>
          </w:tcPr>
          <w:p w14:paraId="41E3EEB6" w14:textId="77777777" w:rsidR="00A60529" w:rsidRPr="00A60529" w:rsidRDefault="00A60529" w:rsidP="00A60529">
            <w:pPr>
              <w:spacing w:after="0" w:line="240" w:lineRule="auto"/>
              <w:ind w:firstLine="0"/>
              <w:contextualSpacing w:val="0"/>
              <w:jc w:val="center"/>
              <w:rPr>
                <w:rFonts w:eastAsia="Times New Roman" w:cs="Times New Roman"/>
                <w:color w:val="000000"/>
                <w:sz w:val="20"/>
                <w:szCs w:val="20"/>
                <w:lang w:val="ru-RU" w:eastAsia="ru-RU"/>
              </w:rPr>
            </w:pPr>
            <w:r w:rsidRPr="00A60529">
              <w:rPr>
                <w:rFonts w:eastAsia="Times New Roman" w:cs="Times New Roman"/>
                <w:color w:val="000000"/>
                <w:sz w:val="20"/>
                <w:szCs w:val="20"/>
                <w:lang w:val="ru-RU" w:eastAsia="ru-RU"/>
              </w:rPr>
              <w:t>0,00</w:t>
            </w:r>
          </w:p>
        </w:tc>
      </w:tr>
      <w:tr w:rsidR="00A60529" w:rsidRPr="00A60529" w14:paraId="73C83372" w14:textId="77777777" w:rsidTr="00A60529">
        <w:trPr>
          <w:trHeight w:val="330"/>
          <w:jc w:val="center"/>
        </w:trPr>
        <w:tc>
          <w:tcPr>
            <w:tcW w:w="3440" w:type="dxa"/>
            <w:tcBorders>
              <w:top w:val="nil"/>
              <w:left w:val="single" w:sz="4" w:space="0" w:color="auto"/>
              <w:bottom w:val="single" w:sz="4" w:space="0" w:color="auto"/>
              <w:right w:val="nil"/>
            </w:tcBorders>
            <w:shd w:val="clear" w:color="auto" w:fill="auto"/>
            <w:noWrap/>
            <w:vAlign w:val="bottom"/>
            <w:hideMark/>
          </w:tcPr>
          <w:p w14:paraId="03ED93F4" w14:textId="77777777" w:rsidR="00A60529" w:rsidRPr="00A60529" w:rsidRDefault="00A60529" w:rsidP="00A60529">
            <w:pPr>
              <w:spacing w:after="0" w:line="240" w:lineRule="auto"/>
              <w:ind w:firstLine="0"/>
              <w:contextualSpacing w:val="0"/>
              <w:jc w:val="left"/>
              <w:rPr>
                <w:rFonts w:eastAsia="Times New Roman" w:cs="Times New Roman"/>
                <w:color w:val="000000"/>
                <w:sz w:val="20"/>
                <w:szCs w:val="20"/>
                <w:lang w:val="ru-RU" w:eastAsia="ru-RU"/>
              </w:rPr>
            </w:pPr>
            <w:r w:rsidRPr="00A60529">
              <w:rPr>
                <w:rFonts w:eastAsia="Times New Roman" w:cs="Times New Roman"/>
                <w:color w:val="000000"/>
                <w:sz w:val="20"/>
                <w:szCs w:val="20"/>
                <w:lang w:val="ru-RU" w:eastAsia="ru-RU"/>
              </w:rPr>
              <w:t>R</w:t>
            </w:r>
            <w:r w:rsidRPr="00A60529">
              <w:rPr>
                <w:rFonts w:eastAsia="Times New Roman" w:cs="Times New Roman"/>
                <w:color w:val="000000"/>
                <w:sz w:val="20"/>
                <w:szCs w:val="20"/>
                <w:vertAlign w:val="superscript"/>
                <w:lang w:val="ru-RU" w:eastAsia="ru-RU"/>
              </w:rPr>
              <w:t>2</w:t>
            </w:r>
          </w:p>
        </w:tc>
        <w:tc>
          <w:tcPr>
            <w:tcW w:w="2276"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4C51A8DE" w14:textId="77777777" w:rsidR="00A60529" w:rsidRPr="00A60529" w:rsidRDefault="00A60529" w:rsidP="00A60529">
            <w:pPr>
              <w:spacing w:after="0" w:line="240" w:lineRule="auto"/>
              <w:ind w:firstLine="0"/>
              <w:contextualSpacing w:val="0"/>
              <w:jc w:val="center"/>
              <w:rPr>
                <w:rFonts w:eastAsia="Times New Roman" w:cs="Times New Roman"/>
                <w:color w:val="000000"/>
                <w:sz w:val="20"/>
                <w:szCs w:val="20"/>
                <w:lang w:val="ru-RU" w:eastAsia="ru-RU"/>
              </w:rPr>
            </w:pPr>
            <w:r w:rsidRPr="00A60529">
              <w:rPr>
                <w:rFonts w:eastAsia="Times New Roman" w:cs="Times New Roman"/>
                <w:color w:val="000000"/>
                <w:sz w:val="20"/>
                <w:szCs w:val="20"/>
                <w:lang w:val="ru-RU" w:eastAsia="ru-RU"/>
              </w:rPr>
              <w:t>0,54</w:t>
            </w:r>
          </w:p>
        </w:tc>
      </w:tr>
      <w:tr w:rsidR="00A60529" w:rsidRPr="00A60529" w14:paraId="5D4FFA79" w14:textId="77777777" w:rsidTr="00A60529">
        <w:trPr>
          <w:trHeight w:val="300"/>
          <w:jc w:val="center"/>
        </w:trPr>
        <w:tc>
          <w:tcPr>
            <w:tcW w:w="3440" w:type="dxa"/>
            <w:tcBorders>
              <w:top w:val="nil"/>
              <w:left w:val="single" w:sz="4" w:space="0" w:color="auto"/>
              <w:bottom w:val="single" w:sz="4" w:space="0" w:color="auto"/>
              <w:right w:val="nil"/>
            </w:tcBorders>
            <w:shd w:val="clear" w:color="auto" w:fill="auto"/>
            <w:noWrap/>
            <w:vAlign w:val="center"/>
            <w:hideMark/>
          </w:tcPr>
          <w:p w14:paraId="626AA4B5" w14:textId="77777777" w:rsidR="00A60529" w:rsidRPr="00A60529" w:rsidRDefault="00A60529" w:rsidP="00A60529">
            <w:pPr>
              <w:spacing w:after="0" w:line="240" w:lineRule="auto"/>
              <w:ind w:firstLine="0"/>
              <w:contextualSpacing w:val="0"/>
              <w:jc w:val="left"/>
              <w:rPr>
                <w:rFonts w:eastAsia="Times New Roman" w:cs="Times New Roman"/>
                <w:b/>
                <w:bCs/>
                <w:color w:val="000000"/>
                <w:sz w:val="20"/>
                <w:szCs w:val="20"/>
                <w:lang w:val="ru-RU" w:eastAsia="ru-RU"/>
              </w:rPr>
            </w:pPr>
            <w:r w:rsidRPr="00A60529">
              <w:rPr>
                <w:rFonts w:eastAsia="Times New Roman" w:cs="Times New Roman"/>
                <w:b/>
                <w:bCs/>
                <w:color w:val="000000"/>
                <w:sz w:val="20"/>
                <w:szCs w:val="20"/>
                <w:lang w:val="ru-RU" w:eastAsia="ru-RU"/>
              </w:rPr>
              <w:t>T_WC</w:t>
            </w:r>
          </w:p>
        </w:tc>
        <w:tc>
          <w:tcPr>
            <w:tcW w:w="950" w:type="dxa"/>
            <w:tcBorders>
              <w:top w:val="nil"/>
              <w:left w:val="single" w:sz="4" w:space="0" w:color="auto"/>
              <w:bottom w:val="single" w:sz="4" w:space="0" w:color="auto"/>
              <w:right w:val="nil"/>
            </w:tcBorders>
            <w:shd w:val="clear" w:color="auto" w:fill="auto"/>
            <w:noWrap/>
            <w:vAlign w:val="bottom"/>
            <w:hideMark/>
          </w:tcPr>
          <w:p w14:paraId="303D9D2E" w14:textId="77777777" w:rsidR="00A60529" w:rsidRPr="00A60529" w:rsidRDefault="00A60529" w:rsidP="00A60529">
            <w:pPr>
              <w:spacing w:after="0" w:line="240" w:lineRule="auto"/>
              <w:ind w:firstLine="0"/>
              <w:contextualSpacing w:val="0"/>
              <w:jc w:val="center"/>
              <w:rPr>
                <w:rFonts w:eastAsia="Times New Roman" w:cs="Times New Roman"/>
                <w:b/>
                <w:bCs/>
                <w:color w:val="000000"/>
                <w:sz w:val="20"/>
                <w:szCs w:val="20"/>
                <w:lang w:val="ru-RU" w:eastAsia="ru-RU"/>
              </w:rPr>
            </w:pPr>
            <w:r w:rsidRPr="00A60529">
              <w:rPr>
                <w:rFonts w:eastAsia="Times New Roman" w:cs="Times New Roman"/>
                <w:b/>
                <w:bCs/>
                <w:color w:val="000000"/>
                <w:sz w:val="20"/>
                <w:szCs w:val="20"/>
                <w:lang w:val="ru-RU" w:eastAsia="ru-RU"/>
              </w:rPr>
              <w:t>p-</w:t>
            </w:r>
            <w:proofErr w:type="spellStart"/>
            <w:r w:rsidRPr="00A60529">
              <w:rPr>
                <w:rFonts w:eastAsia="Times New Roman" w:cs="Times New Roman"/>
                <w:b/>
                <w:bCs/>
                <w:color w:val="000000"/>
                <w:sz w:val="20"/>
                <w:szCs w:val="20"/>
                <w:lang w:val="ru-RU" w:eastAsia="ru-RU"/>
              </w:rPr>
              <w:t>value</w:t>
            </w:r>
            <w:proofErr w:type="spellEnd"/>
          </w:p>
        </w:tc>
        <w:tc>
          <w:tcPr>
            <w:tcW w:w="1326" w:type="dxa"/>
            <w:tcBorders>
              <w:top w:val="nil"/>
              <w:left w:val="nil"/>
              <w:bottom w:val="single" w:sz="4" w:space="0" w:color="auto"/>
              <w:right w:val="single" w:sz="4" w:space="0" w:color="auto"/>
            </w:tcBorders>
            <w:shd w:val="clear" w:color="auto" w:fill="auto"/>
            <w:noWrap/>
            <w:vAlign w:val="bottom"/>
            <w:hideMark/>
          </w:tcPr>
          <w:p w14:paraId="46C3B6FE" w14:textId="77777777" w:rsidR="00A60529" w:rsidRPr="00A60529" w:rsidRDefault="00A60529" w:rsidP="00A60529">
            <w:pPr>
              <w:spacing w:after="0" w:line="240" w:lineRule="auto"/>
              <w:ind w:firstLine="0"/>
              <w:contextualSpacing w:val="0"/>
              <w:jc w:val="left"/>
              <w:rPr>
                <w:rFonts w:eastAsia="Times New Roman" w:cs="Times New Roman"/>
                <w:b/>
                <w:bCs/>
                <w:color w:val="000000"/>
                <w:sz w:val="20"/>
                <w:szCs w:val="20"/>
                <w:lang w:val="ru-RU" w:eastAsia="ru-RU"/>
              </w:rPr>
            </w:pPr>
            <w:proofErr w:type="spellStart"/>
            <w:r w:rsidRPr="00A60529">
              <w:rPr>
                <w:rFonts w:eastAsia="Times New Roman" w:cs="Times New Roman"/>
                <w:b/>
                <w:bCs/>
                <w:color w:val="000000"/>
                <w:sz w:val="20"/>
                <w:szCs w:val="20"/>
                <w:lang w:val="ru-RU" w:eastAsia="ru-RU"/>
              </w:rPr>
              <w:t>Coefficients</w:t>
            </w:r>
            <w:proofErr w:type="spellEnd"/>
          </w:p>
        </w:tc>
      </w:tr>
      <w:tr w:rsidR="00A60529" w:rsidRPr="00A60529" w14:paraId="15B57C38" w14:textId="77777777" w:rsidTr="00A60529">
        <w:trPr>
          <w:trHeight w:val="300"/>
          <w:jc w:val="center"/>
        </w:trPr>
        <w:tc>
          <w:tcPr>
            <w:tcW w:w="3440" w:type="dxa"/>
            <w:tcBorders>
              <w:top w:val="nil"/>
              <w:left w:val="single" w:sz="4" w:space="0" w:color="auto"/>
              <w:bottom w:val="nil"/>
              <w:right w:val="single" w:sz="4" w:space="0" w:color="auto"/>
            </w:tcBorders>
            <w:shd w:val="clear" w:color="auto" w:fill="auto"/>
            <w:noWrap/>
            <w:vAlign w:val="center"/>
            <w:hideMark/>
          </w:tcPr>
          <w:p w14:paraId="6048E9BE" w14:textId="77777777" w:rsidR="00A60529" w:rsidRPr="00A60529" w:rsidRDefault="00A60529" w:rsidP="00A60529">
            <w:pPr>
              <w:spacing w:after="0" w:line="240" w:lineRule="auto"/>
              <w:ind w:firstLine="0"/>
              <w:contextualSpacing w:val="0"/>
              <w:jc w:val="left"/>
              <w:rPr>
                <w:rFonts w:eastAsia="Times New Roman" w:cs="Times New Roman"/>
                <w:color w:val="000000"/>
                <w:sz w:val="20"/>
                <w:szCs w:val="20"/>
                <w:lang w:eastAsia="ru-RU"/>
              </w:rPr>
            </w:pPr>
            <w:r w:rsidRPr="00A60529">
              <w:rPr>
                <w:rFonts w:eastAsia="Times New Roman" w:cs="Times New Roman"/>
                <w:color w:val="000000"/>
                <w:sz w:val="20"/>
                <w:szCs w:val="20"/>
                <w:lang w:eastAsia="ru-RU"/>
              </w:rPr>
              <w:t>CFO (Cash flow from operations)</w:t>
            </w:r>
          </w:p>
        </w:tc>
        <w:tc>
          <w:tcPr>
            <w:tcW w:w="950" w:type="dxa"/>
            <w:tcBorders>
              <w:top w:val="nil"/>
              <w:left w:val="nil"/>
              <w:bottom w:val="nil"/>
              <w:right w:val="nil"/>
            </w:tcBorders>
            <w:shd w:val="clear" w:color="auto" w:fill="auto"/>
            <w:noWrap/>
            <w:vAlign w:val="bottom"/>
            <w:hideMark/>
          </w:tcPr>
          <w:p w14:paraId="683C0C8A" w14:textId="77777777" w:rsidR="00A60529" w:rsidRPr="00A60529" w:rsidRDefault="00A60529" w:rsidP="00A60529">
            <w:pPr>
              <w:spacing w:after="0" w:line="240" w:lineRule="auto"/>
              <w:ind w:firstLine="0"/>
              <w:contextualSpacing w:val="0"/>
              <w:jc w:val="center"/>
              <w:rPr>
                <w:rFonts w:eastAsia="Times New Roman" w:cs="Times New Roman"/>
                <w:color w:val="000000"/>
                <w:sz w:val="20"/>
                <w:szCs w:val="20"/>
                <w:lang w:val="ru-RU" w:eastAsia="ru-RU"/>
              </w:rPr>
            </w:pPr>
            <w:r w:rsidRPr="00A60529">
              <w:rPr>
                <w:rFonts w:eastAsia="Times New Roman" w:cs="Times New Roman"/>
                <w:color w:val="000000"/>
                <w:sz w:val="20"/>
                <w:szCs w:val="20"/>
                <w:lang w:val="ru-RU" w:eastAsia="ru-RU"/>
              </w:rPr>
              <w:t>0,00</w:t>
            </w:r>
          </w:p>
        </w:tc>
        <w:tc>
          <w:tcPr>
            <w:tcW w:w="1326" w:type="dxa"/>
            <w:tcBorders>
              <w:top w:val="nil"/>
              <w:left w:val="nil"/>
              <w:bottom w:val="nil"/>
              <w:right w:val="single" w:sz="4" w:space="0" w:color="auto"/>
            </w:tcBorders>
            <w:shd w:val="clear" w:color="auto" w:fill="auto"/>
            <w:noWrap/>
            <w:vAlign w:val="bottom"/>
            <w:hideMark/>
          </w:tcPr>
          <w:p w14:paraId="62BA0743" w14:textId="77777777" w:rsidR="00A60529" w:rsidRPr="00A60529" w:rsidRDefault="00A60529" w:rsidP="00A60529">
            <w:pPr>
              <w:spacing w:after="0" w:line="240" w:lineRule="auto"/>
              <w:ind w:firstLine="0"/>
              <w:contextualSpacing w:val="0"/>
              <w:jc w:val="center"/>
              <w:rPr>
                <w:rFonts w:eastAsia="Times New Roman" w:cs="Times New Roman"/>
                <w:color w:val="000000"/>
                <w:sz w:val="20"/>
                <w:szCs w:val="20"/>
                <w:lang w:val="ru-RU" w:eastAsia="ru-RU"/>
              </w:rPr>
            </w:pPr>
            <w:r w:rsidRPr="00A60529">
              <w:rPr>
                <w:rFonts w:eastAsia="Times New Roman" w:cs="Times New Roman"/>
                <w:color w:val="000000"/>
                <w:sz w:val="20"/>
                <w:szCs w:val="20"/>
                <w:lang w:val="ru-RU" w:eastAsia="ru-RU"/>
              </w:rPr>
              <w:t>-0,40</w:t>
            </w:r>
          </w:p>
        </w:tc>
      </w:tr>
      <w:tr w:rsidR="00A60529" w:rsidRPr="00A60529" w14:paraId="2744D755" w14:textId="77777777" w:rsidTr="00A60529">
        <w:trPr>
          <w:trHeight w:val="300"/>
          <w:jc w:val="center"/>
        </w:trPr>
        <w:tc>
          <w:tcPr>
            <w:tcW w:w="3440" w:type="dxa"/>
            <w:tcBorders>
              <w:top w:val="nil"/>
              <w:left w:val="single" w:sz="4" w:space="0" w:color="auto"/>
              <w:bottom w:val="nil"/>
              <w:right w:val="single" w:sz="4" w:space="0" w:color="auto"/>
            </w:tcBorders>
            <w:shd w:val="clear" w:color="auto" w:fill="auto"/>
            <w:noWrap/>
            <w:vAlign w:val="center"/>
            <w:hideMark/>
          </w:tcPr>
          <w:p w14:paraId="6E6B32E1" w14:textId="77777777" w:rsidR="00A60529" w:rsidRPr="00A60529" w:rsidRDefault="00A60529" w:rsidP="00A60529">
            <w:pPr>
              <w:spacing w:after="0" w:line="240" w:lineRule="auto"/>
              <w:ind w:firstLine="0"/>
              <w:contextualSpacing w:val="0"/>
              <w:jc w:val="left"/>
              <w:rPr>
                <w:rFonts w:eastAsia="Times New Roman" w:cs="Times New Roman"/>
                <w:color w:val="000000"/>
                <w:sz w:val="20"/>
                <w:szCs w:val="20"/>
                <w:lang w:val="ru-RU" w:eastAsia="ru-RU"/>
              </w:rPr>
            </w:pPr>
            <w:r w:rsidRPr="00A60529">
              <w:rPr>
                <w:rFonts w:eastAsia="Times New Roman" w:cs="Times New Roman"/>
                <w:color w:val="000000"/>
                <w:sz w:val="20"/>
                <w:szCs w:val="20"/>
                <w:lang w:val="ru-RU" w:eastAsia="ru-RU"/>
              </w:rPr>
              <w:t>OC (</w:t>
            </w:r>
            <w:proofErr w:type="spellStart"/>
            <w:r w:rsidRPr="00A60529">
              <w:rPr>
                <w:rFonts w:eastAsia="Times New Roman" w:cs="Times New Roman"/>
                <w:color w:val="000000"/>
                <w:sz w:val="20"/>
                <w:szCs w:val="20"/>
                <w:lang w:val="ru-RU" w:eastAsia="ru-RU"/>
              </w:rPr>
              <w:t>Operating</w:t>
            </w:r>
            <w:proofErr w:type="spellEnd"/>
            <w:r w:rsidRPr="00A60529">
              <w:rPr>
                <w:rFonts w:eastAsia="Times New Roman" w:cs="Times New Roman"/>
                <w:color w:val="000000"/>
                <w:sz w:val="20"/>
                <w:szCs w:val="20"/>
                <w:lang w:val="ru-RU" w:eastAsia="ru-RU"/>
              </w:rPr>
              <w:t xml:space="preserve"> </w:t>
            </w:r>
            <w:proofErr w:type="spellStart"/>
            <w:r w:rsidRPr="00A60529">
              <w:rPr>
                <w:rFonts w:eastAsia="Times New Roman" w:cs="Times New Roman"/>
                <w:color w:val="000000"/>
                <w:sz w:val="20"/>
                <w:szCs w:val="20"/>
                <w:lang w:val="ru-RU" w:eastAsia="ru-RU"/>
              </w:rPr>
              <w:t>cycle</w:t>
            </w:r>
            <w:proofErr w:type="spellEnd"/>
            <w:r w:rsidRPr="00A60529">
              <w:rPr>
                <w:rFonts w:eastAsia="Times New Roman" w:cs="Times New Roman"/>
                <w:color w:val="000000"/>
                <w:sz w:val="20"/>
                <w:szCs w:val="20"/>
                <w:lang w:val="ru-RU" w:eastAsia="ru-RU"/>
              </w:rPr>
              <w:t>)</w:t>
            </w:r>
          </w:p>
        </w:tc>
        <w:tc>
          <w:tcPr>
            <w:tcW w:w="950" w:type="dxa"/>
            <w:tcBorders>
              <w:top w:val="nil"/>
              <w:left w:val="nil"/>
              <w:bottom w:val="nil"/>
              <w:right w:val="nil"/>
            </w:tcBorders>
            <w:shd w:val="clear" w:color="auto" w:fill="auto"/>
            <w:noWrap/>
            <w:vAlign w:val="bottom"/>
            <w:hideMark/>
          </w:tcPr>
          <w:p w14:paraId="218BC6F8" w14:textId="77777777" w:rsidR="00A60529" w:rsidRPr="00A60529" w:rsidRDefault="00A60529" w:rsidP="00A60529">
            <w:pPr>
              <w:spacing w:after="0" w:line="240" w:lineRule="auto"/>
              <w:ind w:firstLine="0"/>
              <w:contextualSpacing w:val="0"/>
              <w:jc w:val="center"/>
              <w:rPr>
                <w:rFonts w:eastAsia="Times New Roman" w:cs="Times New Roman"/>
                <w:color w:val="000000"/>
                <w:sz w:val="20"/>
                <w:szCs w:val="20"/>
                <w:lang w:val="ru-RU" w:eastAsia="ru-RU"/>
              </w:rPr>
            </w:pPr>
            <w:r w:rsidRPr="00A60529">
              <w:rPr>
                <w:rFonts w:eastAsia="Times New Roman" w:cs="Times New Roman"/>
                <w:color w:val="000000"/>
                <w:sz w:val="20"/>
                <w:szCs w:val="20"/>
                <w:lang w:val="ru-RU" w:eastAsia="ru-RU"/>
              </w:rPr>
              <w:t>0,16</w:t>
            </w:r>
          </w:p>
        </w:tc>
        <w:tc>
          <w:tcPr>
            <w:tcW w:w="1326" w:type="dxa"/>
            <w:tcBorders>
              <w:top w:val="nil"/>
              <w:left w:val="nil"/>
              <w:bottom w:val="nil"/>
              <w:right w:val="single" w:sz="4" w:space="0" w:color="auto"/>
            </w:tcBorders>
            <w:shd w:val="clear" w:color="auto" w:fill="auto"/>
            <w:noWrap/>
            <w:vAlign w:val="bottom"/>
            <w:hideMark/>
          </w:tcPr>
          <w:p w14:paraId="0A5CDADC" w14:textId="77777777" w:rsidR="00A60529" w:rsidRPr="00A60529" w:rsidRDefault="00A60529" w:rsidP="00A60529">
            <w:pPr>
              <w:spacing w:after="0" w:line="240" w:lineRule="auto"/>
              <w:ind w:firstLine="0"/>
              <w:contextualSpacing w:val="0"/>
              <w:jc w:val="center"/>
              <w:rPr>
                <w:rFonts w:eastAsia="Times New Roman" w:cs="Times New Roman"/>
                <w:color w:val="000000"/>
                <w:sz w:val="20"/>
                <w:szCs w:val="20"/>
                <w:lang w:val="ru-RU" w:eastAsia="ru-RU"/>
              </w:rPr>
            </w:pPr>
            <w:r w:rsidRPr="00A60529">
              <w:rPr>
                <w:rFonts w:eastAsia="Times New Roman" w:cs="Times New Roman"/>
                <w:color w:val="000000"/>
                <w:sz w:val="20"/>
                <w:szCs w:val="20"/>
                <w:lang w:val="ru-RU" w:eastAsia="ru-RU"/>
              </w:rPr>
              <w:t>0,03</w:t>
            </w:r>
          </w:p>
        </w:tc>
      </w:tr>
      <w:tr w:rsidR="00A60529" w:rsidRPr="00A60529" w14:paraId="3B7CF415" w14:textId="77777777" w:rsidTr="00A60529">
        <w:trPr>
          <w:trHeight w:val="300"/>
          <w:jc w:val="center"/>
        </w:trPr>
        <w:tc>
          <w:tcPr>
            <w:tcW w:w="3440" w:type="dxa"/>
            <w:tcBorders>
              <w:top w:val="nil"/>
              <w:left w:val="single" w:sz="4" w:space="0" w:color="auto"/>
              <w:bottom w:val="nil"/>
              <w:right w:val="single" w:sz="4" w:space="0" w:color="auto"/>
            </w:tcBorders>
            <w:shd w:val="clear" w:color="auto" w:fill="auto"/>
            <w:noWrap/>
            <w:vAlign w:val="center"/>
            <w:hideMark/>
          </w:tcPr>
          <w:p w14:paraId="17058E34" w14:textId="77777777" w:rsidR="00A60529" w:rsidRPr="00A60529" w:rsidRDefault="00A60529" w:rsidP="00A60529">
            <w:pPr>
              <w:spacing w:after="0" w:line="240" w:lineRule="auto"/>
              <w:ind w:firstLine="0"/>
              <w:contextualSpacing w:val="0"/>
              <w:jc w:val="left"/>
              <w:rPr>
                <w:rFonts w:eastAsia="Times New Roman" w:cs="Times New Roman"/>
                <w:color w:val="000000"/>
                <w:sz w:val="20"/>
                <w:szCs w:val="20"/>
                <w:lang w:val="ru-RU" w:eastAsia="ru-RU"/>
              </w:rPr>
            </w:pPr>
            <w:r w:rsidRPr="00A60529">
              <w:rPr>
                <w:rFonts w:eastAsia="Times New Roman" w:cs="Times New Roman"/>
                <w:color w:val="000000"/>
                <w:sz w:val="20"/>
                <w:szCs w:val="20"/>
                <w:lang w:val="ru-RU" w:eastAsia="ru-RU"/>
              </w:rPr>
              <w:t>ROA (</w:t>
            </w:r>
            <w:proofErr w:type="spellStart"/>
            <w:r w:rsidRPr="00A60529">
              <w:rPr>
                <w:rFonts w:eastAsia="Times New Roman" w:cs="Times New Roman"/>
                <w:color w:val="000000"/>
                <w:sz w:val="20"/>
                <w:szCs w:val="20"/>
                <w:lang w:val="ru-RU" w:eastAsia="ru-RU"/>
              </w:rPr>
              <w:t>Return</w:t>
            </w:r>
            <w:proofErr w:type="spellEnd"/>
            <w:r w:rsidRPr="00A60529">
              <w:rPr>
                <w:rFonts w:eastAsia="Times New Roman" w:cs="Times New Roman"/>
                <w:color w:val="000000"/>
                <w:sz w:val="20"/>
                <w:szCs w:val="20"/>
                <w:lang w:val="ru-RU" w:eastAsia="ru-RU"/>
              </w:rPr>
              <w:t xml:space="preserve"> </w:t>
            </w:r>
            <w:proofErr w:type="spellStart"/>
            <w:r w:rsidRPr="00A60529">
              <w:rPr>
                <w:rFonts w:eastAsia="Times New Roman" w:cs="Times New Roman"/>
                <w:color w:val="000000"/>
                <w:sz w:val="20"/>
                <w:szCs w:val="20"/>
                <w:lang w:val="ru-RU" w:eastAsia="ru-RU"/>
              </w:rPr>
              <w:t>on</w:t>
            </w:r>
            <w:proofErr w:type="spellEnd"/>
            <w:r w:rsidRPr="00A60529">
              <w:rPr>
                <w:rFonts w:eastAsia="Times New Roman" w:cs="Times New Roman"/>
                <w:color w:val="000000"/>
                <w:sz w:val="20"/>
                <w:szCs w:val="20"/>
                <w:lang w:val="ru-RU" w:eastAsia="ru-RU"/>
              </w:rPr>
              <w:t xml:space="preserve"> </w:t>
            </w:r>
            <w:proofErr w:type="spellStart"/>
            <w:r w:rsidRPr="00A60529">
              <w:rPr>
                <w:rFonts w:eastAsia="Times New Roman" w:cs="Times New Roman"/>
                <w:color w:val="000000"/>
                <w:sz w:val="20"/>
                <w:szCs w:val="20"/>
                <w:lang w:val="ru-RU" w:eastAsia="ru-RU"/>
              </w:rPr>
              <w:t>assets</w:t>
            </w:r>
            <w:proofErr w:type="spellEnd"/>
            <w:r w:rsidRPr="00A60529">
              <w:rPr>
                <w:rFonts w:eastAsia="Times New Roman" w:cs="Times New Roman"/>
                <w:color w:val="000000"/>
                <w:sz w:val="20"/>
                <w:szCs w:val="20"/>
                <w:lang w:val="ru-RU" w:eastAsia="ru-RU"/>
              </w:rPr>
              <w:t>)</w:t>
            </w:r>
          </w:p>
        </w:tc>
        <w:tc>
          <w:tcPr>
            <w:tcW w:w="950" w:type="dxa"/>
            <w:tcBorders>
              <w:top w:val="nil"/>
              <w:left w:val="nil"/>
              <w:bottom w:val="nil"/>
              <w:right w:val="nil"/>
            </w:tcBorders>
            <w:shd w:val="clear" w:color="auto" w:fill="auto"/>
            <w:noWrap/>
            <w:vAlign w:val="bottom"/>
            <w:hideMark/>
          </w:tcPr>
          <w:p w14:paraId="4B2D2ED1" w14:textId="77777777" w:rsidR="00A60529" w:rsidRPr="00A60529" w:rsidRDefault="00A60529" w:rsidP="00A60529">
            <w:pPr>
              <w:spacing w:after="0" w:line="240" w:lineRule="auto"/>
              <w:ind w:firstLine="0"/>
              <w:contextualSpacing w:val="0"/>
              <w:jc w:val="center"/>
              <w:rPr>
                <w:rFonts w:eastAsia="Times New Roman" w:cs="Times New Roman"/>
                <w:color w:val="000000"/>
                <w:sz w:val="20"/>
                <w:szCs w:val="20"/>
                <w:lang w:val="ru-RU" w:eastAsia="ru-RU"/>
              </w:rPr>
            </w:pPr>
            <w:r w:rsidRPr="00A60529">
              <w:rPr>
                <w:rFonts w:eastAsia="Times New Roman" w:cs="Times New Roman"/>
                <w:color w:val="000000"/>
                <w:sz w:val="20"/>
                <w:szCs w:val="20"/>
                <w:lang w:val="ru-RU" w:eastAsia="ru-RU"/>
              </w:rPr>
              <w:t>0,00</w:t>
            </w:r>
          </w:p>
        </w:tc>
        <w:tc>
          <w:tcPr>
            <w:tcW w:w="1326" w:type="dxa"/>
            <w:tcBorders>
              <w:top w:val="nil"/>
              <w:left w:val="nil"/>
              <w:bottom w:val="nil"/>
              <w:right w:val="single" w:sz="4" w:space="0" w:color="auto"/>
            </w:tcBorders>
            <w:shd w:val="clear" w:color="auto" w:fill="auto"/>
            <w:noWrap/>
            <w:vAlign w:val="bottom"/>
            <w:hideMark/>
          </w:tcPr>
          <w:p w14:paraId="1F69DE2C" w14:textId="77777777" w:rsidR="00A60529" w:rsidRPr="00A60529" w:rsidRDefault="00A60529" w:rsidP="00A60529">
            <w:pPr>
              <w:spacing w:after="0" w:line="240" w:lineRule="auto"/>
              <w:ind w:firstLine="0"/>
              <w:contextualSpacing w:val="0"/>
              <w:jc w:val="center"/>
              <w:rPr>
                <w:rFonts w:eastAsia="Times New Roman" w:cs="Times New Roman"/>
                <w:color w:val="000000"/>
                <w:sz w:val="20"/>
                <w:szCs w:val="20"/>
                <w:lang w:val="ru-RU" w:eastAsia="ru-RU"/>
              </w:rPr>
            </w:pPr>
            <w:r w:rsidRPr="00A60529">
              <w:rPr>
                <w:rFonts w:eastAsia="Times New Roman" w:cs="Times New Roman"/>
                <w:color w:val="000000"/>
                <w:sz w:val="20"/>
                <w:szCs w:val="20"/>
                <w:lang w:val="ru-RU" w:eastAsia="ru-RU"/>
              </w:rPr>
              <w:t>0,61</w:t>
            </w:r>
          </w:p>
        </w:tc>
      </w:tr>
      <w:tr w:rsidR="00A60529" w:rsidRPr="00A60529" w14:paraId="58395BF3" w14:textId="77777777" w:rsidTr="00A60529">
        <w:trPr>
          <w:trHeight w:val="300"/>
          <w:jc w:val="center"/>
        </w:trPr>
        <w:tc>
          <w:tcPr>
            <w:tcW w:w="3440" w:type="dxa"/>
            <w:tcBorders>
              <w:top w:val="nil"/>
              <w:left w:val="single" w:sz="4" w:space="0" w:color="auto"/>
              <w:bottom w:val="nil"/>
              <w:right w:val="single" w:sz="4" w:space="0" w:color="auto"/>
            </w:tcBorders>
            <w:shd w:val="clear" w:color="auto" w:fill="auto"/>
            <w:noWrap/>
            <w:vAlign w:val="center"/>
            <w:hideMark/>
          </w:tcPr>
          <w:p w14:paraId="43ACA903" w14:textId="77777777" w:rsidR="00A60529" w:rsidRPr="00A60529" w:rsidRDefault="00A60529" w:rsidP="00A60529">
            <w:pPr>
              <w:spacing w:after="0" w:line="240" w:lineRule="auto"/>
              <w:ind w:firstLine="0"/>
              <w:contextualSpacing w:val="0"/>
              <w:jc w:val="left"/>
              <w:rPr>
                <w:rFonts w:eastAsia="Times New Roman" w:cs="Times New Roman"/>
                <w:color w:val="000000"/>
                <w:sz w:val="20"/>
                <w:szCs w:val="20"/>
                <w:lang w:val="ru-RU" w:eastAsia="ru-RU"/>
              </w:rPr>
            </w:pPr>
            <w:r w:rsidRPr="00A60529">
              <w:rPr>
                <w:rFonts w:eastAsia="Times New Roman" w:cs="Times New Roman"/>
                <w:color w:val="000000"/>
                <w:sz w:val="20"/>
                <w:szCs w:val="20"/>
                <w:lang w:val="ru-RU" w:eastAsia="ru-RU"/>
              </w:rPr>
              <w:t>LR (</w:t>
            </w:r>
            <w:proofErr w:type="spellStart"/>
            <w:r w:rsidRPr="00A60529">
              <w:rPr>
                <w:rFonts w:eastAsia="Times New Roman" w:cs="Times New Roman"/>
                <w:color w:val="000000"/>
                <w:sz w:val="20"/>
                <w:szCs w:val="20"/>
                <w:lang w:val="ru-RU" w:eastAsia="ru-RU"/>
              </w:rPr>
              <w:t>Leverage</w:t>
            </w:r>
            <w:proofErr w:type="spellEnd"/>
            <w:r w:rsidRPr="00A60529">
              <w:rPr>
                <w:rFonts w:eastAsia="Times New Roman" w:cs="Times New Roman"/>
                <w:color w:val="000000"/>
                <w:sz w:val="20"/>
                <w:szCs w:val="20"/>
                <w:lang w:val="ru-RU" w:eastAsia="ru-RU"/>
              </w:rPr>
              <w:t xml:space="preserve"> </w:t>
            </w:r>
            <w:proofErr w:type="spellStart"/>
            <w:r w:rsidRPr="00A60529">
              <w:rPr>
                <w:rFonts w:eastAsia="Times New Roman" w:cs="Times New Roman"/>
                <w:color w:val="000000"/>
                <w:sz w:val="20"/>
                <w:szCs w:val="20"/>
                <w:lang w:val="ru-RU" w:eastAsia="ru-RU"/>
              </w:rPr>
              <w:t>ratio</w:t>
            </w:r>
            <w:proofErr w:type="spellEnd"/>
            <w:r w:rsidRPr="00A60529">
              <w:rPr>
                <w:rFonts w:eastAsia="Times New Roman" w:cs="Times New Roman"/>
                <w:color w:val="000000"/>
                <w:sz w:val="20"/>
                <w:szCs w:val="20"/>
                <w:lang w:val="ru-RU" w:eastAsia="ru-RU"/>
              </w:rPr>
              <w:t>)</w:t>
            </w:r>
          </w:p>
        </w:tc>
        <w:tc>
          <w:tcPr>
            <w:tcW w:w="950" w:type="dxa"/>
            <w:tcBorders>
              <w:top w:val="nil"/>
              <w:left w:val="nil"/>
              <w:bottom w:val="nil"/>
              <w:right w:val="nil"/>
            </w:tcBorders>
            <w:shd w:val="clear" w:color="auto" w:fill="auto"/>
            <w:noWrap/>
            <w:vAlign w:val="bottom"/>
            <w:hideMark/>
          </w:tcPr>
          <w:p w14:paraId="51DCBAB2" w14:textId="77777777" w:rsidR="00A60529" w:rsidRPr="00A60529" w:rsidRDefault="00A60529" w:rsidP="00A60529">
            <w:pPr>
              <w:spacing w:after="0" w:line="240" w:lineRule="auto"/>
              <w:ind w:firstLine="0"/>
              <w:contextualSpacing w:val="0"/>
              <w:jc w:val="center"/>
              <w:rPr>
                <w:rFonts w:eastAsia="Times New Roman" w:cs="Times New Roman"/>
                <w:color w:val="000000"/>
                <w:sz w:val="20"/>
                <w:szCs w:val="20"/>
                <w:lang w:val="ru-RU" w:eastAsia="ru-RU"/>
              </w:rPr>
            </w:pPr>
            <w:r w:rsidRPr="00A60529">
              <w:rPr>
                <w:rFonts w:eastAsia="Times New Roman" w:cs="Times New Roman"/>
                <w:color w:val="000000"/>
                <w:sz w:val="20"/>
                <w:szCs w:val="20"/>
                <w:lang w:val="ru-RU" w:eastAsia="ru-RU"/>
              </w:rPr>
              <w:t>0,00</w:t>
            </w:r>
          </w:p>
        </w:tc>
        <w:tc>
          <w:tcPr>
            <w:tcW w:w="1326" w:type="dxa"/>
            <w:tcBorders>
              <w:top w:val="nil"/>
              <w:left w:val="nil"/>
              <w:bottom w:val="nil"/>
              <w:right w:val="single" w:sz="4" w:space="0" w:color="auto"/>
            </w:tcBorders>
            <w:shd w:val="clear" w:color="auto" w:fill="auto"/>
            <w:noWrap/>
            <w:vAlign w:val="bottom"/>
            <w:hideMark/>
          </w:tcPr>
          <w:p w14:paraId="1BF31A01" w14:textId="77777777" w:rsidR="00A60529" w:rsidRPr="00A60529" w:rsidRDefault="00A60529" w:rsidP="00A60529">
            <w:pPr>
              <w:spacing w:after="0" w:line="240" w:lineRule="auto"/>
              <w:ind w:firstLine="0"/>
              <w:contextualSpacing w:val="0"/>
              <w:jc w:val="center"/>
              <w:rPr>
                <w:rFonts w:eastAsia="Times New Roman" w:cs="Times New Roman"/>
                <w:color w:val="000000"/>
                <w:sz w:val="20"/>
                <w:szCs w:val="20"/>
                <w:lang w:val="ru-RU" w:eastAsia="ru-RU"/>
              </w:rPr>
            </w:pPr>
            <w:r w:rsidRPr="00A60529">
              <w:rPr>
                <w:rFonts w:eastAsia="Times New Roman" w:cs="Times New Roman"/>
                <w:color w:val="000000"/>
                <w:sz w:val="20"/>
                <w:szCs w:val="20"/>
                <w:lang w:val="ru-RU" w:eastAsia="ru-RU"/>
              </w:rPr>
              <w:t>-0,09</w:t>
            </w:r>
          </w:p>
        </w:tc>
      </w:tr>
      <w:tr w:rsidR="00A60529" w:rsidRPr="00A60529" w14:paraId="54139A8F" w14:textId="77777777" w:rsidTr="00A60529">
        <w:trPr>
          <w:trHeight w:val="300"/>
          <w:jc w:val="center"/>
        </w:trPr>
        <w:tc>
          <w:tcPr>
            <w:tcW w:w="3440" w:type="dxa"/>
            <w:tcBorders>
              <w:top w:val="nil"/>
              <w:left w:val="single" w:sz="4" w:space="0" w:color="auto"/>
              <w:bottom w:val="nil"/>
              <w:right w:val="single" w:sz="4" w:space="0" w:color="auto"/>
            </w:tcBorders>
            <w:shd w:val="clear" w:color="auto" w:fill="auto"/>
            <w:noWrap/>
            <w:vAlign w:val="center"/>
            <w:hideMark/>
          </w:tcPr>
          <w:p w14:paraId="2B894CF9" w14:textId="77777777" w:rsidR="00A60529" w:rsidRPr="00A60529" w:rsidRDefault="00A60529" w:rsidP="00A60529">
            <w:pPr>
              <w:spacing w:after="0" w:line="240" w:lineRule="auto"/>
              <w:ind w:firstLine="0"/>
              <w:contextualSpacing w:val="0"/>
              <w:jc w:val="left"/>
              <w:rPr>
                <w:rFonts w:eastAsia="Times New Roman" w:cs="Times New Roman"/>
                <w:color w:val="000000"/>
                <w:sz w:val="20"/>
                <w:szCs w:val="20"/>
                <w:lang w:val="ru-RU" w:eastAsia="ru-RU"/>
              </w:rPr>
            </w:pPr>
            <w:r w:rsidRPr="00A60529">
              <w:rPr>
                <w:rFonts w:eastAsia="Times New Roman" w:cs="Times New Roman"/>
                <w:color w:val="000000"/>
                <w:sz w:val="20"/>
                <w:szCs w:val="20"/>
                <w:lang w:val="ru-RU" w:eastAsia="ru-RU"/>
              </w:rPr>
              <w:t>CAPEX (</w:t>
            </w:r>
            <w:proofErr w:type="spellStart"/>
            <w:r w:rsidRPr="00A60529">
              <w:rPr>
                <w:rFonts w:eastAsia="Times New Roman" w:cs="Times New Roman"/>
                <w:color w:val="000000"/>
                <w:sz w:val="20"/>
                <w:szCs w:val="20"/>
                <w:lang w:val="ru-RU" w:eastAsia="ru-RU"/>
              </w:rPr>
              <w:t>Capital</w:t>
            </w:r>
            <w:proofErr w:type="spellEnd"/>
            <w:r w:rsidRPr="00A60529">
              <w:rPr>
                <w:rFonts w:eastAsia="Times New Roman" w:cs="Times New Roman"/>
                <w:color w:val="000000"/>
                <w:sz w:val="20"/>
                <w:szCs w:val="20"/>
                <w:lang w:val="ru-RU" w:eastAsia="ru-RU"/>
              </w:rPr>
              <w:t xml:space="preserve"> </w:t>
            </w:r>
            <w:proofErr w:type="spellStart"/>
            <w:r w:rsidRPr="00A60529">
              <w:rPr>
                <w:rFonts w:eastAsia="Times New Roman" w:cs="Times New Roman"/>
                <w:color w:val="000000"/>
                <w:sz w:val="20"/>
                <w:szCs w:val="20"/>
                <w:lang w:val="ru-RU" w:eastAsia="ru-RU"/>
              </w:rPr>
              <w:t>expenditures</w:t>
            </w:r>
            <w:proofErr w:type="spellEnd"/>
            <w:r w:rsidRPr="00A60529">
              <w:rPr>
                <w:rFonts w:eastAsia="Times New Roman" w:cs="Times New Roman"/>
                <w:color w:val="000000"/>
                <w:sz w:val="20"/>
                <w:szCs w:val="20"/>
                <w:lang w:val="ru-RU" w:eastAsia="ru-RU"/>
              </w:rPr>
              <w:t>)</w:t>
            </w:r>
          </w:p>
        </w:tc>
        <w:tc>
          <w:tcPr>
            <w:tcW w:w="950" w:type="dxa"/>
            <w:tcBorders>
              <w:top w:val="nil"/>
              <w:left w:val="nil"/>
              <w:bottom w:val="nil"/>
              <w:right w:val="nil"/>
            </w:tcBorders>
            <w:shd w:val="clear" w:color="auto" w:fill="auto"/>
            <w:noWrap/>
            <w:vAlign w:val="bottom"/>
            <w:hideMark/>
          </w:tcPr>
          <w:p w14:paraId="4D5AC22D" w14:textId="77777777" w:rsidR="00A60529" w:rsidRPr="00A60529" w:rsidRDefault="00A60529" w:rsidP="00A60529">
            <w:pPr>
              <w:spacing w:after="0" w:line="240" w:lineRule="auto"/>
              <w:ind w:firstLine="0"/>
              <w:contextualSpacing w:val="0"/>
              <w:jc w:val="center"/>
              <w:rPr>
                <w:rFonts w:eastAsia="Times New Roman" w:cs="Times New Roman"/>
                <w:color w:val="000000"/>
                <w:sz w:val="20"/>
                <w:szCs w:val="20"/>
                <w:lang w:val="ru-RU" w:eastAsia="ru-RU"/>
              </w:rPr>
            </w:pPr>
            <w:r w:rsidRPr="00A60529">
              <w:rPr>
                <w:rFonts w:eastAsia="Times New Roman" w:cs="Times New Roman"/>
                <w:color w:val="000000"/>
                <w:sz w:val="20"/>
                <w:szCs w:val="20"/>
                <w:lang w:val="ru-RU" w:eastAsia="ru-RU"/>
              </w:rPr>
              <w:t>0,00</w:t>
            </w:r>
          </w:p>
        </w:tc>
        <w:tc>
          <w:tcPr>
            <w:tcW w:w="1326" w:type="dxa"/>
            <w:tcBorders>
              <w:top w:val="nil"/>
              <w:left w:val="nil"/>
              <w:bottom w:val="nil"/>
              <w:right w:val="single" w:sz="4" w:space="0" w:color="auto"/>
            </w:tcBorders>
            <w:shd w:val="clear" w:color="auto" w:fill="auto"/>
            <w:noWrap/>
            <w:vAlign w:val="bottom"/>
            <w:hideMark/>
          </w:tcPr>
          <w:p w14:paraId="2DD80A65" w14:textId="77777777" w:rsidR="00A60529" w:rsidRPr="00A60529" w:rsidRDefault="00A60529" w:rsidP="00A60529">
            <w:pPr>
              <w:spacing w:after="0" w:line="240" w:lineRule="auto"/>
              <w:ind w:firstLine="0"/>
              <w:contextualSpacing w:val="0"/>
              <w:jc w:val="center"/>
              <w:rPr>
                <w:rFonts w:eastAsia="Times New Roman" w:cs="Times New Roman"/>
                <w:color w:val="000000"/>
                <w:sz w:val="20"/>
                <w:szCs w:val="20"/>
                <w:lang w:val="ru-RU" w:eastAsia="ru-RU"/>
              </w:rPr>
            </w:pPr>
            <w:r w:rsidRPr="00A60529">
              <w:rPr>
                <w:rFonts w:eastAsia="Times New Roman" w:cs="Times New Roman"/>
                <w:color w:val="000000"/>
                <w:sz w:val="20"/>
                <w:szCs w:val="20"/>
                <w:lang w:val="ru-RU" w:eastAsia="ru-RU"/>
              </w:rPr>
              <w:t>-0,26</w:t>
            </w:r>
          </w:p>
        </w:tc>
      </w:tr>
      <w:tr w:rsidR="00A60529" w:rsidRPr="00A60529" w14:paraId="1ED4DD40" w14:textId="77777777" w:rsidTr="00A60529">
        <w:trPr>
          <w:trHeight w:val="300"/>
          <w:jc w:val="center"/>
        </w:trPr>
        <w:tc>
          <w:tcPr>
            <w:tcW w:w="3440" w:type="dxa"/>
            <w:tcBorders>
              <w:top w:val="nil"/>
              <w:left w:val="single" w:sz="4" w:space="0" w:color="auto"/>
              <w:bottom w:val="nil"/>
              <w:right w:val="single" w:sz="4" w:space="0" w:color="auto"/>
            </w:tcBorders>
            <w:shd w:val="clear" w:color="auto" w:fill="auto"/>
            <w:noWrap/>
            <w:vAlign w:val="center"/>
            <w:hideMark/>
          </w:tcPr>
          <w:p w14:paraId="0F1D3FF0" w14:textId="77777777" w:rsidR="00A60529" w:rsidRPr="00A60529" w:rsidRDefault="00A60529" w:rsidP="00A60529">
            <w:pPr>
              <w:spacing w:after="0" w:line="240" w:lineRule="auto"/>
              <w:ind w:firstLine="0"/>
              <w:contextualSpacing w:val="0"/>
              <w:jc w:val="left"/>
              <w:rPr>
                <w:rFonts w:eastAsia="Times New Roman" w:cs="Times New Roman"/>
                <w:color w:val="000000"/>
                <w:sz w:val="20"/>
                <w:szCs w:val="20"/>
                <w:lang w:eastAsia="ru-RU"/>
              </w:rPr>
            </w:pPr>
            <w:r w:rsidRPr="00A60529">
              <w:rPr>
                <w:rFonts w:eastAsia="Times New Roman" w:cs="Times New Roman"/>
                <w:color w:val="000000"/>
                <w:sz w:val="20"/>
                <w:szCs w:val="20"/>
                <w:lang w:eastAsia="ru-RU"/>
              </w:rPr>
              <w:t>S (Size of the firm)</w:t>
            </w:r>
          </w:p>
        </w:tc>
        <w:tc>
          <w:tcPr>
            <w:tcW w:w="950" w:type="dxa"/>
            <w:tcBorders>
              <w:top w:val="nil"/>
              <w:left w:val="nil"/>
              <w:bottom w:val="nil"/>
              <w:right w:val="nil"/>
            </w:tcBorders>
            <w:shd w:val="clear" w:color="auto" w:fill="auto"/>
            <w:noWrap/>
            <w:vAlign w:val="bottom"/>
            <w:hideMark/>
          </w:tcPr>
          <w:p w14:paraId="702A8173" w14:textId="77777777" w:rsidR="00A60529" w:rsidRPr="00A60529" w:rsidRDefault="00A60529" w:rsidP="00A60529">
            <w:pPr>
              <w:spacing w:after="0" w:line="240" w:lineRule="auto"/>
              <w:ind w:firstLine="0"/>
              <w:contextualSpacing w:val="0"/>
              <w:jc w:val="center"/>
              <w:rPr>
                <w:rFonts w:eastAsia="Times New Roman" w:cs="Times New Roman"/>
                <w:color w:val="000000"/>
                <w:sz w:val="20"/>
                <w:szCs w:val="20"/>
                <w:lang w:val="ru-RU" w:eastAsia="ru-RU"/>
              </w:rPr>
            </w:pPr>
            <w:r w:rsidRPr="00A60529">
              <w:rPr>
                <w:rFonts w:eastAsia="Times New Roman" w:cs="Times New Roman"/>
                <w:color w:val="000000"/>
                <w:sz w:val="20"/>
                <w:szCs w:val="20"/>
                <w:lang w:val="ru-RU" w:eastAsia="ru-RU"/>
              </w:rPr>
              <w:t>0,00</w:t>
            </w:r>
          </w:p>
        </w:tc>
        <w:tc>
          <w:tcPr>
            <w:tcW w:w="1326" w:type="dxa"/>
            <w:tcBorders>
              <w:top w:val="nil"/>
              <w:left w:val="nil"/>
              <w:bottom w:val="nil"/>
              <w:right w:val="single" w:sz="4" w:space="0" w:color="auto"/>
            </w:tcBorders>
            <w:shd w:val="clear" w:color="auto" w:fill="auto"/>
            <w:noWrap/>
            <w:vAlign w:val="bottom"/>
            <w:hideMark/>
          </w:tcPr>
          <w:p w14:paraId="29B4F983" w14:textId="77777777" w:rsidR="00A60529" w:rsidRPr="00A60529" w:rsidRDefault="00A60529" w:rsidP="00A60529">
            <w:pPr>
              <w:spacing w:after="0" w:line="240" w:lineRule="auto"/>
              <w:ind w:firstLine="0"/>
              <w:contextualSpacing w:val="0"/>
              <w:jc w:val="center"/>
              <w:rPr>
                <w:rFonts w:eastAsia="Times New Roman" w:cs="Times New Roman"/>
                <w:color w:val="000000"/>
                <w:sz w:val="20"/>
                <w:szCs w:val="20"/>
                <w:lang w:val="ru-RU" w:eastAsia="ru-RU"/>
              </w:rPr>
            </w:pPr>
            <w:r w:rsidRPr="00A60529">
              <w:rPr>
                <w:rFonts w:eastAsia="Times New Roman" w:cs="Times New Roman"/>
                <w:color w:val="000000"/>
                <w:sz w:val="20"/>
                <w:szCs w:val="20"/>
                <w:lang w:val="ru-RU" w:eastAsia="ru-RU"/>
              </w:rPr>
              <w:t>-1,19</w:t>
            </w:r>
          </w:p>
        </w:tc>
      </w:tr>
      <w:tr w:rsidR="00A60529" w:rsidRPr="00A60529" w14:paraId="6CD17C0A" w14:textId="77777777" w:rsidTr="00A60529">
        <w:trPr>
          <w:trHeight w:val="255"/>
          <w:jc w:val="center"/>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67389EBD" w14:textId="77777777" w:rsidR="00A60529" w:rsidRPr="00A60529" w:rsidRDefault="00A60529" w:rsidP="00A60529">
            <w:pPr>
              <w:spacing w:after="0" w:line="240" w:lineRule="auto"/>
              <w:ind w:firstLine="0"/>
              <w:contextualSpacing w:val="0"/>
              <w:jc w:val="left"/>
              <w:rPr>
                <w:rFonts w:eastAsia="Times New Roman" w:cs="Times New Roman"/>
                <w:color w:val="000000"/>
                <w:sz w:val="20"/>
                <w:szCs w:val="20"/>
                <w:lang w:val="ru-RU" w:eastAsia="ru-RU"/>
              </w:rPr>
            </w:pPr>
            <w:proofErr w:type="spellStart"/>
            <w:r w:rsidRPr="00A60529">
              <w:rPr>
                <w:rFonts w:eastAsia="Times New Roman" w:cs="Times New Roman"/>
                <w:color w:val="000000"/>
                <w:sz w:val="20"/>
                <w:szCs w:val="20"/>
                <w:lang w:val="ru-RU" w:eastAsia="ru-RU"/>
              </w:rPr>
              <w:t>cons</w:t>
            </w:r>
            <w:proofErr w:type="spellEnd"/>
          </w:p>
        </w:tc>
        <w:tc>
          <w:tcPr>
            <w:tcW w:w="950" w:type="dxa"/>
            <w:tcBorders>
              <w:top w:val="nil"/>
              <w:left w:val="nil"/>
              <w:bottom w:val="single" w:sz="4" w:space="0" w:color="auto"/>
              <w:right w:val="nil"/>
            </w:tcBorders>
            <w:shd w:val="clear" w:color="auto" w:fill="auto"/>
            <w:noWrap/>
            <w:vAlign w:val="bottom"/>
            <w:hideMark/>
          </w:tcPr>
          <w:p w14:paraId="022EA53C" w14:textId="77777777" w:rsidR="00A60529" w:rsidRPr="00A60529" w:rsidRDefault="00A60529" w:rsidP="00A60529">
            <w:pPr>
              <w:spacing w:after="0" w:line="240" w:lineRule="auto"/>
              <w:ind w:firstLine="0"/>
              <w:contextualSpacing w:val="0"/>
              <w:jc w:val="center"/>
              <w:rPr>
                <w:rFonts w:eastAsia="Times New Roman" w:cs="Times New Roman"/>
                <w:color w:val="000000"/>
                <w:sz w:val="20"/>
                <w:szCs w:val="20"/>
                <w:lang w:val="ru-RU" w:eastAsia="ru-RU"/>
              </w:rPr>
            </w:pPr>
            <w:r w:rsidRPr="00A60529">
              <w:rPr>
                <w:rFonts w:eastAsia="Times New Roman" w:cs="Times New Roman"/>
                <w:color w:val="000000"/>
                <w:sz w:val="20"/>
                <w:szCs w:val="20"/>
                <w:lang w:val="ru-RU" w:eastAsia="ru-RU"/>
              </w:rPr>
              <w:t>0,00</w:t>
            </w:r>
          </w:p>
        </w:tc>
        <w:tc>
          <w:tcPr>
            <w:tcW w:w="1326" w:type="dxa"/>
            <w:tcBorders>
              <w:top w:val="nil"/>
              <w:left w:val="nil"/>
              <w:bottom w:val="single" w:sz="4" w:space="0" w:color="auto"/>
              <w:right w:val="single" w:sz="4" w:space="0" w:color="auto"/>
            </w:tcBorders>
            <w:shd w:val="clear" w:color="auto" w:fill="auto"/>
            <w:noWrap/>
            <w:vAlign w:val="bottom"/>
            <w:hideMark/>
          </w:tcPr>
          <w:p w14:paraId="5285A9D7" w14:textId="77777777" w:rsidR="00A60529" w:rsidRPr="00A60529" w:rsidRDefault="00A60529" w:rsidP="00A60529">
            <w:pPr>
              <w:spacing w:after="0" w:line="240" w:lineRule="auto"/>
              <w:ind w:firstLine="0"/>
              <w:contextualSpacing w:val="0"/>
              <w:jc w:val="center"/>
              <w:rPr>
                <w:rFonts w:eastAsia="Times New Roman" w:cs="Times New Roman"/>
                <w:color w:val="000000"/>
                <w:sz w:val="20"/>
                <w:szCs w:val="20"/>
                <w:lang w:val="ru-RU" w:eastAsia="ru-RU"/>
              </w:rPr>
            </w:pPr>
            <w:r w:rsidRPr="00A60529">
              <w:rPr>
                <w:rFonts w:eastAsia="Times New Roman" w:cs="Times New Roman"/>
                <w:color w:val="000000"/>
                <w:sz w:val="20"/>
                <w:szCs w:val="20"/>
                <w:lang w:val="ru-RU" w:eastAsia="ru-RU"/>
              </w:rPr>
              <w:t>29,74</w:t>
            </w:r>
          </w:p>
        </w:tc>
      </w:tr>
    </w:tbl>
    <w:p w14:paraId="6B4297D9" w14:textId="77777777" w:rsidR="00A60529" w:rsidRPr="00A60529" w:rsidRDefault="00A60529" w:rsidP="00A60529"/>
    <w:p w14:paraId="5AA0E7BC" w14:textId="1359C592" w:rsidR="005106CD" w:rsidRDefault="005106CD" w:rsidP="005106CD">
      <w:pPr>
        <w:tabs>
          <w:tab w:val="left" w:pos="0"/>
        </w:tabs>
      </w:pPr>
      <w:r>
        <w:t xml:space="preserve">Before interpreting the results of the regression, it should be mentioned that this regression lacks the main problems associated with it. The results of the Breusch-Pagan showed no evidence of the heteroscedasticity, while VIF test proved that there </w:t>
      </w:r>
      <w:r w:rsidR="00033F17">
        <w:t>is</w:t>
      </w:r>
      <w:r>
        <w:t xml:space="preserve"> no multicollinearity between </w:t>
      </w:r>
      <w:r w:rsidR="005005CB">
        <w:t>variables.</w:t>
      </w:r>
      <w:r>
        <w:t xml:space="preserve"> Of we look at the p-value of the F-test that is equal to 0,000</w:t>
      </w:r>
      <w:r w:rsidR="005005CB">
        <w:t>0</w:t>
      </w:r>
      <w:r>
        <w:t xml:space="preserve"> we can conclude that the null hypothesis could be rejected and with the 99% confidence level conclude that the regression model has some power to interpret the variables tested. Further, the R-squared shows us that </w:t>
      </w:r>
      <w:r w:rsidR="005005CB">
        <w:t>54</w:t>
      </w:r>
      <w:r>
        <w:t>,</w:t>
      </w:r>
      <w:r w:rsidR="005005CB">
        <w:t>4</w:t>
      </w:r>
      <w:r>
        <w:t xml:space="preserve">% of the variations could be explained with linear model produced by the analysis. This result is </w:t>
      </w:r>
      <w:r w:rsidR="005005CB">
        <w:t>quite</w:t>
      </w:r>
      <w:r>
        <w:t xml:space="preserve"> </w:t>
      </w:r>
      <w:r w:rsidR="005005CB">
        <w:t>high</w:t>
      </w:r>
      <w:r>
        <w:t xml:space="preserve"> </w:t>
      </w:r>
      <w:r w:rsidR="005005CB">
        <w:t>and might be seen as a god model specification.</w:t>
      </w:r>
    </w:p>
    <w:p w14:paraId="7AB857C6" w14:textId="0A5A6AB9" w:rsidR="005106CD" w:rsidRDefault="005106CD" w:rsidP="005005CB">
      <w:pPr>
        <w:tabs>
          <w:tab w:val="left" w:pos="0"/>
        </w:tabs>
      </w:pPr>
      <w:r>
        <w:t xml:space="preserve">Coming to the results of the individual independent variables, firstly, we need to look at the results of T-test, that shows if the independent variables are statistically significant and can be used in the model. Accordingly, </w:t>
      </w:r>
      <w:r w:rsidR="005005CB">
        <w:t>CFO</w:t>
      </w:r>
      <w:r>
        <w:t xml:space="preserve"> (</w:t>
      </w:r>
      <w:r w:rsidR="005005CB">
        <w:t>CFO</w:t>
      </w:r>
      <w:r>
        <w:t>-to-Total Assets), ROA (Return on Assets)</w:t>
      </w:r>
      <w:r w:rsidR="005005CB">
        <w:t xml:space="preserve">, </w:t>
      </w:r>
      <w:r>
        <w:t xml:space="preserve">LR (Leverage </w:t>
      </w:r>
      <w:r>
        <w:lastRenderedPageBreak/>
        <w:t>ratio)</w:t>
      </w:r>
      <w:r w:rsidR="005005CB">
        <w:t>, CAPEX (capital expenditures) and S (Size of the firm)</w:t>
      </w:r>
      <w:r>
        <w:t xml:space="preserve"> have p-values of less than 5%, that means that the null hypothesis of statistical insignificance could be rejected – these variables have some degree of explanatory power in the model. In turn, OC (Operating Cycle) p-value </w:t>
      </w:r>
      <w:r w:rsidR="005005CB">
        <w:t>is</w:t>
      </w:r>
      <w:r>
        <w:t xml:space="preserve"> higher than 10% meaning statistical insignificance of these variable. Concluding on this, one might say that insignificant variables should be excluded from the model. However, OC will remain, because from the literature review we already know that th</w:t>
      </w:r>
      <w:r w:rsidR="005005CB">
        <w:t>is</w:t>
      </w:r>
      <w:r>
        <w:t xml:space="preserve"> variable proved some influence on the amount of working capital in the firm. That is why we cannot reject th</w:t>
      </w:r>
      <w:r w:rsidR="005005CB">
        <w:t>is</w:t>
      </w:r>
      <w:r>
        <w:t xml:space="preserve"> variable and shall use </w:t>
      </w:r>
      <w:r w:rsidR="005005CB">
        <w:t>it</w:t>
      </w:r>
      <w:r>
        <w:t xml:space="preserve"> in order to identify Target Working Capital of the firms. </w:t>
      </w:r>
    </w:p>
    <w:p w14:paraId="0D0C36A7" w14:textId="77777777" w:rsidR="005106CD" w:rsidRDefault="005106CD" w:rsidP="005106CD">
      <w:pPr>
        <w:tabs>
          <w:tab w:val="left" w:pos="0"/>
        </w:tabs>
      </w:pPr>
      <w:r>
        <w:t>Based on the results of the regression analysis Target Working Capital model for companies in the data set is shown below (</w:t>
      </w:r>
      <w:r w:rsidRPr="0079715F">
        <w:t>Formula 4</w:t>
      </w:r>
      <w:r>
        <w:t>):</w:t>
      </w:r>
    </w:p>
    <w:p w14:paraId="6F0BC662" w14:textId="41BA2356" w:rsidR="005005CB" w:rsidRDefault="005106CD" w:rsidP="005005CB">
      <w:pPr>
        <w:tabs>
          <w:tab w:val="left" w:pos="0"/>
        </w:tabs>
        <w:ind w:firstLine="0"/>
        <w:contextualSpacing w:val="0"/>
        <w:jc w:val="center"/>
        <w:rPr>
          <w:szCs w:val="24"/>
        </w:rPr>
      </w:pPr>
      <w:r w:rsidRPr="005005CB">
        <w:rPr>
          <w:szCs w:val="24"/>
        </w:rPr>
        <w:t>T_WC</w:t>
      </w:r>
      <w:r w:rsidRPr="005005CB">
        <w:rPr>
          <w:szCs w:val="24"/>
          <w:vertAlign w:val="subscript"/>
        </w:rPr>
        <w:t xml:space="preserve"> </w:t>
      </w:r>
      <w:r w:rsidRPr="005005CB">
        <w:rPr>
          <w:szCs w:val="24"/>
        </w:rPr>
        <w:t xml:space="preserve">= </w:t>
      </w:r>
      <w:r w:rsidR="005005CB" w:rsidRPr="005005CB">
        <w:rPr>
          <w:rFonts w:cstheme="minorHAnsi"/>
          <w:szCs w:val="24"/>
        </w:rPr>
        <w:t>29,74</w:t>
      </w:r>
      <w:r w:rsidRPr="005005CB">
        <w:rPr>
          <w:szCs w:val="24"/>
        </w:rPr>
        <w:t xml:space="preserve"> – </w:t>
      </w:r>
      <w:r w:rsidR="005005CB" w:rsidRPr="005005CB">
        <w:rPr>
          <w:szCs w:val="24"/>
        </w:rPr>
        <w:t>0</w:t>
      </w:r>
      <w:r w:rsidRPr="005005CB">
        <w:rPr>
          <w:szCs w:val="24"/>
        </w:rPr>
        <w:t>,</w:t>
      </w:r>
      <w:r w:rsidR="005005CB" w:rsidRPr="005005CB">
        <w:rPr>
          <w:szCs w:val="24"/>
        </w:rPr>
        <w:t>4</w:t>
      </w:r>
      <w:r w:rsidRPr="005005CB">
        <w:rPr>
          <w:szCs w:val="24"/>
        </w:rPr>
        <w:t xml:space="preserve"> * </w:t>
      </w:r>
      <w:r w:rsidR="005005CB" w:rsidRPr="005005CB">
        <w:rPr>
          <w:szCs w:val="24"/>
        </w:rPr>
        <w:t>CFO</w:t>
      </w:r>
      <w:r w:rsidRPr="005005CB">
        <w:rPr>
          <w:szCs w:val="24"/>
          <w:vertAlign w:val="subscript"/>
        </w:rPr>
        <w:t xml:space="preserve"> </w:t>
      </w:r>
      <w:r w:rsidRPr="005005CB">
        <w:rPr>
          <w:szCs w:val="24"/>
        </w:rPr>
        <w:t xml:space="preserve">+ </w:t>
      </w:r>
      <w:r w:rsidRPr="005005CB">
        <w:rPr>
          <w:rFonts w:cstheme="minorHAnsi"/>
          <w:szCs w:val="24"/>
        </w:rPr>
        <w:t>0,</w:t>
      </w:r>
      <w:r w:rsidR="005005CB" w:rsidRPr="005005CB">
        <w:rPr>
          <w:rFonts w:cstheme="minorHAnsi"/>
          <w:szCs w:val="24"/>
        </w:rPr>
        <w:t>03</w:t>
      </w:r>
      <w:r w:rsidRPr="005005CB">
        <w:rPr>
          <w:szCs w:val="24"/>
          <w:vertAlign w:val="subscript"/>
        </w:rPr>
        <w:t xml:space="preserve"> </w:t>
      </w:r>
      <w:r w:rsidRPr="005005CB">
        <w:rPr>
          <w:szCs w:val="24"/>
        </w:rPr>
        <w:t xml:space="preserve">* </w:t>
      </w:r>
      <w:r w:rsidR="005005CB" w:rsidRPr="005005CB">
        <w:rPr>
          <w:szCs w:val="24"/>
        </w:rPr>
        <w:t>OC</w:t>
      </w:r>
      <w:r w:rsidRPr="005005CB">
        <w:rPr>
          <w:szCs w:val="24"/>
        </w:rPr>
        <w:t xml:space="preserve"> + </w:t>
      </w:r>
      <w:r w:rsidRPr="005005CB">
        <w:rPr>
          <w:rFonts w:cstheme="minorHAnsi"/>
          <w:szCs w:val="24"/>
        </w:rPr>
        <w:t>0,</w:t>
      </w:r>
      <w:r w:rsidR="005005CB" w:rsidRPr="005005CB">
        <w:rPr>
          <w:rFonts w:cstheme="minorHAnsi"/>
          <w:szCs w:val="24"/>
        </w:rPr>
        <w:t>6</w:t>
      </w:r>
      <w:r w:rsidRPr="005005CB">
        <w:rPr>
          <w:rFonts w:cstheme="minorHAnsi"/>
          <w:szCs w:val="24"/>
        </w:rPr>
        <w:t>1</w:t>
      </w:r>
      <w:r w:rsidRPr="005005CB">
        <w:rPr>
          <w:szCs w:val="24"/>
          <w:vertAlign w:val="subscript"/>
        </w:rPr>
        <w:t xml:space="preserve"> </w:t>
      </w:r>
      <w:r w:rsidRPr="005005CB">
        <w:rPr>
          <w:szCs w:val="24"/>
        </w:rPr>
        <w:t xml:space="preserve">* </w:t>
      </w:r>
      <w:r w:rsidR="005005CB" w:rsidRPr="005005CB">
        <w:rPr>
          <w:szCs w:val="24"/>
        </w:rPr>
        <w:t>ROA</w:t>
      </w:r>
      <w:r w:rsidRPr="005005CB">
        <w:rPr>
          <w:szCs w:val="24"/>
        </w:rPr>
        <w:t xml:space="preserve"> – 0,</w:t>
      </w:r>
      <w:r w:rsidR="005005CB" w:rsidRPr="005005CB">
        <w:rPr>
          <w:szCs w:val="24"/>
        </w:rPr>
        <w:t>09</w:t>
      </w:r>
      <w:r w:rsidRPr="005005CB">
        <w:rPr>
          <w:szCs w:val="24"/>
          <w:vertAlign w:val="subscript"/>
        </w:rPr>
        <w:t xml:space="preserve"> </w:t>
      </w:r>
      <w:r w:rsidRPr="005005CB">
        <w:rPr>
          <w:szCs w:val="24"/>
        </w:rPr>
        <w:t xml:space="preserve">* LR – </w:t>
      </w:r>
      <w:r w:rsidR="005005CB" w:rsidRPr="005005CB">
        <w:rPr>
          <w:szCs w:val="24"/>
        </w:rPr>
        <w:t>0,26 * CAPEX</w:t>
      </w:r>
    </w:p>
    <w:p w14:paraId="2899518D" w14:textId="75EC455D" w:rsidR="005106CD" w:rsidRPr="005005CB" w:rsidRDefault="005005CB" w:rsidP="005005CB">
      <w:pPr>
        <w:tabs>
          <w:tab w:val="left" w:pos="0"/>
        </w:tabs>
        <w:ind w:firstLine="0"/>
        <w:contextualSpacing w:val="0"/>
        <w:jc w:val="right"/>
        <w:rPr>
          <w:szCs w:val="24"/>
        </w:rPr>
      </w:pPr>
      <w:r w:rsidRPr="005005CB">
        <w:rPr>
          <w:szCs w:val="24"/>
        </w:rPr>
        <w:t>– 1</w:t>
      </w:r>
      <w:r w:rsidR="005106CD" w:rsidRPr="005005CB">
        <w:rPr>
          <w:szCs w:val="24"/>
        </w:rPr>
        <w:t>,</w:t>
      </w:r>
      <w:r w:rsidRPr="005005CB">
        <w:rPr>
          <w:szCs w:val="24"/>
        </w:rPr>
        <w:t>19</w:t>
      </w:r>
      <w:r w:rsidR="005106CD" w:rsidRPr="005005CB">
        <w:rPr>
          <w:szCs w:val="24"/>
          <w:vertAlign w:val="subscript"/>
        </w:rPr>
        <w:t xml:space="preserve"> </w:t>
      </w:r>
      <w:r w:rsidR="005106CD" w:rsidRPr="005005CB">
        <w:rPr>
          <w:szCs w:val="24"/>
        </w:rPr>
        <w:t xml:space="preserve">* S </w:t>
      </w:r>
      <w:r>
        <w:rPr>
          <w:szCs w:val="24"/>
        </w:rPr>
        <w:t xml:space="preserve">                                                                    </w:t>
      </w:r>
      <w:r w:rsidR="005106CD" w:rsidRPr="005005CB">
        <w:rPr>
          <w:rFonts w:cstheme="minorHAnsi"/>
          <w:szCs w:val="24"/>
        </w:rPr>
        <w:t xml:space="preserve"> (</w:t>
      </w:r>
      <w:r w:rsidR="005106CD" w:rsidRPr="0079715F">
        <w:rPr>
          <w:rFonts w:cstheme="minorHAnsi"/>
          <w:szCs w:val="24"/>
        </w:rPr>
        <w:t>4</w:t>
      </w:r>
      <w:r w:rsidR="005106CD" w:rsidRPr="005005CB">
        <w:rPr>
          <w:rFonts w:cstheme="minorHAnsi"/>
          <w:szCs w:val="24"/>
        </w:rPr>
        <w:t>)</w:t>
      </w:r>
    </w:p>
    <w:p w14:paraId="1CDA607F" w14:textId="77777777" w:rsidR="005106CD" w:rsidRDefault="005106CD" w:rsidP="005106CD">
      <w:pPr>
        <w:tabs>
          <w:tab w:val="left" w:pos="0"/>
        </w:tabs>
      </w:pPr>
      <w:r>
        <w:t xml:space="preserve">where: </w:t>
      </w:r>
    </w:p>
    <w:p w14:paraId="00B4AC8D" w14:textId="77777777" w:rsidR="005106CD" w:rsidRDefault="005106CD" w:rsidP="005106CD">
      <w:pPr>
        <w:tabs>
          <w:tab w:val="left" w:pos="0"/>
        </w:tabs>
      </w:pPr>
      <w:r>
        <w:t>T_WC – target working capital;</w:t>
      </w:r>
    </w:p>
    <w:p w14:paraId="2E4C4A7B" w14:textId="7ACE7323" w:rsidR="005106CD" w:rsidRDefault="00B6611C" w:rsidP="005106CD">
      <w:pPr>
        <w:tabs>
          <w:tab w:val="left" w:pos="0"/>
        </w:tabs>
      </w:pPr>
      <w:r>
        <w:t>CFO</w:t>
      </w:r>
      <w:r w:rsidR="005106CD">
        <w:t xml:space="preserve"> – </w:t>
      </w:r>
      <w:r>
        <w:t>CFO</w:t>
      </w:r>
      <w:r w:rsidR="005106CD">
        <w:t xml:space="preserve"> deflated by total assets;</w:t>
      </w:r>
    </w:p>
    <w:p w14:paraId="3FD21F6F" w14:textId="77777777" w:rsidR="005106CD" w:rsidRDefault="005106CD" w:rsidP="005106CD">
      <w:pPr>
        <w:tabs>
          <w:tab w:val="left" w:pos="0"/>
        </w:tabs>
      </w:pPr>
      <w:r>
        <w:t>ROA – return on assets;</w:t>
      </w:r>
    </w:p>
    <w:p w14:paraId="7B0CC6FD" w14:textId="77777777" w:rsidR="005106CD" w:rsidRDefault="005106CD" w:rsidP="005106CD">
      <w:pPr>
        <w:tabs>
          <w:tab w:val="left" w:pos="0"/>
        </w:tabs>
      </w:pPr>
      <w:r>
        <w:t>OC – operating cycle;</w:t>
      </w:r>
    </w:p>
    <w:p w14:paraId="343AE261" w14:textId="7258B6A7" w:rsidR="005106CD" w:rsidRDefault="005106CD" w:rsidP="005106CD">
      <w:pPr>
        <w:tabs>
          <w:tab w:val="left" w:pos="0"/>
        </w:tabs>
      </w:pPr>
      <w:r>
        <w:t>LR – leverage ratio;</w:t>
      </w:r>
    </w:p>
    <w:p w14:paraId="506407A6" w14:textId="0C6D4948" w:rsidR="00B6611C" w:rsidRDefault="00B6611C" w:rsidP="005106CD">
      <w:pPr>
        <w:tabs>
          <w:tab w:val="left" w:pos="0"/>
        </w:tabs>
      </w:pPr>
      <w:r>
        <w:t>CAPEX – capital expenditures deflated by total assets;</w:t>
      </w:r>
    </w:p>
    <w:p w14:paraId="520B707D" w14:textId="77777777" w:rsidR="005106CD" w:rsidRDefault="005106CD" w:rsidP="005106CD">
      <w:pPr>
        <w:tabs>
          <w:tab w:val="left" w:pos="0"/>
        </w:tabs>
      </w:pPr>
      <w:r>
        <w:t>S – size of the firm.</w:t>
      </w:r>
    </w:p>
    <w:p w14:paraId="1BE74FAB" w14:textId="6FD04F39" w:rsidR="005106CD" w:rsidRDefault="005106CD" w:rsidP="005106CD">
      <w:pPr>
        <w:tabs>
          <w:tab w:val="left" w:pos="0"/>
        </w:tabs>
      </w:pPr>
      <w:r>
        <w:t xml:space="preserve">Based on the specified model above there were calculated Target Working Capital amounts for every period after the M&amp;A deal was executed. As it was told in the methodology, to evaluate capital structure impact, t+1 (one year after deal) for immediate, t+3 (three years after deal) for medium-run and t+5 (five years after deal) for long-run performance was considered. In the example below the procedure of modelled working capital amount calculation for period t+1 is presented based on the </w:t>
      </w:r>
      <w:r w:rsidR="00B00C89">
        <w:t>fictitious company</w:t>
      </w:r>
      <w:r>
        <w:t xml:space="preserve"> data (</w:t>
      </w:r>
      <w:r w:rsidR="00415B58" w:rsidRPr="0079715F">
        <w:fldChar w:fldCharType="begin"/>
      </w:r>
      <w:r w:rsidR="00415B58" w:rsidRPr="0079715F">
        <w:instrText xml:space="preserve"> REF _Ref514633053 \r \h  \* MERGEFORMAT </w:instrText>
      </w:r>
      <w:r w:rsidR="00415B58" w:rsidRPr="0079715F">
        <w:fldChar w:fldCharType="separate"/>
      </w:r>
      <w:r w:rsidR="00154E78">
        <w:t>Table 17</w:t>
      </w:r>
      <w:r w:rsidR="00415B58" w:rsidRPr="0079715F">
        <w:fldChar w:fldCharType="end"/>
      </w:r>
      <w:r w:rsidRPr="0079715F">
        <w:fldChar w:fldCharType="begin"/>
      </w:r>
      <w:r w:rsidRPr="0079715F">
        <w:instrText xml:space="preserve"> REF _Ref513667463 \r \h </w:instrText>
      </w:r>
      <w:r w:rsidR="00415B58" w:rsidRPr="0079715F">
        <w:instrText xml:space="preserve"> \* MERGEFORMAT </w:instrText>
      </w:r>
      <w:r w:rsidR="00154E78">
        <w:fldChar w:fldCharType="separate"/>
      </w:r>
      <w:r w:rsidR="00154E78">
        <w:rPr>
          <w:b/>
          <w:bCs/>
          <w:lang w:val="ru-RU"/>
        </w:rPr>
        <w:t>Ошибка</w:t>
      </w:r>
      <w:r w:rsidR="00154E78" w:rsidRPr="00154E78">
        <w:rPr>
          <w:b/>
          <w:bCs/>
        </w:rPr>
        <w:t xml:space="preserve">! </w:t>
      </w:r>
      <w:r w:rsidR="00154E78">
        <w:rPr>
          <w:b/>
          <w:bCs/>
          <w:lang w:val="ru-RU"/>
        </w:rPr>
        <w:t>Источник</w:t>
      </w:r>
      <w:r w:rsidR="00154E78" w:rsidRPr="00154E78">
        <w:rPr>
          <w:b/>
          <w:bCs/>
        </w:rPr>
        <w:t xml:space="preserve"> </w:t>
      </w:r>
      <w:r w:rsidR="00154E78">
        <w:rPr>
          <w:b/>
          <w:bCs/>
          <w:lang w:val="ru-RU"/>
        </w:rPr>
        <w:t>ссылки</w:t>
      </w:r>
      <w:r w:rsidR="00154E78" w:rsidRPr="00154E78">
        <w:rPr>
          <w:b/>
          <w:bCs/>
        </w:rPr>
        <w:t xml:space="preserve"> </w:t>
      </w:r>
      <w:r w:rsidR="00154E78">
        <w:rPr>
          <w:b/>
          <w:bCs/>
          <w:lang w:val="ru-RU"/>
        </w:rPr>
        <w:t>не</w:t>
      </w:r>
      <w:r w:rsidR="00154E78" w:rsidRPr="00154E78">
        <w:rPr>
          <w:b/>
          <w:bCs/>
        </w:rPr>
        <w:t xml:space="preserve"> </w:t>
      </w:r>
      <w:r w:rsidR="00154E78">
        <w:rPr>
          <w:b/>
          <w:bCs/>
          <w:lang w:val="ru-RU"/>
        </w:rPr>
        <w:t>найден</w:t>
      </w:r>
      <w:r w:rsidR="00154E78" w:rsidRPr="00154E78">
        <w:rPr>
          <w:b/>
          <w:bCs/>
        </w:rPr>
        <w:t>.</w:t>
      </w:r>
      <w:r w:rsidRPr="0079715F">
        <w:fldChar w:fldCharType="end"/>
      </w:r>
      <w:r w:rsidR="0031101A" w:rsidRPr="0079715F">
        <w:t>, Formulas 5 and 6</w:t>
      </w:r>
      <w:r>
        <w:t>). Accordingly target ratios for all companies were estimated.</w:t>
      </w:r>
    </w:p>
    <w:p w14:paraId="13E807F3" w14:textId="77777777" w:rsidR="005106CD" w:rsidRDefault="005106CD" w:rsidP="005106CD">
      <w:pPr>
        <w:pStyle w:val="a0"/>
        <w:tabs>
          <w:tab w:val="left" w:pos="0"/>
        </w:tabs>
      </w:pPr>
      <w:bookmarkStart w:id="37" w:name="_Ref514633053"/>
      <w:r>
        <w:t>Dataset example</w:t>
      </w:r>
      <w:bookmarkEnd w:id="37"/>
    </w:p>
    <w:tbl>
      <w:tblPr>
        <w:tblStyle w:val="af"/>
        <w:tblW w:w="5000" w:type="pct"/>
        <w:tblLook w:val="04A0" w:firstRow="1" w:lastRow="0" w:firstColumn="1" w:lastColumn="0" w:noHBand="0" w:noVBand="1"/>
      </w:tblPr>
      <w:tblGrid>
        <w:gridCol w:w="3048"/>
        <w:gridCol w:w="1148"/>
        <w:gridCol w:w="1272"/>
        <w:gridCol w:w="1272"/>
        <w:gridCol w:w="1144"/>
        <w:gridCol w:w="905"/>
        <w:gridCol w:w="890"/>
      </w:tblGrid>
      <w:tr w:rsidR="00B6611C" w14:paraId="3134B7FB" w14:textId="77777777" w:rsidTr="00B6611C">
        <w:tc>
          <w:tcPr>
            <w:tcW w:w="1576" w:type="pct"/>
          </w:tcPr>
          <w:p w14:paraId="4785AAED" w14:textId="77777777" w:rsidR="00B6611C" w:rsidRPr="00FB2090" w:rsidRDefault="00B6611C" w:rsidP="00B52CEB">
            <w:pPr>
              <w:tabs>
                <w:tab w:val="left" w:pos="0"/>
              </w:tabs>
              <w:ind w:firstLine="0"/>
              <w:jc w:val="center"/>
              <w:rPr>
                <w:b/>
                <w:sz w:val="20"/>
              </w:rPr>
            </w:pPr>
            <w:r w:rsidRPr="00FB2090">
              <w:rPr>
                <w:b/>
                <w:sz w:val="20"/>
              </w:rPr>
              <w:t>Company</w:t>
            </w:r>
          </w:p>
        </w:tc>
        <w:tc>
          <w:tcPr>
            <w:tcW w:w="594" w:type="pct"/>
          </w:tcPr>
          <w:p w14:paraId="6DFB2208" w14:textId="32B9CB95" w:rsidR="00B6611C" w:rsidRPr="00FB2090" w:rsidRDefault="00B6611C" w:rsidP="00B52CEB">
            <w:pPr>
              <w:tabs>
                <w:tab w:val="left" w:pos="0"/>
              </w:tabs>
              <w:ind w:firstLine="0"/>
              <w:jc w:val="center"/>
              <w:rPr>
                <w:b/>
                <w:sz w:val="20"/>
              </w:rPr>
            </w:pPr>
            <w:r w:rsidRPr="00FB2090">
              <w:rPr>
                <w:b/>
                <w:sz w:val="20"/>
              </w:rPr>
              <w:t>CFO, %</w:t>
            </w:r>
          </w:p>
        </w:tc>
        <w:tc>
          <w:tcPr>
            <w:tcW w:w="658" w:type="pct"/>
          </w:tcPr>
          <w:p w14:paraId="5655883D" w14:textId="77777777" w:rsidR="00B6611C" w:rsidRPr="00FB2090" w:rsidRDefault="00B6611C" w:rsidP="00B52CEB">
            <w:pPr>
              <w:tabs>
                <w:tab w:val="left" w:pos="0"/>
              </w:tabs>
              <w:ind w:firstLine="0"/>
              <w:jc w:val="center"/>
              <w:rPr>
                <w:b/>
                <w:sz w:val="20"/>
              </w:rPr>
            </w:pPr>
            <w:r w:rsidRPr="00FB2090">
              <w:rPr>
                <w:b/>
                <w:sz w:val="20"/>
              </w:rPr>
              <w:t>ROA, %</w:t>
            </w:r>
          </w:p>
        </w:tc>
        <w:tc>
          <w:tcPr>
            <w:tcW w:w="658" w:type="pct"/>
          </w:tcPr>
          <w:p w14:paraId="2A586567" w14:textId="77777777" w:rsidR="00B6611C" w:rsidRPr="00FB2090" w:rsidRDefault="00B6611C" w:rsidP="00B52CEB">
            <w:pPr>
              <w:tabs>
                <w:tab w:val="left" w:pos="0"/>
              </w:tabs>
              <w:ind w:firstLine="0"/>
              <w:jc w:val="center"/>
              <w:rPr>
                <w:b/>
                <w:sz w:val="20"/>
              </w:rPr>
            </w:pPr>
            <w:r w:rsidRPr="00FB2090">
              <w:rPr>
                <w:b/>
                <w:sz w:val="20"/>
              </w:rPr>
              <w:t>OC, days</w:t>
            </w:r>
          </w:p>
        </w:tc>
        <w:tc>
          <w:tcPr>
            <w:tcW w:w="592" w:type="pct"/>
          </w:tcPr>
          <w:p w14:paraId="1C36E0B5" w14:textId="77777777" w:rsidR="00B6611C" w:rsidRPr="00FB2090" w:rsidRDefault="00B6611C" w:rsidP="00B52CEB">
            <w:pPr>
              <w:tabs>
                <w:tab w:val="left" w:pos="0"/>
              </w:tabs>
              <w:ind w:firstLine="0"/>
              <w:jc w:val="center"/>
              <w:rPr>
                <w:b/>
                <w:sz w:val="20"/>
              </w:rPr>
            </w:pPr>
            <w:r w:rsidRPr="00FB2090">
              <w:rPr>
                <w:b/>
                <w:sz w:val="20"/>
              </w:rPr>
              <w:t>LR, %</w:t>
            </w:r>
          </w:p>
        </w:tc>
        <w:tc>
          <w:tcPr>
            <w:tcW w:w="461" w:type="pct"/>
          </w:tcPr>
          <w:p w14:paraId="172E21B0" w14:textId="0AA6F154" w:rsidR="00B6611C" w:rsidRPr="00FB2090" w:rsidRDefault="00B6611C" w:rsidP="00B52CEB">
            <w:pPr>
              <w:tabs>
                <w:tab w:val="left" w:pos="0"/>
              </w:tabs>
              <w:ind w:firstLine="0"/>
              <w:jc w:val="center"/>
              <w:rPr>
                <w:b/>
                <w:sz w:val="20"/>
              </w:rPr>
            </w:pPr>
            <w:r w:rsidRPr="00FB2090">
              <w:rPr>
                <w:b/>
                <w:sz w:val="20"/>
              </w:rPr>
              <w:t>CAPEX</w:t>
            </w:r>
          </w:p>
        </w:tc>
        <w:tc>
          <w:tcPr>
            <w:tcW w:w="461" w:type="pct"/>
          </w:tcPr>
          <w:p w14:paraId="005753C1" w14:textId="1ED61D48" w:rsidR="00B6611C" w:rsidRPr="00FB2090" w:rsidRDefault="00B6611C" w:rsidP="00B52CEB">
            <w:pPr>
              <w:tabs>
                <w:tab w:val="left" w:pos="0"/>
              </w:tabs>
              <w:ind w:firstLine="0"/>
              <w:jc w:val="center"/>
              <w:rPr>
                <w:b/>
                <w:sz w:val="20"/>
              </w:rPr>
            </w:pPr>
            <w:r w:rsidRPr="00FB2090">
              <w:rPr>
                <w:b/>
                <w:sz w:val="20"/>
              </w:rPr>
              <w:t>S</w:t>
            </w:r>
          </w:p>
        </w:tc>
      </w:tr>
      <w:tr w:rsidR="00B6611C" w14:paraId="46D166B2" w14:textId="77777777" w:rsidTr="00B6611C">
        <w:tc>
          <w:tcPr>
            <w:tcW w:w="1576" w:type="pct"/>
            <w:vAlign w:val="center"/>
          </w:tcPr>
          <w:p w14:paraId="4E82D9BF" w14:textId="257F8F58" w:rsidR="00B6611C" w:rsidRPr="00FB2090" w:rsidRDefault="00A60529" w:rsidP="00B52CEB">
            <w:pPr>
              <w:tabs>
                <w:tab w:val="left" w:pos="0"/>
              </w:tabs>
              <w:spacing w:line="276" w:lineRule="auto"/>
              <w:ind w:firstLine="0"/>
              <w:jc w:val="left"/>
              <w:rPr>
                <w:sz w:val="20"/>
              </w:rPr>
            </w:pPr>
            <w:r>
              <w:rPr>
                <w:sz w:val="20"/>
              </w:rPr>
              <w:t>Company X</w:t>
            </w:r>
          </w:p>
        </w:tc>
        <w:tc>
          <w:tcPr>
            <w:tcW w:w="594" w:type="pct"/>
            <w:vAlign w:val="center"/>
          </w:tcPr>
          <w:p w14:paraId="0CE85A25" w14:textId="77777777" w:rsidR="00B6611C" w:rsidRPr="00FB2090" w:rsidRDefault="00B6611C" w:rsidP="00B52CEB">
            <w:pPr>
              <w:tabs>
                <w:tab w:val="left" w:pos="0"/>
              </w:tabs>
              <w:ind w:firstLine="0"/>
              <w:jc w:val="center"/>
              <w:rPr>
                <w:sz w:val="20"/>
              </w:rPr>
            </w:pPr>
            <w:r w:rsidRPr="00FB2090">
              <w:rPr>
                <w:sz w:val="20"/>
              </w:rPr>
              <w:t>0,23</w:t>
            </w:r>
          </w:p>
        </w:tc>
        <w:tc>
          <w:tcPr>
            <w:tcW w:w="658" w:type="pct"/>
            <w:vAlign w:val="center"/>
          </w:tcPr>
          <w:p w14:paraId="48D6E42E" w14:textId="77777777" w:rsidR="00B6611C" w:rsidRPr="00FB2090" w:rsidRDefault="00B6611C" w:rsidP="00B52CEB">
            <w:pPr>
              <w:tabs>
                <w:tab w:val="left" w:pos="0"/>
              </w:tabs>
              <w:ind w:firstLine="0"/>
              <w:jc w:val="center"/>
              <w:rPr>
                <w:sz w:val="20"/>
              </w:rPr>
            </w:pPr>
            <w:r w:rsidRPr="00FB2090">
              <w:rPr>
                <w:sz w:val="20"/>
              </w:rPr>
              <w:t>13</w:t>
            </w:r>
          </w:p>
        </w:tc>
        <w:tc>
          <w:tcPr>
            <w:tcW w:w="658" w:type="pct"/>
            <w:vAlign w:val="center"/>
          </w:tcPr>
          <w:p w14:paraId="76FC8F06" w14:textId="77777777" w:rsidR="00B6611C" w:rsidRPr="00FB2090" w:rsidRDefault="00B6611C" w:rsidP="00B52CEB">
            <w:pPr>
              <w:tabs>
                <w:tab w:val="left" w:pos="0"/>
              </w:tabs>
              <w:ind w:firstLine="0"/>
              <w:jc w:val="center"/>
              <w:rPr>
                <w:sz w:val="20"/>
              </w:rPr>
            </w:pPr>
            <w:r w:rsidRPr="00FB2090">
              <w:rPr>
                <w:sz w:val="20"/>
              </w:rPr>
              <w:t>42</w:t>
            </w:r>
          </w:p>
        </w:tc>
        <w:tc>
          <w:tcPr>
            <w:tcW w:w="592" w:type="pct"/>
            <w:vAlign w:val="center"/>
          </w:tcPr>
          <w:p w14:paraId="5207E2F9" w14:textId="77777777" w:rsidR="00B6611C" w:rsidRPr="00FB2090" w:rsidRDefault="00B6611C" w:rsidP="00B52CEB">
            <w:pPr>
              <w:tabs>
                <w:tab w:val="left" w:pos="0"/>
              </w:tabs>
              <w:ind w:firstLine="0"/>
              <w:jc w:val="center"/>
              <w:rPr>
                <w:sz w:val="20"/>
              </w:rPr>
            </w:pPr>
            <w:r w:rsidRPr="00FB2090">
              <w:rPr>
                <w:sz w:val="20"/>
              </w:rPr>
              <w:t>11</w:t>
            </w:r>
          </w:p>
        </w:tc>
        <w:tc>
          <w:tcPr>
            <w:tcW w:w="461" w:type="pct"/>
          </w:tcPr>
          <w:p w14:paraId="257926E6" w14:textId="69DA56CB" w:rsidR="00B6611C" w:rsidRPr="00FB2090" w:rsidRDefault="00B6611C" w:rsidP="00B52CEB">
            <w:pPr>
              <w:tabs>
                <w:tab w:val="left" w:pos="0"/>
              </w:tabs>
              <w:ind w:firstLine="0"/>
              <w:jc w:val="center"/>
              <w:rPr>
                <w:sz w:val="20"/>
              </w:rPr>
            </w:pPr>
            <w:r w:rsidRPr="00FB2090">
              <w:rPr>
                <w:sz w:val="20"/>
              </w:rPr>
              <w:t>8</w:t>
            </w:r>
          </w:p>
        </w:tc>
        <w:tc>
          <w:tcPr>
            <w:tcW w:w="461" w:type="pct"/>
            <w:vAlign w:val="center"/>
          </w:tcPr>
          <w:p w14:paraId="139B45CC" w14:textId="5FCF0ED7" w:rsidR="00B6611C" w:rsidRPr="00FB2090" w:rsidRDefault="00B6611C" w:rsidP="00B52CEB">
            <w:pPr>
              <w:tabs>
                <w:tab w:val="left" w:pos="0"/>
              </w:tabs>
              <w:ind w:firstLine="0"/>
              <w:jc w:val="center"/>
              <w:rPr>
                <w:sz w:val="20"/>
              </w:rPr>
            </w:pPr>
            <w:r w:rsidRPr="00FB2090">
              <w:rPr>
                <w:sz w:val="20"/>
              </w:rPr>
              <w:t>20</w:t>
            </w:r>
          </w:p>
        </w:tc>
      </w:tr>
    </w:tbl>
    <w:p w14:paraId="6A5D8E5B" w14:textId="77777777" w:rsidR="005106CD" w:rsidRDefault="005106CD" w:rsidP="00B6611C">
      <w:pPr>
        <w:tabs>
          <w:tab w:val="left" w:pos="0"/>
        </w:tabs>
        <w:jc w:val="right"/>
      </w:pPr>
    </w:p>
    <w:p w14:paraId="222B3524" w14:textId="6E8B2E15" w:rsidR="005106CD" w:rsidRPr="002A4E8A" w:rsidRDefault="00B6611C" w:rsidP="00B6611C">
      <w:pPr>
        <w:tabs>
          <w:tab w:val="left" w:pos="0"/>
        </w:tabs>
        <w:ind w:firstLine="0"/>
        <w:contextualSpacing w:val="0"/>
        <w:jc w:val="right"/>
        <w:rPr>
          <w:szCs w:val="24"/>
        </w:rPr>
      </w:pPr>
      <w:r w:rsidRPr="005005CB">
        <w:rPr>
          <w:szCs w:val="24"/>
        </w:rPr>
        <w:t>T_WC</w:t>
      </w:r>
      <w:r w:rsidRPr="005005CB">
        <w:rPr>
          <w:szCs w:val="24"/>
          <w:vertAlign w:val="subscript"/>
        </w:rPr>
        <w:t xml:space="preserve"> </w:t>
      </w:r>
      <w:r w:rsidRPr="005005CB">
        <w:rPr>
          <w:szCs w:val="24"/>
        </w:rPr>
        <w:t xml:space="preserve">= </w:t>
      </w:r>
      <w:r w:rsidRPr="005005CB">
        <w:rPr>
          <w:rFonts w:cstheme="minorHAnsi"/>
          <w:szCs w:val="24"/>
        </w:rPr>
        <w:t>29,74</w:t>
      </w:r>
      <w:r w:rsidRPr="005005CB">
        <w:rPr>
          <w:szCs w:val="24"/>
        </w:rPr>
        <w:t xml:space="preserve"> – 0,4 * </w:t>
      </w:r>
      <w:r>
        <w:rPr>
          <w:szCs w:val="24"/>
        </w:rPr>
        <w:t>0</w:t>
      </w:r>
      <w:r w:rsidRPr="00B6611C">
        <w:rPr>
          <w:szCs w:val="24"/>
        </w:rPr>
        <w:t>,23</w:t>
      </w:r>
      <w:r w:rsidRPr="005005CB">
        <w:rPr>
          <w:szCs w:val="24"/>
          <w:vertAlign w:val="subscript"/>
        </w:rPr>
        <w:t xml:space="preserve"> </w:t>
      </w:r>
      <w:r w:rsidRPr="005005CB">
        <w:rPr>
          <w:szCs w:val="24"/>
        </w:rPr>
        <w:t xml:space="preserve">+ </w:t>
      </w:r>
      <w:r w:rsidRPr="005005CB">
        <w:rPr>
          <w:rFonts w:cstheme="minorHAnsi"/>
          <w:szCs w:val="24"/>
        </w:rPr>
        <w:t>0,03</w:t>
      </w:r>
      <w:r w:rsidRPr="005005CB">
        <w:rPr>
          <w:szCs w:val="24"/>
          <w:vertAlign w:val="subscript"/>
        </w:rPr>
        <w:t xml:space="preserve"> </w:t>
      </w:r>
      <w:r w:rsidRPr="005005CB">
        <w:rPr>
          <w:szCs w:val="24"/>
        </w:rPr>
        <w:t xml:space="preserve">* </w:t>
      </w:r>
      <w:r w:rsidRPr="002A4E8A">
        <w:rPr>
          <w:szCs w:val="24"/>
        </w:rPr>
        <w:t>42</w:t>
      </w:r>
      <w:r w:rsidRPr="005005CB">
        <w:rPr>
          <w:szCs w:val="24"/>
        </w:rPr>
        <w:t xml:space="preserve"> + </w:t>
      </w:r>
      <w:r w:rsidRPr="005005CB">
        <w:rPr>
          <w:rFonts w:cstheme="minorHAnsi"/>
          <w:szCs w:val="24"/>
        </w:rPr>
        <w:t>0,61</w:t>
      </w:r>
      <w:r w:rsidRPr="005005CB">
        <w:rPr>
          <w:szCs w:val="24"/>
          <w:vertAlign w:val="subscript"/>
        </w:rPr>
        <w:t xml:space="preserve"> </w:t>
      </w:r>
      <w:r w:rsidRPr="005005CB">
        <w:rPr>
          <w:szCs w:val="24"/>
        </w:rPr>
        <w:t xml:space="preserve">* </w:t>
      </w:r>
      <w:r w:rsidRPr="002A4E8A">
        <w:rPr>
          <w:szCs w:val="24"/>
        </w:rPr>
        <w:t>13</w:t>
      </w:r>
      <w:r w:rsidRPr="005005CB">
        <w:rPr>
          <w:szCs w:val="24"/>
        </w:rPr>
        <w:t xml:space="preserve"> – 0,09</w:t>
      </w:r>
      <w:r w:rsidRPr="005005CB">
        <w:rPr>
          <w:szCs w:val="24"/>
          <w:vertAlign w:val="subscript"/>
        </w:rPr>
        <w:t xml:space="preserve"> </w:t>
      </w:r>
      <w:r w:rsidRPr="005005CB">
        <w:rPr>
          <w:szCs w:val="24"/>
        </w:rPr>
        <w:t xml:space="preserve">* </w:t>
      </w:r>
      <w:r w:rsidRPr="002A4E8A">
        <w:rPr>
          <w:szCs w:val="24"/>
        </w:rPr>
        <w:t>11</w:t>
      </w:r>
      <w:r w:rsidRPr="005005CB">
        <w:rPr>
          <w:szCs w:val="24"/>
        </w:rPr>
        <w:t xml:space="preserve"> – 0,26 * </w:t>
      </w:r>
      <w:r w:rsidRPr="002A4E8A">
        <w:rPr>
          <w:szCs w:val="24"/>
        </w:rPr>
        <w:t xml:space="preserve">8 </w:t>
      </w:r>
      <w:r w:rsidRPr="005005CB">
        <w:rPr>
          <w:szCs w:val="24"/>
        </w:rPr>
        <w:t>– 1,19</w:t>
      </w:r>
      <w:r w:rsidRPr="005005CB">
        <w:rPr>
          <w:szCs w:val="24"/>
          <w:vertAlign w:val="subscript"/>
        </w:rPr>
        <w:t xml:space="preserve"> </w:t>
      </w:r>
      <w:r w:rsidRPr="005005CB">
        <w:rPr>
          <w:szCs w:val="24"/>
        </w:rPr>
        <w:t xml:space="preserve">* </w:t>
      </w:r>
      <w:r w:rsidRPr="002A4E8A">
        <w:rPr>
          <w:szCs w:val="24"/>
        </w:rPr>
        <w:t>20</w:t>
      </w:r>
      <w:r w:rsidR="005106CD">
        <w:rPr>
          <w:szCs w:val="24"/>
        </w:rPr>
        <w:t xml:space="preserve"> </w:t>
      </w:r>
      <w:r w:rsidRPr="002A4E8A">
        <w:rPr>
          <w:szCs w:val="24"/>
        </w:rPr>
        <w:t xml:space="preserve">    </w:t>
      </w:r>
      <w:r w:rsidR="00415B58">
        <w:rPr>
          <w:szCs w:val="24"/>
        </w:rPr>
        <w:t xml:space="preserve">   (</w:t>
      </w:r>
      <w:r w:rsidR="0031101A" w:rsidRPr="0079715F">
        <w:rPr>
          <w:szCs w:val="24"/>
        </w:rPr>
        <w:t>5</w:t>
      </w:r>
      <w:r w:rsidR="005106CD" w:rsidRPr="0079715F">
        <w:rPr>
          <w:szCs w:val="24"/>
        </w:rPr>
        <w:t>)</w:t>
      </w:r>
    </w:p>
    <w:p w14:paraId="6EA2781F" w14:textId="428C5E4E" w:rsidR="005106CD" w:rsidRPr="00511284" w:rsidRDefault="005106CD" w:rsidP="005106CD">
      <w:pPr>
        <w:tabs>
          <w:tab w:val="left" w:pos="0"/>
        </w:tabs>
        <w:jc w:val="right"/>
      </w:pPr>
      <w:r>
        <w:lastRenderedPageBreak/>
        <w:t xml:space="preserve">T_WC = 6,2                                 </w:t>
      </w:r>
      <w:r w:rsidR="00415B58">
        <w:t xml:space="preserve">                              </w:t>
      </w:r>
      <w:r w:rsidR="0031101A" w:rsidRPr="0079715F">
        <w:t>(6</w:t>
      </w:r>
      <w:r>
        <w:t>)</w:t>
      </w:r>
    </w:p>
    <w:p w14:paraId="21A05F9E" w14:textId="02DE6FA7" w:rsidR="004D2A38" w:rsidRDefault="004D2A38" w:rsidP="004D2A38">
      <w:pPr>
        <w:tabs>
          <w:tab w:val="left" w:pos="0"/>
        </w:tabs>
      </w:pPr>
      <w:r>
        <w:t xml:space="preserve">Following the developed research methodology, the next step of the analysis is to identify the </w:t>
      </w:r>
      <w:r w:rsidR="00B52CEB">
        <w:t xml:space="preserve">relationship between the optimal working capital structure and </w:t>
      </w:r>
      <w:r w:rsidR="00F6230D">
        <w:t>the actual amounts of working capital in the firms at each of the time periods T+1, T+3 and T+5</w:t>
      </w:r>
      <w:r>
        <w:t>. As the main variables</w:t>
      </w:r>
      <w:r w:rsidR="00F6230D">
        <w:t xml:space="preserve"> to do that</w:t>
      </w:r>
      <w:r>
        <w:t xml:space="preserve"> we use the </w:t>
      </w:r>
      <w:r w:rsidR="00F6230D">
        <w:t>working capital deficit</w:t>
      </w:r>
      <w:r>
        <w:t xml:space="preserve">. By doing this we try to capture the influence of capital adjustments onto the corporate performance by regressing the independent variable over dependent performance measurement derived as the difference in Tobin’s Q ratio from the year t-1. </w:t>
      </w:r>
    </w:p>
    <w:p w14:paraId="2A6DF9AA" w14:textId="3143D9F3" w:rsidR="00F6230D" w:rsidRDefault="00F6230D" w:rsidP="004D2A38">
      <w:pPr>
        <w:tabs>
          <w:tab w:val="left" w:pos="0"/>
        </w:tabs>
      </w:pPr>
      <w:r>
        <w:t xml:space="preserve">This time we will not present all the results of the regression analysis for the Working capital deficit variable testing, because the model specification is approximately the same besides the only one main variable. </w:t>
      </w:r>
      <w:r w:rsidR="00033F17">
        <w:t xml:space="preserve">The details of the regression analysis are presented in the Appendix 3. </w:t>
      </w:r>
      <w:r>
        <w:t xml:space="preserve">We have to say, of course, that the regression models passed the tests for multicollinearity and heteroscedasticity as it is still very important. </w:t>
      </w:r>
    </w:p>
    <w:p w14:paraId="66EC0EDA" w14:textId="288E3A58" w:rsidR="00F6230D" w:rsidRDefault="00F6230D" w:rsidP="004D2A38">
      <w:pPr>
        <w:tabs>
          <w:tab w:val="left" w:pos="0"/>
        </w:tabs>
        <w:rPr>
          <w:highlight w:val="yellow"/>
        </w:rPr>
      </w:pPr>
      <w:r>
        <w:t>This time beside the Working Capital deficit the quadratic term of this variable is also tested</w:t>
      </w:r>
      <w:r w:rsidR="000E7BD3">
        <w:t>, because as with the current ratio, this time the inverted U-shaped curve relationship is also anticipated. All other variables remain the same as with the working capital structure analysis. The combined results of the working capital deficit regression analysis are presented below (</w:t>
      </w:r>
      <w:r w:rsidR="00415B58">
        <w:rPr>
          <w:highlight w:val="yellow"/>
        </w:rPr>
        <w:fldChar w:fldCharType="begin"/>
      </w:r>
      <w:r w:rsidR="00415B58">
        <w:instrText xml:space="preserve"> REF _Ref514633521 \r \h </w:instrText>
      </w:r>
      <w:r w:rsidR="00415B58">
        <w:rPr>
          <w:highlight w:val="yellow"/>
        </w:rPr>
        <w:instrText xml:space="preserve"> \* MERGEFORMAT </w:instrText>
      </w:r>
      <w:r w:rsidR="00415B58">
        <w:rPr>
          <w:highlight w:val="yellow"/>
        </w:rPr>
      </w:r>
      <w:r w:rsidR="00415B58">
        <w:rPr>
          <w:highlight w:val="yellow"/>
        </w:rPr>
        <w:fldChar w:fldCharType="separate"/>
      </w:r>
      <w:r w:rsidR="00154E78">
        <w:t>Table 18</w:t>
      </w:r>
      <w:r w:rsidR="00415B58">
        <w:rPr>
          <w:highlight w:val="yellow"/>
        </w:rPr>
        <w:fldChar w:fldCharType="end"/>
      </w:r>
      <w:r w:rsidR="000E7BD3" w:rsidRPr="000E7BD3">
        <w:t>).</w:t>
      </w:r>
    </w:p>
    <w:p w14:paraId="4DA12B82" w14:textId="602F19FB" w:rsidR="000E7BD3" w:rsidRDefault="000E7BD3" w:rsidP="000E7BD3">
      <w:pPr>
        <w:pStyle w:val="a0"/>
        <w:tabs>
          <w:tab w:val="left" w:pos="0"/>
        </w:tabs>
        <w:ind w:left="0"/>
      </w:pPr>
      <w:bookmarkStart w:id="38" w:name="_Ref514633521"/>
      <w:r>
        <w:t>Summary of the optimal working capital structure regression analysis</w:t>
      </w:r>
      <w:bookmarkEnd w:id="38"/>
    </w:p>
    <w:tbl>
      <w:tblPr>
        <w:tblW w:w="9084" w:type="dxa"/>
        <w:jc w:val="center"/>
        <w:tblLook w:val="04A0" w:firstRow="1" w:lastRow="0" w:firstColumn="1" w:lastColumn="0" w:noHBand="0" w:noVBand="1"/>
      </w:tblPr>
      <w:tblGrid>
        <w:gridCol w:w="2556"/>
        <w:gridCol w:w="1163"/>
        <w:gridCol w:w="1013"/>
        <w:gridCol w:w="1102"/>
        <w:gridCol w:w="1074"/>
        <w:gridCol w:w="1196"/>
        <w:gridCol w:w="980"/>
      </w:tblGrid>
      <w:tr w:rsidR="000E7BD3" w:rsidRPr="000E7BD3" w14:paraId="416216EA" w14:textId="77777777" w:rsidTr="000E7BD3">
        <w:trPr>
          <w:trHeight w:val="255"/>
          <w:jc w:val="center"/>
        </w:trPr>
        <w:tc>
          <w:tcPr>
            <w:tcW w:w="2556"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301273DD" w14:textId="77777777" w:rsidR="000E7BD3" w:rsidRPr="000E7BD3" w:rsidRDefault="000E7BD3" w:rsidP="000E7BD3">
            <w:pPr>
              <w:spacing w:after="0" w:line="240" w:lineRule="auto"/>
              <w:ind w:firstLine="0"/>
              <w:contextualSpacing w:val="0"/>
              <w:jc w:val="left"/>
              <w:rPr>
                <w:rFonts w:eastAsia="Times New Roman" w:cs="Times New Roman"/>
                <w:b/>
                <w:bCs/>
                <w:color w:val="000000"/>
                <w:sz w:val="20"/>
                <w:szCs w:val="20"/>
                <w:lang w:val="ru-RU" w:eastAsia="ru-RU"/>
              </w:rPr>
            </w:pPr>
            <w:proofErr w:type="spellStart"/>
            <w:r w:rsidRPr="000E7BD3">
              <w:rPr>
                <w:rFonts w:eastAsia="Times New Roman" w:cs="Times New Roman"/>
                <w:b/>
                <w:bCs/>
                <w:color w:val="000000"/>
                <w:sz w:val="20"/>
                <w:szCs w:val="20"/>
                <w:lang w:val="ru-RU" w:eastAsia="ru-RU"/>
              </w:rPr>
              <w:t>Regressors</w:t>
            </w:r>
            <w:proofErr w:type="spellEnd"/>
          </w:p>
        </w:tc>
        <w:tc>
          <w:tcPr>
            <w:tcW w:w="2176"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EF3AD37" w14:textId="77777777" w:rsidR="000E7BD3" w:rsidRPr="000E7BD3" w:rsidRDefault="000E7BD3" w:rsidP="000E7BD3">
            <w:pPr>
              <w:spacing w:after="0" w:line="240" w:lineRule="auto"/>
              <w:ind w:firstLine="0"/>
              <w:contextualSpacing w:val="0"/>
              <w:jc w:val="center"/>
              <w:rPr>
                <w:rFonts w:eastAsia="Times New Roman" w:cs="Times New Roman"/>
                <w:b/>
                <w:bCs/>
                <w:color w:val="000000"/>
                <w:sz w:val="20"/>
                <w:szCs w:val="20"/>
                <w:lang w:val="ru-RU" w:eastAsia="ru-RU"/>
              </w:rPr>
            </w:pPr>
            <w:r w:rsidRPr="000E7BD3">
              <w:rPr>
                <w:rFonts w:eastAsia="Times New Roman" w:cs="Times New Roman"/>
                <w:b/>
                <w:bCs/>
                <w:color w:val="000000"/>
                <w:sz w:val="20"/>
                <w:szCs w:val="20"/>
                <w:lang w:val="ru-RU" w:eastAsia="ru-RU"/>
              </w:rPr>
              <w:t>T + 1</w:t>
            </w:r>
          </w:p>
        </w:tc>
        <w:tc>
          <w:tcPr>
            <w:tcW w:w="2176"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7548FF34" w14:textId="77777777" w:rsidR="000E7BD3" w:rsidRPr="000E7BD3" w:rsidRDefault="000E7BD3" w:rsidP="000E7BD3">
            <w:pPr>
              <w:spacing w:after="0" w:line="240" w:lineRule="auto"/>
              <w:ind w:firstLine="0"/>
              <w:contextualSpacing w:val="0"/>
              <w:jc w:val="center"/>
              <w:rPr>
                <w:rFonts w:eastAsia="Times New Roman" w:cs="Times New Roman"/>
                <w:b/>
                <w:bCs/>
                <w:color w:val="000000"/>
                <w:sz w:val="20"/>
                <w:szCs w:val="20"/>
                <w:lang w:val="ru-RU" w:eastAsia="ru-RU"/>
              </w:rPr>
            </w:pPr>
            <w:r w:rsidRPr="000E7BD3">
              <w:rPr>
                <w:rFonts w:eastAsia="Times New Roman" w:cs="Times New Roman"/>
                <w:b/>
                <w:bCs/>
                <w:color w:val="000000"/>
                <w:sz w:val="20"/>
                <w:szCs w:val="20"/>
                <w:lang w:val="ru-RU" w:eastAsia="ru-RU"/>
              </w:rPr>
              <w:t>T + 3</w:t>
            </w:r>
          </w:p>
        </w:tc>
        <w:tc>
          <w:tcPr>
            <w:tcW w:w="2176"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0C736122" w14:textId="77777777" w:rsidR="000E7BD3" w:rsidRPr="000E7BD3" w:rsidRDefault="000E7BD3" w:rsidP="000E7BD3">
            <w:pPr>
              <w:spacing w:after="0" w:line="240" w:lineRule="auto"/>
              <w:ind w:firstLine="0"/>
              <w:contextualSpacing w:val="0"/>
              <w:jc w:val="center"/>
              <w:rPr>
                <w:rFonts w:eastAsia="Times New Roman" w:cs="Times New Roman"/>
                <w:b/>
                <w:bCs/>
                <w:color w:val="000000"/>
                <w:sz w:val="20"/>
                <w:szCs w:val="20"/>
                <w:lang w:val="ru-RU" w:eastAsia="ru-RU"/>
              </w:rPr>
            </w:pPr>
            <w:r w:rsidRPr="000E7BD3">
              <w:rPr>
                <w:rFonts w:eastAsia="Times New Roman" w:cs="Times New Roman"/>
                <w:b/>
                <w:bCs/>
                <w:color w:val="000000"/>
                <w:sz w:val="20"/>
                <w:szCs w:val="20"/>
                <w:lang w:val="ru-RU" w:eastAsia="ru-RU"/>
              </w:rPr>
              <w:t>T + 5</w:t>
            </w:r>
          </w:p>
        </w:tc>
      </w:tr>
      <w:tr w:rsidR="000E7BD3" w:rsidRPr="000E7BD3" w14:paraId="2E7836A7" w14:textId="77777777" w:rsidTr="000E7BD3">
        <w:trPr>
          <w:trHeight w:val="270"/>
          <w:jc w:val="center"/>
        </w:trPr>
        <w:tc>
          <w:tcPr>
            <w:tcW w:w="2556" w:type="dxa"/>
            <w:vMerge/>
            <w:tcBorders>
              <w:top w:val="single" w:sz="8" w:space="0" w:color="auto"/>
              <w:left w:val="single" w:sz="8" w:space="0" w:color="auto"/>
              <w:bottom w:val="single" w:sz="8" w:space="0" w:color="000000"/>
              <w:right w:val="nil"/>
            </w:tcBorders>
            <w:vAlign w:val="center"/>
            <w:hideMark/>
          </w:tcPr>
          <w:p w14:paraId="6B15E65F" w14:textId="77777777" w:rsidR="000E7BD3" w:rsidRPr="000E7BD3" w:rsidRDefault="000E7BD3" w:rsidP="000E7BD3">
            <w:pPr>
              <w:spacing w:after="0" w:line="240" w:lineRule="auto"/>
              <w:ind w:firstLine="0"/>
              <w:contextualSpacing w:val="0"/>
              <w:jc w:val="left"/>
              <w:rPr>
                <w:rFonts w:eastAsia="Times New Roman" w:cs="Times New Roman"/>
                <w:b/>
                <w:bCs/>
                <w:color w:val="000000"/>
                <w:sz w:val="20"/>
                <w:szCs w:val="20"/>
                <w:lang w:val="ru-RU" w:eastAsia="ru-RU"/>
              </w:rPr>
            </w:pPr>
          </w:p>
        </w:tc>
        <w:tc>
          <w:tcPr>
            <w:tcW w:w="1163" w:type="dxa"/>
            <w:tcBorders>
              <w:top w:val="nil"/>
              <w:left w:val="single" w:sz="8" w:space="0" w:color="auto"/>
              <w:bottom w:val="single" w:sz="8" w:space="0" w:color="auto"/>
              <w:right w:val="single" w:sz="4" w:space="0" w:color="auto"/>
            </w:tcBorders>
            <w:shd w:val="clear" w:color="auto" w:fill="auto"/>
            <w:noWrap/>
            <w:vAlign w:val="bottom"/>
            <w:hideMark/>
          </w:tcPr>
          <w:p w14:paraId="4233C2C6" w14:textId="77777777" w:rsidR="000E7BD3" w:rsidRPr="000E7BD3" w:rsidRDefault="000E7BD3" w:rsidP="000E7BD3">
            <w:pPr>
              <w:spacing w:after="0" w:line="240" w:lineRule="auto"/>
              <w:ind w:firstLine="0"/>
              <w:contextualSpacing w:val="0"/>
              <w:jc w:val="center"/>
              <w:rPr>
                <w:rFonts w:eastAsia="Times New Roman" w:cs="Times New Roman"/>
                <w:b/>
                <w:bCs/>
                <w:color w:val="000000"/>
                <w:sz w:val="20"/>
                <w:szCs w:val="20"/>
                <w:lang w:val="ru-RU" w:eastAsia="ru-RU"/>
              </w:rPr>
            </w:pPr>
            <w:r w:rsidRPr="000E7BD3">
              <w:rPr>
                <w:rFonts w:eastAsia="Times New Roman" w:cs="Times New Roman"/>
                <w:b/>
                <w:bCs/>
                <w:color w:val="000000"/>
                <w:sz w:val="20"/>
                <w:szCs w:val="20"/>
                <w:lang w:val="ru-RU" w:eastAsia="ru-RU"/>
              </w:rPr>
              <w:t>p-</w:t>
            </w:r>
            <w:proofErr w:type="spellStart"/>
            <w:r w:rsidRPr="000E7BD3">
              <w:rPr>
                <w:rFonts w:eastAsia="Times New Roman" w:cs="Times New Roman"/>
                <w:b/>
                <w:bCs/>
                <w:color w:val="000000"/>
                <w:sz w:val="20"/>
                <w:szCs w:val="20"/>
                <w:lang w:val="ru-RU" w:eastAsia="ru-RU"/>
              </w:rPr>
              <w:t>value</w:t>
            </w:r>
            <w:proofErr w:type="spellEnd"/>
          </w:p>
        </w:tc>
        <w:tc>
          <w:tcPr>
            <w:tcW w:w="1013" w:type="dxa"/>
            <w:tcBorders>
              <w:top w:val="nil"/>
              <w:left w:val="nil"/>
              <w:bottom w:val="single" w:sz="8" w:space="0" w:color="auto"/>
              <w:right w:val="single" w:sz="8" w:space="0" w:color="auto"/>
            </w:tcBorders>
            <w:shd w:val="clear" w:color="auto" w:fill="auto"/>
            <w:noWrap/>
            <w:vAlign w:val="bottom"/>
            <w:hideMark/>
          </w:tcPr>
          <w:p w14:paraId="56C3EDEF" w14:textId="77777777" w:rsidR="000E7BD3" w:rsidRPr="000E7BD3" w:rsidRDefault="000E7BD3" w:rsidP="000E7BD3">
            <w:pPr>
              <w:spacing w:after="0" w:line="240" w:lineRule="auto"/>
              <w:ind w:firstLine="0"/>
              <w:contextualSpacing w:val="0"/>
              <w:jc w:val="center"/>
              <w:rPr>
                <w:rFonts w:eastAsia="Times New Roman" w:cs="Times New Roman"/>
                <w:b/>
                <w:bCs/>
                <w:color w:val="000000"/>
                <w:sz w:val="20"/>
                <w:szCs w:val="20"/>
                <w:lang w:val="ru-RU" w:eastAsia="ru-RU"/>
              </w:rPr>
            </w:pPr>
            <w:proofErr w:type="spellStart"/>
            <w:r w:rsidRPr="000E7BD3">
              <w:rPr>
                <w:rFonts w:eastAsia="Times New Roman" w:cs="Times New Roman"/>
                <w:b/>
                <w:bCs/>
                <w:color w:val="000000"/>
                <w:sz w:val="20"/>
                <w:szCs w:val="20"/>
                <w:lang w:val="ru-RU" w:eastAsia="ru-RU"/>
              </w:rPr>
              <w:t>coeff</w:t>
            </w:r>
            <w:proofErr w:type="spellEnd"/>
            <w:r w:rsidRPr="000E7BD3">
              <w:rPr>
                <w:rFonts w:eastAsia="Times New Roman" w:cs="Times New Roman"/>
                <w:b/>
                <w:bCs/>
                <w:color w:val="000000"/>
                <w:sz w:val="20"/>
                <w:szCs w:val="20"/>
                <w:lang w:val="ru-RU" w:eastAsia="ru-RU"/>
              </w:rPr>
              <w:t>.</w:t>
            </w:r>
          </w:p>
        </w:tc>
        <w:tc>
          <w:tcPr>
            <w:tcW w:w="1102" w:type="dxa"/>
            <w:tcBorders>
              <w:top w:val="nil"/>
              <w:left w:val="nil"/>
              <w:bottom w:val="single" w:sz="8" w:space="0" w:color="auto"/>
              <w:right w:val="single" w:sz="4" w:space="0" w:color="auto"/>
            </w:tcBorders>
            <w:shd w:val="clear" w:color="auto" w:fill="auto"/>
            <w:noWrap/>
            <w:vAlign w:val="bottom"/>
            <w:hideMark/>
          </w:tcPr>
          <w:p w14:paraId="358BD905" w14:textId="77777777" w:rsidR="000E7BD3" w:rsidRPr="000E7BD3" w:rsidRDefault="000E7BD3" w:rsidP="000E7BD3">
            <w:pPr>
              <w:spacing w:after="0" w:line="240" w:lineRule="auto"/>
              <w:ind w:firstLine="0"/>
              <w:contextualSpacing w:val="0"/>
              <w:jc w:val="center"/>
              <w:rPr>
                <w:rFonts w:eastAsia="Times New Roman" w:cs="Times New Roman"/>
                <w:b/>
                <w:bCs/>
                <w:color w:val="000000"/>
                <w:sz w:val="20"/>
                <w:szCs w:val="20"/>
                <w:lang w:val="ru-RU" w:eastAsia="ru-RU"/>
              </w:rPr>
            </w:pPr>
            <w:r w:rsidRPr="000E7BD3">
              <w:rPr>
                <w:rFonts w:eastAsia="Times New Roman" w:cs="Times New Roman"/>
                <w:b/>
                <w:bCs/>
                <w:color w:val="000000"/>
                <w:sz w:val="20"/>
                <w:szCs w:val="20"/>
                <w:lang w:val="ru-RU" w:eastAsia="ru-RU"/>
              </w:rPr>
              <w:t>p-</w:t>
            </w:r>
            <w:proofErr w:type="spellStart"/>
            <w:r w:rsidRPr="000E7BD3">
              <w:rPr>
                <w:rFonts w:eastAsia="Times New Roman" w:cs="Times New Roman"/>
                <w:b/>
                <w:bCs/>
                <w:color w:val="000000"/>
                <w:sz w:val="20"/>
                <w:szCs w:val="20"/>
                <w:lang w:val="ru-RU" w:eastAsia="ru-RU"/>
              </w:rPr>
              <w:t>value</w:t>
            </w:r>
            <w:proofErr w:type="spellEnd"/>
          </w:p>
        </w:tc>
        <w:tc>
          <w:tcPr>
            <w:tcW w:w="1074" w:type="dxa"/>
            <w:tcBorders>
              <w:top w:val="nil"/>
              <w:left w:val="nil"/>
              <w:bottom w:val="single" w:sz="8" w:space="0" w:color="auto"/>
              <w:right w:val="single" w:sz="8" w:space="0" w:color="auto"/>
            </w:tcBorders>
            <w:shd w:val="clear" w:color="auto" w:fill="auto"/>
            <w:noWrap/>
            <w:vAlign w:val="bottom"/>
            <w:hideMark/>
          </w:tcPr>
          <w:p w14:paraId="51115D92" w14:textId="77777777" w:rsidR="000E7BD3" w:rsidRPr="000E7BD3" w:rsidRDefault="000E7BD3" w:rsidP="000E7BD3">
            <w:pPr>
              <w:spacing w:after="0" w:line="240" w:lineRule="auto"/>
              <w:ind w:firstLine="0"/>
              <w:contextualSpacing w:val="0"/>
              <w:jc w:val="center"/>
              <w:rPr>
                <w:rFonts w:eastAsia="Times New Roman" w:cs="Times New Roman"/>
                <w:b/>
                <w:bCs/>
                <w:color w:val="000000"/>
                <w:sz w:val="20"/>
                <w:szCs w:val="20"/>
                <w:lang w:val="ru-RU" w:eastAsia="ru-RU"/>
              </w:rPr>
            </w:pPr>
            <w:proofErr w:type="spellStart"/>
            <w:r w:rsidRPr="000E7BD3">
              <w:rPr>
                <w:rFonts w:eastAsia="Times New Roman" w:cs="Times New Roman"/>
                <w:b/>
                <w:bCs/>
                <w:color w:val="000000"/>
                <w:sz w:val="20"/>
                <w:szCs w:val="20"/>
                <w:lang w:val="ru-RU" w:eastAsia="ru-RU"/>
              </w:rPr>
              <w:t>coeff</w:t>
            </w:r>
            <w:proofErr w:type="spellEnd"/>
            <w:r w:rsidRPr="000E7BD3">
              <w:rPr>
                <w:rFonts w:eastAsia="Times New Roman" w:cs="Times New Roman"/>
                <w:b/>
                <w:bCs/>
                <w:color w:val="000000"/>
                <w:sz w:val="20"/>
                <w:szCs w:val="20"/>
                <w:lang w:val="ru-RU" w:eastAsia="ru-RU"/>
              </w:rPr>
              <w:t>.</w:t>
            </w:r>
          </w:p>
        </w:tc>
        <w:tc>
          <w:tcPr>
            <w:tcW w:w="1196" w:type="dxa"/>
            <w:tcBorders>
              <w:top w:val="nil"/>
              <w:left w:val="nil"/>
              <w:bottom w:val="single" w:sz="8" w:space="0" w:color="auto"/>
              <w:right w:val="single" w:sz="4" w:space="0" w:color="auto"/>
            </w:tcBorders>
            <w:shd w:val="clear" w:color="auto" w:fill="auto"/>
            <w:noWrap/>
            <w:vAlign w:val="bottom"/>
            <w:hideMark/>
          </w:tcPr>
          <w:p w14:paraId="223F9231" w14:textId="77777777" w:rsidR="000E7BD3" w:rsidRPr="000E7BD3" w:rsidRDefault="000E7BD3" w:rsidP="000E7BD3">
            <w:pPr>
              <w:spacing w:after="0" w:line="240" w:lineRule="auto"/>
              <w:ind w:firstLine="0"/>
              <w:contextualSpacing w:val="0"/>
              <w:jc w:val="center"/>
              <w:rPr>
                <w:rFonts w:eastAsia="Times New Roman" w:cs="Times New Roman"/>
                <w:b/>
                <w:bCs/>
                <w:color w:val="000000"/>
                <w:sz w:val="20"/>
                <w:szCs w:val="20"/>
                <w:lang w:val="ru-RU" w:eastAsia="ru-RU"/>
              </w:rPr>
            </w:pPr>
            <w:r w:rsidRPr="000E7BD3">
              <w:rPr>
                <w:rFonts w:eastAsia="Times New Roman" w:cs="Times New Roman"/>
                <w:b/>
                <w:bCs/>
                <w:color w:val="000000"/>
                <w:sz w:val="20"/>
                <w:szCs w:val="20"/>
                <w:lang w:val="ru-RU" w:eastAsia="ru-RU"/>
              </w:rPr>
              <w:t>p-</w:t>
            </w:r>
            <w:proofErr w:type="spellStart"/>
            <w:r w:rsidRPr="000E7BD3">
              <w:rPr>
                <w:rFonts w:eastAsia="Times New Roman" w:cs="Times New Roman"/>
                <w:b/>
                <w:bCs/>
                <w:color w:val="000000"/>
                <w:sz w:val="20"/>
                <w:szCs w:val="20"/>
                <w:lang w:val="ru-RU" w:eastAsia="ru-RU"/>
              </w:rPr>
              <w:t>value</w:t>
            </w:r>
            <w:proofErr w:type="spellEnd"/>
          </w:p>
        </w:tc>
        <w:tc>
          <w:tcPr>
            <w:tcW w:w="980" w:type="dxa"/>
            <w:tcBorders>
              <w:top w:val="nil"/>
              <w:left w:val="nil"/>
              <w:bottom w:val="single" w:sz="8" w:space="0" w:color="auto"/>
              <w:right w:val="single" w:sz="8" w:space="0" w:color="auto"/>
            </w:tcBorders>
            <w:shd w:val="clear" w:color="auto" w:fill="auto"/>
            <w:noWrap/>
            <w:vAlign w:val="bottom"/>
            <w:hideMark/>
          </w:tcPr>
          <w:p w14:paraId="7BD827B5" w14:textId="77777777" w:rsidR="000E7BD3" w:rsidRPr="000E7BD3" w:rsidRDefault="000E7BD3" w:rsidP="000E7BD3">
            <w:pPr>
              <w:spacing w:after="0" w:line="240" w:lineRule="auto"/>
              <w:ind w:firstLine="0"/>
              <w:contextualSpacing w:val="0"/>
              <w:jc w:val="center"/>
              <w:rPr>
                <w:rFonts w:eastAsia="Times New Roman" w:cs="Times New Roman"/>
                <w:b/>
                <w:bCs/>
                <w:color w:val="000000"/>
                <w:sz w:val="20"/>
                <w:szCs w:val="20"/>
                <w:lang w:val="ru-RU" w:eastAsia="ru-RU"/>
              </w:rPr>
            </w:pPr>
            <w:proofErr w:type="spellStart"/>
            <w:r w:rsidRPr="000E7BD3">
              <w:rPr>
                <w:rFonts w:eastAsia="Times New Roman" w:cs="Times New Roman"/>
                <w:b/>
                <w:bCs/>
                <w:color w:val="000000"/>
                <w:sz w:val="20"/>
                <w:szCs w:val="20"/>
                <w:lang w:val="ru-RU" w:eastAsia="ru-RU"/>
              </w:rPr>
              <w:t>coeff</w:t>
            </w:r>
            <w:proofErr w:type="spellEnd"/>
            <w:r w:rsidRPr="000E7BD3">
              <w:rPr>
                <w:rFonts w:eastAsia="Times New Roman" w:cs="Times New Roman"/>
                <w:b/>
                <w:bCs/>
                <w:color w:val="000000"/>
                <w:sz w:val="20"/>
                <w:szCs w:val="20"/>
                <w:lang w:val="ru-RU" w:eastAsia="ru-RU"/>
              </w:rPr>
              <w:t>.</w:t>
            </w:r>
          </w:p>
        </w:tc>
      </w:tr>
      <w:tr w:rsidR="000E7BD3" w:rsidRPr="000E7BD3" w14:paraId="16C65D4C" w14:textId="77777777" w:rsidTr="000E7BD3">
        <w:trPr>
          <w:trHeight w:val="255"/>
          <w:jc w:val="center"/>
        </w:trPr>
        <w:tc>
          <w:tcPr>
            <w:tcW w:w="2556" w:type="dxa"/>
            <w:tcBorders>
              <w:top w:val="nil"/>
              <w:left w:val="single" w:sz="8" w:space="0" w:color="auto"/>
              <w:bottom w:val="single" w:sz="4" w:space="0" w:color="auto"/>
              <w:right w:val="nil"/>
            </w:tcBorders>
            <w:shd w:val="clear" w:color="auto" w:fill="auto"/>
            <w:noWrap/>
            <w:vAlign w:val="bottom"/>
            <w:hideMark/>
          </w:tcPr>
          <w:p w14:paraId="54D56DB9" w14:textId="77777777" w:rsidR="000E7BD3" w:rsidRPr="000E7BD3" w:rsidRDefault="000E7BD3" w:rsidP="000E7BD3">
            <w:pPr>
              <w:spacing w:after="0" w:line="240" w:lineRule="auto"/>
              <w:ind w:firstLine="0"/>
              <w:contextualSpacing w:val="0"/>
              <w:jc w:val="left"/>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WCD</w:t>
            </w:r>
          </w:p>
        </w:tc>
        <w:tc>
          <w:tcPr>
            <w:tcW w:w="1163" w:type="dxa"/>
            <w:tcBorders>
              <w:top w:val="nil"/>
              <w:left w:val="single" w:sz="8" w:space="0" w:color="auto"/>
              <w:bottom w:val="single" w:sz="4" w:space="0" w:color="auto"/>
              <w:right w:val="single" w:sz="4" w:space="0" w:color="auto"/>
            </w:tcBorders>
            <w:shd w:val="clear" w:color="000000" w:fill="D8E4BC"/>
            <w:noWrap/>
            <w:vAlign w:val="bottom"/>
            <w:hideMark/>
          </w:tcPr>
          <w:p w14:paraId="1ADF2FDF"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0,1</w:t>
            </w:r>
          </w:p>
        </w:tc>
        <w:tc>
          <w:tcPr>
            <w:tcW w:w="1013" w:type="dxa"/>
            <w:tcBorders>
              <w:top w:val="nil"/>
              <w:left w:val="nil"/>
              <w:bottom w:val="single" w:sz="4" w:space="0" w:color="auto"/>
              <w:right w:val="single" w:sz="8" w:space="0" w:color="auto"/>
            </w:tcBorders>
            <w:shd w:val="clear" w:color="auto" w:fill="auto"/>
            <w:noWrap/>
            <w:vAlign w:val="bottom"/>
            <w:hideMark/>
          </w:tcPr>
          <w:p w14:paraId="7F3C336F"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0,017</w:t>
            </w:r>
          </w:p>
        </w:tc>
        <w:tc>
          <w:tcPr>
            <w:tcW w:w="1102" w:type="dxa"/>
            <w:tcBorders>
              <w:top w:val="single" w:sz="4" w:space="0" w:color="auto"/>
              <w:left w:val="single" w:sz="8" w:space="0" w:color="auto"/>
              <w:bottom w:val="single" w:sz="4" w:space="0" w:color="auto"/>
              <w:right w:val="single" w:sz="4" w:space="0" w:color="auto"/>
            </w:tcBorders>
            <w:shd w:val="clear" w:color="000000" w:fill="FFC7CE"/>
            <w:noWrap/>
            <w:vAlign w:val="bottom"/>
            <w:hideMark/>
          </w:tcPr>
          <w:p w14:paraId="438E16B8"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0,272</w:t>
            </w:r>
          </w:p>
        </w:tc>
        <w:tc>
          <w:tcPr>
            <w:tcW w:w="1074" w:type="dxa"/>
            <w:tcBorders>
              <w:top w:val="nil"/>
              <w:left w:val="nil"/>
              <w:bottom w:val="single" w:sz="4" w:space="0" w:color="auto"/>
              <w:right w:val="single" w:sz="8" w:space="0" w:color="auto"/>
            </w:tcBorders>
            <w:shd w:val="clear" w:color="auto" w:fill="auto"/>
            <w:noWrap/>
            <w:vAlign w:val="bottom"/>
            <w:hideMark/>
          </w:tcPr>
          <w:p w14:paraId="3D0A722D"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0,005</w:t>
            </w:r>
          </w:p>
        </w:tc>
        <w:tc>
          <w:tcPr>
            <w:tcW w:w="1196" w:type="dxa"/>
            <w:tcBorders>
              <w:top w:val="nil"/>
              <w:left w:val="single" w:sz="8" w:space="0" w:color="auto"/>
              <w:bottom w:val="single" w:sz="4" w:space="0" w:color="auto"/>
              <w:right w:val="single" w:sz="4" w:space="0" w:color="auto"/>
            </w:tcBorders>
            <w:shd w:val="clear" w:color="000000" w:fill="FFC7CE"/>
            <w:noWrap/>
            <w:vAlign w:val="bottom"/>
            <w:hideMark/>
          </w:tcPr>
          <w:p w14:paraId="54CB0050"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0,135</w:t>
            </w:r>
          </w:p>
        </w:tc>
        <w:tc>
          <w:tcPr>
            <w:tcW w:w="980" w:type="dxa"/>
            <w:tcBorders>
              <w:top w:val="nil"/>
              <w:left w:val="nil"/>
              <w:bottom w:val="single" w:sz="4" w:space="0" w:color="auto"/>
              <w:right w:val="single" w:sz="8" w:space="0" w:color="auto"/>
            </w:tcBorders>
            <w:shd w:val="clear" w:color="auto" w:fill="auto"/>
            <w:noWrap/>
            <w:vAlign w:val="bottom"/>
            <w:hideMark/>
          </w:tcPr>
          <w:p w14:paraId="0AD7E059"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-0,009</w:t>
            </w:r>
          </w:p>
        </w:tc>
      </w:tr>
      <w:tr w:rsidR="000E7BD3" w:rsidRPr="000E7BD3" w14:paraId="1F770F5F" w14:textId="77777777" w:rsidTr="000E7BD3">
        <w:trPr>
          <w:trHeight w:val="255"/>
          <w:jc w:val="center"/>
        </w:trPr>
        <w:tc>
          <w:tcPr>
            <w:tcW w:w="2556" w:type="dxa"/>
            <w:tcBorders>
              <w:top w:val="nil"/>
              <w:left w:val="single" w:sz="8" w:space="0" w:color="auto"/>
              <w:bottom w:val="single" w:sz="4" w:space="0" w:color="auto"/>
              <w:right w:val="nil"/>
            </w:tcBorders>
            <w:shd w:val="clear" w:color="auto" w:fill="auto"/>
            <w:noWrap/>
            <w:vAlign w:val="bottom"/>
            <w:hideMark/>
          </w:tcPr>
          <w:p w14:paraId="52F5F178" w14:textId="77777777" w:rsidR="000E7BD3" w:rsidRPr="000E7BD3" w:rsidRDefault="000E7BD3" w:rsidP="000E7BD3">
            <w:pPr>
              <w:spacing w:after="0" w:line="240" w:lineRule="auto"/>
              <w:ind w:firstLine="0"/>
              <w:contextualSpacing w:val="0"/>
              <w:jc w:val="left"/>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WCD2</w:t>
            </w:r>
          </w:p>
        </w:tc>
        <w:tc>
          <w:tcPr>
            <w:tcW w:w="1163" w:type="dxa"/>
            <w:tcBorders>
              <w:top w:val="single" w:sz="4" w:space="0" w:color="auto"/>
              <w:left w:val="single" w:sz="8" w:space="0" w:color="auto"/>
              <w:bottom w:val="single" w:sz="4" w:space="0" w:color="auto"/>
              <w:right w:val="single" w:sz="4" w:space="0" w:color="auto"/>
            </w:tcBorders>
            <w:shd w:val="clear" w:color="000000" w:fill="D8E4BC"/>
            <w:noWrap/>
            <w:vAlign w:val="bottom"/>
            <w:hideMark/>
          </w:tcPr>
          <w:p w14:paraId="403D5FA9"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0,081</w:t>
            </w:r>
          </w:p>
        </w:tc>
        <w:tc>
          <w:tcPr>
            <w:tcW w:w="1013" w:type="dxa"/>
            <w:tcBorders>
              <w:top w:val="nil"/>
              <w:left w:val="nil"/>
              <w:bottom w:val="single" w:sz="4" w:space="0" w:color="auto"/>
              <w:right w:val="single" w:sz="8" w:space="0" w:color="auto"/>
            </w:tcBorders>
            <w:shd w:val="clear" w:color="auto" w:fill="auto"/>
            <w:noWrap/>
            <w:vAlign w:val="bottom"/>
            <w:hideMark/>
          </w:tcPr>
          <w:p w14:paraId="0D8BB2C9"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0,000</w:t>
            </w:r>
          </w:p>
        </w:tc>
        <w:tc>
          <w:tcPr>
            <w:tcW w:w="1102" w:type="dxa"/>
            <w:tcBorders>
              <w:top w:val="nil"/>
              <w:left w:val="single" w:sz="8" w:space="0" w:color="auto"/>
              <w:bottom w:val="single" w:sz="4" w:space="0" w:color="auto"/>
              <w:right w:val="single" w:sz="4" w:space="0" w:color="auto"/>
            </w:tcBorders>
            <w:shd w:val="clear" w:color="000000" w:fill="FFC7CE"/>
            <w:noWrap/>
            <w:vAlign w:val="bottom"/>
            <w:hideMark/>
          </w:tcPr>
          <w:p w14:paraId="43567B12"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0,657</w:t>
            </w:r>
          </w:p>
        </w:tc>
        <w:tc>
          <w:tcPr>
            <w:tcW w:w="1074" w:type="dxa"/>
            <w:tcBorders>
              <w:top w:val="nil"/>
              <w:left w:val="nil"/>
              <w:bottom w:val="single" w:sz="4" w:space="0" w:color="auto"/>
              <w:right w:val="single" w:sz="8" w:space="0" w:color="auto"/>
            </w:tcBorders>
            <w:shd w:val="clear" w:color="auto" w:fill="auto"/>
            <w:noWrap/>
            <w:vAlign w:val="bottom"/>
            <w:hideMark/>
          </w:tcPr>
          <w:p w14:paraId="67BC4843"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-3,710</w:t>
            </w:r>
          </w:p>
        </w:tc>
        <w:tc>
          <w:tcPr>
            <w:tcW w:w="1196" w:type="dxa"/>
            <w:tcBorders>
              <w:top w:val="single" w:sz="4" w:space="0" w:color="auto"/>
              <w:left w:val="single" w:sz="8" w:space="0" w:color="auto"/>
              <w:bottom w:val="single" w:sz="4" w:space="0" w:color="auto"/>
              <w:right w:val="single" w:sz="4" w:space="0" w:color="auto"/>
            </w:tcBorders>
            <w:shd w:val="clear" w:color="000000" w:fill="FFC7CE"/>
            <w:noWrap/>
            <w:vAlign w:val="bottom"/>
            <w:hideMark/>
          </w:tcPr>
          <w:p w14:paraId="3D2D33AB"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0,207</w:t>
            </w:r>
          </w:p>
        </w:tc>
        <w:tc>
          <w:tcPr>
            <w:tcW w:w="980" w:type="dxa"/>
            <w:tcBorders>
              <w:top w:val="nil"/>
              <w:left w:val="nil"/>
              <w:bottom w:val="single" w:sz="4" w:space="0" w:color="auto"/>
              <w:right w:val="single" w:sz="8" w:space="0" w:color="auto"/>
            </w:tcBorders>
            <w:shd w:val="clear" w:color="auto" w:fill="auto"/>
            <w:noWrap/>
            <w:vAlign w:val="bottom"/>
            <w:hideMark/>
          </w:tcPr>
          <w:p w14:paraId="0A23EE3B"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-1,400</w:t>
            </w:r>
          </w:p>
        </w:tc>
      </w:tr>
      <w:tr w:rsidR="000E7BD3" w:rsidRPr="000E7BD3" w14:paraId="06B12DF2" w14:textId="77777777" w:rsidTr="000E7BD3">
        <w:trPr>
          <w:trHeight w:val="255"/>
          <w:jc w:val="center"/>
        </w:trPr>
        <w:tc>
          <w:tcPr>
            <w:tcW w:w="2556" w:type="dxa"/>
            <w:tcBorders>
              <w:top w:val="nil"/>
              <w:left w:val="single" w:sz="8" w:space="0" w:color="auto"/>
              <w:bottom w:val="single" w:sz="4" w:space="0" w:color="auto"/>
              <w:right w:val="nil"/>
            </w:tcBorders>
            <w:shd w:val="clear" w:color="auto" w:fill="auto"/>
            <w:noWrap/>
            <w:vAlign w:val="bottom"/>
            <w:hideMark/>
          </w:tcPr>
          <w:p w14:paraId="3595835C" w14:textId="77777777" w:rsidR="000E7BD3" w:rsidRPr="000E7BD3" w:rsidRDefault="000E7BD3" w:rsidP="000E7BD3">
            <w:pPr>
              <w:spacing w:after="0" w:line="240" w:lineRule="auto"/>
              <w:ind w:firstLine="0"/>
              <w:contextualSpacing w:val="0"/>
              <w:jc w:val="left"/>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DS</w:t>
            </w:r>
          </w:p>
        </w:tc>
        <w:tc>
          <w:tcPr>
            <w:tcW w:w="1163" w:type="dxa"/>
            <w:tcBorders>
              <w:top w:val="single" w:sz="4" w:space="0" w:color="auto"/>
              <w:left w:val="single" w:sz="8" w:space="0" w:color="auto"/>
              <w:bottom w:val="single" w:sz="4" w:space="0" w:color="auto"/>
              <w:right w:val="single" w:sz="4" w:space="0" w:color="auto"/>
            </w:tcBorders>
            <w:shd w:val="clear" w:color="000000" w:fill="FFC7CE"/>
            <w:noWrap/>
            <w:vAlign w:val="bottom"/>
            <w:hideMark/>
          </w:tcPr>
          <w:p w14:paraId="43DD1DB7"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0,302</w:t>
            </w:r>
          </w:p>
        </w:tc>
        <w:tc>
          <w:tcPr>
            <w:tcW w:w="1013" w:type="dxa"/>
            <w:tcBorders>
              <w:top w:val="nil"/>
              <w:left w:val="nil"/>
              <w:bottom w:val="single" w:sz="4" w:space="0" w:color="auto"/>
              <w:right w:val="single" w:sz="8" w:space="0" w:color="auto"/>
            </w:tcBorders>
            <w:shd w:val="clear" w:color="auto" w:fill="auto"/>
            <w:noWrap/>
            <w:vAlign w:val="bottom"/>
            <w:hideMark/>
          </w:tcPr>
          <w:p w14:paraId="14C9BF4A"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-2,537</w:t>
            </w:r>
          </w:p>
        </w:tc>
        <w:tc>
          <w:tcPr>
            <w:tcW w:w="1102" w:type="dxa"/>
            <w:tcBorders>
              <w:top w:val="single" w:sz="4" w:space="0" w:color="auto"/>
              <w:left w:val="single" w:sz="8" w:space="0" w:color="auto"/>
              <w:bottom w:val="single" w:sz="4" w:space="0" w:color="auto"/>
              <w:right w:val="single" w:sz="4" w:space="0" w:color="auto"/>
            </w:tcBorders>
            <w:shd w:val="clear" w:color="000000" w:fill="FFC7CE"/>
            <w:noWrap/>
            <w:vAlign w:val="bottom"/>
            <w:hideMark/>
          </w:tcPr>
          <w:p w14:paraId="1ABC2A24"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0,886</w:t>
            </w:r>
          </w:p>
        </w:tc>
        <w:tc>
          <w:tcPr>
            <w:tcW w:w="1074" w:type="dxa"/>
            <w:tcBorders>
              <w:top w:val="nil"/>
              <w:left w:val="nil"/>
              <w:bottom w:val="single" w:sz="4" w:space="0" w:color="auto"/>
              <w:right w:val="single" w:sz="8" w:space="0" w:color="auto"/>
            </w:tcBorders>
            <w:shd w:val="clear" w:color="auto" w:fill="auto"/>
            <w:noWrap/>
            <w:vAlign w:val="bottom"/>
            <w:hideMark/>
          </w:tcPr>
          <w:p w14:paraId="3FA959A8"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0,44</w:t>
            </w:r>
          </w:p>
        </w:tc>
        <w:tc>
          <w:tcPr>
            <w:tcW w:w="1196" w:type="dxa"/>
            <w:tcBorders>
              <w:top w:val="single" w:sz="4" w:space="0" w:color="auto"/>
              <w:left w:val="single" w:sz="8" w:space="0" w:color="auto"/>
              <w:bottom w:val="single" w:sz="4" w:space="0" w:color="auto"/>
              <w:right w:val="single" w:sz="4" w:space="0" w:color="auto"/>
            </w:tcBorders>
            <w:shd w:val="clear" w:color="000000" w:fill="FFC7CE"/>
            <w:noWrap/>
            <w:vAlign w:val="bottom"/>
            <w:hideMark/>
          </w:tcPr>
          <w:p w14:paraId="5EE14CCF"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0,933</w:t>
            </w:r>
          </w:p>
        </w:tc>
        <w:tc>
          <w:tcPr>
            <w:tcW w:w="980" w:type="dxa"/>
            <w:tcBorders>
              <w:top w:val="nil"/>
              <w:left w:val="nil"/>
              <w:bottom w:val="single" w:sz="4" w:space="0" w:color="auto"/>
              <w:right w:val="single" w:sz="8" w:space="0" w:color="auto"/>
            </w:tcBorders>
            <w:shd w:val="clear" w:color="auto" w:fill="auto"/>
            <w:noWrap/>
            <w:vAlign w:val="bottom"/>
            <w:hideMark/>
          </w:tcPr>
          <w:p w14:paraId="044C85AF"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-0,202</w:t>
            </w:r>
          </w:p>
        </w:tc>
      </w:tr>
      <w:tr w:rsidR="000E7BD3" w:rsidRPr="000E7BD3" w14:paraId="5F5DC411" w14:textId="77777777" w:rsidTr="000E7BD3">
        <w:trPr>
          <w:trHeight w:val="255"/>
          <w:jc w:val="center"/>
        </w:trPr>
        <w:tc>
          <w:tcPr>
            <w:tcW w:w="2556" w:type="dxa"/>
            <w:tcBorders>
              <w:top w:val="nil"/>
              <w:left w:val="single" w:sz="8" w:space="0" w:color="auto"/>
              <w:bottom w:val="single" w:sz="4" w:space="0" w:color="auto"/>
              <w:right w:val="nil"/>
            </w:tcBorders>
            <w:shd w:val="clear" w:color="auto" w:fill="auto"/>
            <w:noWrap/>
            <w:vAlign w:val="bottom"/>
            <w:hideMark/>
          </w:tcPr>
          <w:p w14:paraId="563C4633" w14:textId="77777777" w:rsidR="000E7BD3" w:rsidRPr="000E7BD3" w:rsidRDefault="000E7BD3" w:rsidP="000E7BD3">
            <w:pPr>
              <w:spacing w:after="0" w:line="240" w:lineRule="auto"/>
              <w:ind w:firstLine="0"/>
              <w:contextualSpacing w:val="0"/>
              <w:jc w:val="left"/>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SS</w:t>
            </w:r>
          </w:p>
        </w:tc>
        <w:tc>
          <w:tcPr>
            <w:tcW w:w="1163" w:type="dxa"/>
            <w:tcBorders>
              <w:top w:val="single" w:sz="4" w:space="0" w:color="auto"/>
              <w:left w:val="single" w:sz="8" w:space="0" w:color="auto"/>
              <w:bottom w:val="single" w:sz="4" w:space="0" w:color="auto"/>
              <w:right w:val="single" w:sz="4" w:space="0" w:color="auto"/>
            </w:tcBorders>
            <w:shd w:val="clear" w:color="000000" w:fill="FFC7CE"/>
            <w:noWrap/>
            <w:vAlign w:val="bottom"/>
            <w:hideMark/>
          </w:tcPr>
          <w:p w14:paraId="615DEF96"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0,678</w:t>
            </w:r>
          </w:p>
        </w:tc>
        <w:tc>
          <w:tcPr>
            <w:tcW w:w="1013" w:type="dxa"/>
            <w:tcBorders>
              <w:top w:val="nil"/>
              <w:left w:val="nil"/>
              <w:bottom w:val="single" w:sz="4" w:space="0" w:color="auto"/>
              <w:right w:val="single" w:sz="8" w:space="0" w:color="auto"/>
            </w:tcBorders>
            <w:shd w:val="clear" w:color="auto" w:fill="auto"/>
            <w:noWrap/>
            <w:vAlign w:val="bottom"/>
            <w:hideMark/>
          </w:tcPr>
          <w:p w14:paraId="6BBD3E42"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3,724</w:t>
            </w:r>
          </w:p>
        </w:tc>
        <w:tc>
          <w:tcPr>
            <w:tcW w:w="1102" w:type="dxa"/>
            <w:tcBorders>
              <w:top w:val="single" w:sz="4" w:space="0" w:color="auto"/>
              <w:left w:val="single" w:sz="8" w:space="0" w:color="auto"/>
              <w:bottom w:val="single" w:sz="4" w:space="0" w:color="auto"/>
              <w:right w:val="single" w:sz="4" w:space="0" w:color="auto"/>
            </w:tcBorders>
            <w:shd w:val="clear" w:color="000000" w:fill="FFC7CE"/>
            <w:noWrap/>
            <w:vAlign w:val="bottom"/>
            <w:hideMark/>
          </w:tcPr>
          <w:p w14:paraId="560A51FA"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0,179</w:t>
            </w:r>
          </w:p>
        </w:tc>
        <w:tc>
          <w:tcPr>
            <w:tcW w:w="1074" w:type="dxa"/>
            <w:tcBorders>
              <w:top w:val="nil"/>
              <w:left w:val="nil"/>
              <w:bottom w:val="single" w:sz="4" w:space="0" w:color="auto"/>
              <w:right w:val="single" w:sz="8" w:space="0" w:color="auto"/>
            </w:tcBorders>
            <w:shd w:val="clear" w:color="auto" w:fill="auto"/>
            <w:noWrap/>
            <w:vAlign w:val="bottom"/>
            <w:hideMark/>
          </w:tcPr>
          <w:p w14:paraId="64F7C227"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-15,368</w:t>
            </w:r>
          </w:p>
        </w:tc>
        <w:tc>
          <w:tcPr>
            <w:tcW w:w="1196" w:type="dxa"/>
            <w:tcBorders>
              <w:top w:val="single" w:sz="4" w:space="0" w:color="auto"/>
              <w:left w:val="single" w:sz="8" w:space="0" w:color="auto"/>
              <w:bottom w:val="single" w:sz="4" w:space="0" w:color="auto"/>
              <w:right w:val="single" w:sz="4" w:space="0" w:color="auto"/>
            </w:tcBorders>
            <w:shd w:val="clear" w:color="000000" w:fill="FFC7CE"/>
            <w:noWrap/>
            <w:vAlign w:val="bottom"/>
            <w:hideMark/>
          </w:tcPr>
          <w:p w14:paraId="0FE0464F"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0,614</w:t>
            </w:r>
          </w:p>
        </w:tc>
        <w:tc>
          <w:tcPr>
            <w:tcW w:w="980" w:type="dxa"/>
            <w:tcBorders>
              <w:top w:val="nil"/>
              <w:left w:val="nil"/>
              <w:bottom w:val="single" w:sz="4" w:space="0" w:color="auto"/>
              <w:right w:val="single" w:sz="8" w:space="0" w:color="auto"/>
            </w:tcBorders>
            <w:shd w:val="clear" w:color="auto" w:fill="auto"/>
            <w:noWrap/>
            <w:vAlign w:val="bottom"/>
            <w:hideMark/>
          </w:tcPr>
          <w:p w14:paraId="29F60D02"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-4,333</w:t>
            </w:r>
          </w:p>
        </w:tc>
      </w:tr>
      <w:tr w:rsidR="000E7BD3" w:rsidRPr="000E7BD3" w14:paraId="77F246D0" w14:textId="77777777" w:rsidTr="000E7BD3">
        <w:trPr>
          <w:trHeight w:val="255"/>
          <w:jc w:val="center"/>
        </w:trPr>
        <w:tc>
          <w:tcPr>
            <w:tcW w:w="2556" w:type="dxa"/>
            <w:tcBorders>
              <w:top w:val="nil"/>
              <w:left w:val="single" w:sz="8" w:space="0" w:color="auto"/>
              <w:bottom w:val="single" w:sz="4" w:space="0" w:color="auto"/>
              <w:right w:val="nil"/>
            </w:tcBorders>
            <w:shd w:val="clear" w:color="auto" w:fill="auto"/>
            <w:noWrap/>
            <w:vAlign w:val="bottom"/>
            <w:hideMark/>
          </w:tcPr>
          <w:p w14:paraId="2B379ED0" w14:textId="77777777" w:rsidR="000E7BD3" w:rsidRPr="000E7BD3" w:rsidRDefault="000E7BD3" w:rsidP="000E7BD3">
            <w:pPr>
              <w:spacing w:after="0" w:line="240" w:lineRule="auto"/>
              <w:ind w:firstLine="0"/>
              <w:contextualSpacing w:val="0"/>
              <w:jc w:val="left"/>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CLR</w:t>
            </w:r>
          </w:p>
        </w:tc>
        <w:tc>
          <w:tcPr>
            <w:tcW w:w="1163" w:type="dxa"/>
            <w:tcBorders>
              <w:top w:val="single" w:sz="4" w:space="0" w:color="auto"/>
              <w:left w:val="single" w:sz="8" w:space="0" w:color="auto"/>
              <w:bottom w:val="single" w:sz="4" w:space="0" w:color="auto"/>
              <w:right w:val="single" w:sz="4" w:space="0" w:color="auto"/>
            </w:tcBorders>
            <w:shd w:val="clear" w:color="000000" w:fill="D8E4BC"/>
            <w:noWrap/>
            <w:vAlign w:val="bottom"/>
            <w:hideMark/>
          </w:tcPr>
          <w:p w14:paraId="0FD454DA"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0,005</w:t>
            </w:r>
          </w:p>
        </w:tc>
        <w:tc>
          <w:tcPr>
            <w:tcW w:w="1013" w:type="dxa"/>
            <w:tcBorders>
              <w:top w:val="nil"/>
              <w:left w:val="nil"/>
              <w:bottom w:val="single" w:sz="4" w:space="0" w:color="auto"/>
              <w:right w:val="single" w:sz="8" w:space="0" w:color="auto"/>
            </w:tcBorders>
            <w:shd w:val="clear" w:color="auto" w:fill="auto"/>
            <w:noWrap/>
            <w:vAlign w:val="bottom"/>
            <w:hideMark/>
          </w:tcPr>
          <w:p w14:paraId="5FC7E704"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0,005</w:t>
            </w:r>
          </w:p>
        </w:tc>
        <w:tc>
          <w:tcPr>
            <w:tcW w:w="1102" w:type="dxa"/>
            <w:tcBorders>
              <w:top w:val="single" w:sz="4" w:space="0" w:color="auto"/>
              <w:left w:val="single" w:sz="8" w:space="0" w:color="auto"/>
              <w:bottom w:val="single" w:sz="4" w:space="0" w:color="auto"/>
              <w:right w:val="single" w:sz="4" w:space="0" w:color="auto"/>
            </w:tcBorders>
            <w:shd w:val="clear" w:color="000000" w:fill="D8E4BC"/>
            <w:noWrap/>
            <w:vAlign w:val="bottom"/>
            <w:hideMark/>
          </w:tcPr>
          <w:p w14:paraId="12F66AA9"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0,032</w:t>
            </w:r>
          </w:p>
        </w:tc>
        <w:tc>
          <w:tcPr>
            <w:tcW w:w="1074" w:type="dxa"/>
            <w:tcBorders>
              <w:top w:val="nil"/>
              <w:left w:val="nil"/>
              <w:bottom w:val="single" w:sz="4" w:space="0" w:color="auto"/>
              <w:right w:val="single" w:sz="8" w:space="0" w:color="auto"/>
            </w:tcBorders>
            <w:shd w:val="clear" w:color="auto" w:fill="auto"/>
            <w:noWrap/>
            <w:vAlign w:val="bottom"/>
            <w:hideMark/>
          </w:tcPr>
          <w:p w14:paraId="12667F95"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-0,062</w:t>
            </w:r>
          </w:p>
        </w:tc>
        <w:tc>
          <w:tcPr>
            <w:tcW w:w="1196" w:type="dxa"/>
            <w:tcBorders>
              <w:top w:val="single" w:sz="4" w:space="0" w:color="auto"/>
              <w:left w:val="single" w:sz="8" w:space="0" w:color="auto"/>
              <w:bottom w:val="single" w:sz="4" w:space="0" w:color="auto"/>
              <w:right w:val="single" w:sz="4" w:space="0" w:color="auto"/>
            </w:tcBorders>
            <w:shd w:val="clear" w:color="000000" w:fill="D8E4BC"/>
            <w:noWrap/>
            <w:vAlign w:val="bottom"/>
            <w:hideMark/>
          </w:tcPr>
          <w:p w14:paraId="013934B9"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0,036</w:t>
            </w:r>
          </w:p>
        </w:tc>
        <w:tc>
          <w:tcPr>
            <w:tcW w:w="980" w:type="dxa"/>
            <w:tcBorders>
              <w:top w:val="nil"/>
              <w:left w:val="nil"/>
              <w:bottom w:val="single" w:sz="4" w:space="0" w:color="auto"/>
              <w:right w:val="single" w:sz="8" w:space="0" w:color="auto"/>
            </w:tcBorders>
            <w:shd w:val="clear" w:color="auto" w:fill="auto"/>
            <w:noWrap/>
            <w:vAlign w:val="bottom"/>
            <w:hideMark/>
          </w:tcPr>
          <w:p w14:paraId="0AA85C86"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-0,024</w:t>
            </w:r>
          </w:p>
        </w:tc>
      </w:tr>
      <w:tr w:rsidR="000E7BD3" w:rsidRPr="000E7BD3" w14:paraId="6028252B" w14:textId="77777777" w:rsidTr="000E7BD3">
        <w:trPr>
          <w:trHeight w:val="255"/>
          <w:jc w:val="center"/>
        </w:trPr>
        <w:tc>
          <w:tcPr>
            <w:tcW w:w="2556" w:type="dxa"/>
            <w:tcBorders>
              <w:top w:val="nil"/>
              <w:left w:val="single" w:sz="8" w:space="0" w:color="auto"/>
              <w:bottom w:val="single" w:sz="4" w:space="0" w:color="auto"/>
              <w:right w:val="nil"/>
            </w:tcBorders>
            <w:shd w:val="clear" w:color="auto" w:fill="auto"/>
            <w:noWrap/>
            <w:vAlign w:val="bottom"/>
            <w:hideMark/>
          </w:tcPr>
          <w:p w14:paraId="24937F81" w14:textId="77777777" w:rsidR="000E7BD3" w:rsidRPr="000E7BD3" w:rsidRDefault="000E7BD3" w:rsidP="000E7BD3">
            <w:pPr>
              <w:spacing w:after="0" w:line="240" w:lineRule="auto"/>
              <w:ind w:firstLine="0"/>
              <w:contextualSpacing w:val="0"/>
              <w:jc w:val="left"/>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GDP</w:t>
            </w:r>
          </w:p>
        </w:tc>
        <w:tc>
          <w:tcPr>
            <w:tcW w:w="1163" w:type="dxa"/>
            <w:tcBorders>
              <w:top w:val="single" w:sz="4" w:space="0" w:color="auto"/>
              <w:left w:val="single" w:sz="8" w:space="0" w:color="auto"/>
              <w:bottom w:val="single" w:sz="4" w:space="0" w:color="auto"/>
              <w:right w:val="single" w:sz="4" w:space="0" w:color="auto"/>
            </w:tcBorders>
            <w:shd w:val="clear" w:color="000000" w:fill="D8E4BC"/>
            <w:noWrap/>
            <w:vAlign w:val="bottom"/>
            <w:hideMark/>
          </w:tcPr>
          <w:p w14:paraId="498F4351"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w:t>
            </w:r>
          </w:p>
        </w:tc>
        <w:tc>
          <w:tcPr>
            <w:tcW w:w="1013" w:type="dxa"/>
            <w:tcBorders>
              <w:top w:val="nil"/>
              <w:left w:val="nil"/>
              <w:bottom w:val="single" w:sz="4" w:space="0" w:color="auto"/>
              <w:right w:val="single" w:sz="8" w:space="0" w:color="auto"/>
            </w:tcBorders>
            <w:shd w:val="clear" w:color="auto" w:fill="auto"/>
            <w:noWrap/>
            <w:vAlign w:val="bottom"/>
            <w:hideMark/>
          </w:tcPr>
          <w:p w14:paraId="181650E5"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-3,633</w:t>
            </w:r>
          </w:p>
        </w:tc>
        <w:tc>
          <w:tcPr>
            <w:tcW w:w="1102" w:type="dxa"/>
            <w:tcBorders>
              <w:top w:val="single" w:sz="4" w:space="0" w:color="auto"/>
              <w:left w:val="single" w:sz="8" w:space="0" w:color="auto"/>
              <w:bottom w:val="single" w:sz="4" w:space="0" w:color="auto"/>
              <w:right w:val="single" w:sz="4" w:space="0" w:color="auto"/>
            </w:tcBorders>
            <w:shd w:val="clear" w:color="000000" w:fill="D8E4BC"/>
            <w:noWrap/>
            <w:vAlign w:val="bottom"/>
            <w:hideMark/>
          </w:tcPr>
          <w:p w14:paraId="2B2A2C32"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0,035</w:t>
            </w:r>
          </w:p>
        </w:tc>
        <w:tc>
          <w:tcPr>
            <w:tcW w:w="1074" w:type="dxa"/>
            <w:tcBorders>
              <w:top w:val="nil"/>
              <w:left w:val="nil"/>
              <w:bottom w:val="single" w:sz="4" w:space="0" w:color="auto"/>
              <w:right w:val="single" w:sz="8" w:space="0" w:color="auto"/>
            </w:tcBorders>
            <w:shd w:val="clear" w:color="auto" w:fill="auto"/>
            <w:noWrap/>
            <w:vAlign w:val="bottom"/>
            <w:hideMark/>
          </w:tcPr>
          <w:p w14:paraId="0BEE4D30"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-1,193</w:t>
            </w:r>
          </w:p>
        </w:tc>
        <w:tc>
          <w:tcPr>
            <w:tcW w:w="1196" w:type="dxa"/>
            <w:tcBorders>
              <w:top w:val="single" w:sz="4" w:space="0" w:color="auto"/>
              <w:left w:val="single" w:sz="8" w:space="0" w:color="auto"/>
              <w:bottom w:val="single" w:sz="4" w:space="0" w:color="auto"/>
              <w:right w:val="single" w:sz="4" w:space="0" w:color="auto"/>
            </w:tcBorders>
            <w:shd w:val="clear" w:color="000000" w:fill="D8E4BC"/>
            <w:noWrap/>
            <w:vAlign w:val="bottom"/>
            <w:hideMark/>
          </w:tcPr>
          <w:p w14:paraId="5013E7CE"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0,002</w:t>
            </w:r>
          </w:p>
        </w:tc>
        <w:tc>
          <w:tcPr>
            <w:tcW w:w="980" w:type="dxa"/>
            <w:tcBorders>
              <w:top w:val="nil"/>
              <w:left w:val="nil"/>
              <w:bottom w:val="single" w:sz="4" w:space="0" w:color="auto"/>
              <w:right w:val="single" w:sz="8" w:space="0" w:color="auto"/>
            </w:tcBorders>
            <w:shd w:val="clear" w:color="auto" w:fill="auto"/>
            <w:noWrap/>
            <w:vAlign w:val="bottom"/>
            <w:hideMark/>
          </w:tcPr>
          <w:p w14:paraId="26B09A9C"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-1,406</w:t>
            </w:r>
          </w:p>
        </w:tc>
      </w:tr>
      <w:tr w:rsidR="000E7BD3" w:rsidRPr="000E7BD3" w14:paraId="183E9588" w14:textId="77777777" w:rsidTr="000E7BD3">
        <w:trPr>
          <w:trHeight w:val="255"/>
          <w:jc w:val="center"/>
        </w:trPr>
        <w:tc>
          <w:tcPr>
            <w:tcW w:w="2556" w:type="dxa"/>
            <w:tcBorders>
              <w:top w:val="nil"/>
              <w:left w:val="single" w:sz="8" w:space="0" w:color="auto"/>
              <w:bottom w:val="single" w:sz="4" w:space="0" w:color="auto"/>
              <w:right w:val="nil"/>
            </w:tcBorders>
            <w:shd w:val="clear" w:color="auto" w:fill="auto"/>
            <w:noWrap/>
            <w:vAlign w:val="bottom"/>
            <w:hideMark/>
          </w:tcPr>
          <w:p w14:paraId="7F26BBEF" w14:textId="77777777" w:rsidR="000E7BD3" w:rsidRPr="000E7BD3" w:rsidRDefault="000E7BD3" w:rsidP="000E7BD3">
            <w:pPr>
              <w:spacing w:after="0" w:line="240" w:lineRule="auto"/>
              <w:ind w:firstLine="0"/>
              <w:contextualSpacing w:val="0"/>
              <w:jc w:val="left"/>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OPR</w:t>
            </w:r>
          </w:p>
        </w:tc>
        <w:tc>
          <w:tcPr>
            <w:tcW w:w="1163" w:type="dxa"/>
            <w:tcBorders>
              <w:top w:val="single" w:sz="4" w:space="0" w:color="auto"/>
              <w:left w:val="single" w:sz="8" w:space="0" w:color="auto"/>
              <w:bottom w:val="single" w:sz="4" w:space="0" w:color="auto"/>
              <w:right w:val="single" w:sz="4" w:space="0" w:color="auto"/>
            </w:tcBorders>
            <w:shd w:val="clear" w:color="000000" w:fill="D8E4BC"/>
            <w:noWrap/>
            <w:vAlign w:val="bottom"/>
            <w:hideMark/>
          </w:tcPr>
          <w:p w14:paraId="0C04AD73"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0,003</w:t>
            </w:r>
          </w:p>
        </w:tc>
        <w:tc>
          <w:tcPr>
            <w:tcW w:w="1013" w:type="dxa"/>
            <w:tcBorders>
              <w:top w:val="nil"/>
              <w:left w:val="nil"/>
              <w:bottom w:val="single" w:sz="4" w:space="0" w:color="auto"/>
              <w:right w:val="single" w:sz="8" w:space="0" w:color="auto"/>
            </w:tcBorders>
            <w:shd w:val="clear" w:color="auto" w:fill="auto"/>
            <w:noWrap/>
            <w:vAlign w:val="bottom"/>
            <w:hideMark/>
          </w:tcPr>
          <w:p w14:paraId="2A7EBE5D"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-0,37</w:t>
            </w:r>
          </w:p>
        </w:tc>
        <w:tc>
          <w:tcPr>
            <w:tcW w:w="1102" w:type="dxa"/>
            <w:tcBorders>
              <w:top w:val="single" w:sz="4" w:space="0" w:color="auto"/>
              <w:left w:val="single" w:sz="8" w:space="0" w:color="auto"/>
              <w:bottom w:val="single" w:sz="4" w:space="0" w:color="auto"/>
              <w:right w:val="single" w:sz="4" w:space="0" w:color="auto"/>
            </w:tcBorders>
            <w:shd w:val="clear" w:color="000000" w:fill="D8E4BC"/>
            <w:noWrap/>
            <w:vAlign w:val="bottom"/>
            <w:hideMark/>
          </w:tcPr>
          <w:p w14:paraId="5B59C85B"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0,012</w:t>
            </w:r>
          </w:p>
        </w:tc>
        <w:tc>
          <w:tcPr>
            <w:tcW w:w="1074" w:type="dxa"/>
            <w:tcBorders>
              <w:top w:val="nil"/>
              <w:left w:val="nil"/>
              <w:bottom w:val="single" w:sz="4" w:space="0" w:color="auto"/>
              <w:right w:val="single" w:sz="8" w:space="0" w:color="auto"/>
            </w:tcBorders>
            <w:shd w:val="clear" w:color="auto" w:fill="auto"/>
            <w:noWrap/>
            <w:vAlign w:val="bottom"/>
            <w:hideMark/>
          </w:tcPr>
          <w:p w14:paraId="1E682B58"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0,096</w:t>
            </w:r>
          </w:p>
        </w:tc>
        <w:tc>
          <w:tcPr>
            <w:tcW w:w="1196" w:type="dxa"/>
            <w:tcBorders>
              <w:top w:val="single" w:sz="4" w:space="0" w:color="auto"/>
              <w:left w:val="single" w:sz="8" w:space="0" w:color="auto"/>
              <w:bottom w:val="single" w:sz="4" w:space="0" w:color="auto"/>
              <w:right w:val="single" w:sz="4" w:space="0" w:color="auto"/>
            </w:tcBorders>
            <w:shd w:val="clear" w:color="000000" w:fill="D8E4BC"/>
            <w:noWrap/>
            <w:vAlign w:val="bottom"/>
            <w:hideMark/>
          </w:tcPr>
          <w:p w14:paraId="1D53921B"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0,032</w:t>
            </w:r>
          </w:p>
        </w:tc>
        <w:tc>
          <w:tcPr>
            <w:tcW w:w="980" w:type="dxa"/>
            <w:tcBorders>
              <w:top w:val="nil"/>
              <w:left w:val="nil"/>
              <w:bottom w:val="single" w:sz="4" w:space="0" w:color="auto"/>
              <w:right w:val="single" w:sz="8" w:space="0" w:color="auto"/>
            </w:tcBorders>
            <w:shd w:val="clear" w:color="auto" w:fill="auto"/>
            <w:noWrap/>
            <w:vAlign w:val="bottom"/>
            <w:hideMark/>
          </w:tcPr>
          <w:p w14:paraId="2A18E60F"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0,412</w:t>
            </w:r>
          </w:p>
        </w:tc>
      </w:tr>
      <w:tr w:rsidR="000E7BD3" w:rsidRPr="000E7BD3" w14:paraId="099815C6" w14:textId="77777777" w:rsidTr="000E7BD3">
        <w:trPr>
          <w:trHeight w:val="255"/>
          <w:jc w:val="center"/>
        </w:trPr>
        <w:tc>
          <w:tcPr>
            <w:tcW w:w="2556" w:type="dxa"/>
            <w:tcBorders>
              <w:top w:val="nil"/>
              <w:left w:val="single" w:sz="8" w:space="0" w:color="auto"/>
              <w:bottom w:val="single" w:sz="4" w:space="0" w:color="auto"/>
              <w:right w:val="nil"/>
            </w:tcBorders>
            <w:shd w:val="clear" w:color="auto" w:fill="auto"/>
            <w:noWrap/>
            <w:vAlign w:val="bottom"/>
            <w:hideMark/>
          </w:tcPr>
          <w:p w14:paraId="33FB5235" w14:textId="77777777" w:rsidR="000E7BD3" w:rsidRPr="000E7BD3" w:rsidRDefault="000E7BD3" w:rsidP="000E7BD3">
            <w:pPr>
              <w:spacing w:after="0" w:line="240" w:lineRule="auto"/>
              <w:ind w:firstLine="0"/>
              <w:contextualSpacing w:val="0"/>
              <w:jc w:val="left"/>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ft1</w:t>
            </w:r>
          </w:p>
        </w:tc>
        <w:tc>
          <w:tcPr>
            <w:tcW w:w="1163" w:type="dxa"/>
            <w:tcBorders>
              <w:top w:val="single" w:sz="4" w:space="0" w:color="auto"/>
              <w:left w:val="single" w:sz="8" w:space="0" w:color="auto"/>
              <w:bottom w:val="single" w:sz="4" w:space="0" w:color="auto"/>
              <w:right w:val="single" w:sz="4" w:space="0" w:color="auto"/>
            </w:tcBorders>
            <w:shd w:val="clear" w:color="000000" w:fill="FFC7CE"/>
            <w:noWrap/>
            <w:vAlign w:val="bottom"/>
            <w:hideMark/>
          </w:tcPr>
          <w:p w14:paraId="4B8D7FE3"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0,462</w:t>
            </w:r>
          </w:p>
        </w:tc>
        <w:tc>
          <w:tcPr>
            <w:tcW w:w="1013" w:type="dxa"/>
            <w:tcBorders>
              <w:top w:val="nil"/>
              <w:left w:val="nil"/>
              <w:bottom w:val="single" w:sz="4" w:space="0" w:color="auto"/>
              <w:right w:val="single" w:sz="8" w:space="0" w:color="auto"/>
            </w:tcBorders>
            <w:shd w:val="clear" w:color="auto" w:fill="auto"/>
            <w:noWrap/>
            <w:vAlign w:val="bottom"/>
            <w:hideMark/>
          </w:tcPr>
          <w:p w14:paraId="0E700FFE"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7,984</w:t>
            </w:r>
          </w:p>
        </w:tc>
        <w:tc>
          <w:tcPr>
            <w:tcW w:w="1102" w:type="dxa"/>
            <w:tcBorders>
              <w:top w:val="single" w:sz="4" w:space="0" w:color="auto"/>
              <w:left w:val="single" w:sz="8" w:space="0" w:color="auto"/>
              <w:bottom w:val="single" w:sz="4" w:space="0" w:color="auto"/>
              <w:right w:val="single" w:sz="4" w:space="0" w:color="auto"/>
            </w:tcBorders>
            <w:shd w:val="clear" w:color="000000" w:fill="FFC7CE"/>
            <w:noWrap/>
            <w:vAlign w:val="bottom"/>
            <w:hideMark/>
          </w:tcPr>
          <w:p w14:paraId="7C2245A8"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0,321</w:t>
            </w:r>
          </w:p>
        </w:tc>
        <w:tc>
          <w:tcPr>
            <w:tcW w:w="1074" w:type="dxa"/>
            <w:tcBorders>
              <w:top w:val="nil"/>
              <w:left w:val="nil"/>
              <w:bottom w:val="single" w:sz="4" w:space="0" w:color="auto"/>
              <w:right w:val="single" w:sz="8" w:space="0" w:color="auto"/>
            </w:tcBorders>
            <w:shd w:val="clear" w:color="auto" w:fill="auto"/>
            <w:noWrap/>
            <w:vAlign w:val="bottom"/>
            <w:hideMark/>
          </w:tcPr>
          <w:p w14:paraId="49D73BB0"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13,444</w:t>
            </w:r>
          </w:p>
        </w:tc>
        <w:tc>
          <w:tcPr>
            <w:tcW w:w="1196" w:type="dxa"/>
            <w:tcBorders>
              <w:top w:val="single" w:sz="4" w:space="0" w:color="auto"/>
              <w:left w:val="single" w:sz="8" w:space="0" w:color="auto"/>
              <w:bottom w:val="single" w:sz="4" w:space="0" w:color="auto"/>
              <w:right w:val="single" w:sz="4" w:space="0" w:color="auto"/>
            </w:tcBorders>
            <w:shd w:val="clear" w:color="000000" w:fill="FFC7CE"/>
            <w:noWrap/>
            <w:vAlign w:val="bottom"/>
            <w:hideMark/>
          </w:tcPr>
          <w:p w14:paraId="611999F0"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0,844</w:t>
            </w:r>
          </w:p>
        </w:tc>
        <w:tc>
          <w:tcPr>
            <w:tcW w:w="980" w:type="dxa"/>
            <w:tcBorders>
              <w:top w:val="nil"/>
              <w:left w:val="nil"/>
              <w:bottom w:val="single" w:sz="4" w:space="0" w:color="auto"/>
              <w:right w:val="single" w:sz="8" w:space="0" w:color="auto"/>
            </w:tcBorders>
            <w:shd w:val="clear" w:color="auto" w:fill="auto"/>
            <w:noWrap/>
            <w:vAlign w:val="bottom"/>
            <w:hideMark/>
          </w:tcPr>
          <w:p w14:paraId="2E338593"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2,021</w:t>
            </w:r>
          </w:p>
        </w:tc>
      </w:tr>
      <w:tr w:rsidR="000E7BD3" w:rsidRPr="000E7BD3" w14:paraId="30D2721D" w14:textId="77777777" w:rsidTr="000E7BD3">
        <w:trPr>
          <w:trHeight w:val="255"/>
          <w:jc w:val="center"/>
        </w:trPr>
        <w:tc>
          <w:tcPr>
            <w:tcW w:w="2556" w:type="dxa"/>
            <w:tcBorders>
              <w:top w:val="nil"/>
              <w:left w:val="single" w:sz="8" w:space="0" w:color="auto"/>
              <w:bottom w:val="single" w:sz="4" w:space="0" w:color="auto"/>
              <w:right w:val="nil"/>
            </w:tcBorders>
            <w:shd w:val="clear" w:color="auto" w:fill="auto"/>
            <w:noWrap/>
            <w:vAlign w:val="bottom"/>
            <w:hideMark/>
          </w:tcPr>
          <w:p w14:paraId="2A87F757" w14:textId="77777777" w:rsidR="000E7BD3" w:rsidRPr="000E7BD3" w:rsidRDefault="000E7BD3" w:rsidP="000E7BD3">
            <w:pPr>
              <w:spacing w:after="0" w:line="240" w:lineRule="auto"/>
              <w:ind w:firstLine="0"/>
              <w:contextualSpacing w:val="0"/>
              <w:jc w:val="left"/>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ft2</w:t>
            </w:r>
          </w:p>
        </w:tc>
        <w:tc>
          <w:tcPr>
            <w:tcW w:w="1163" w:type="dxa"/>
            <w:tcBorders>
              <w:top w:val="single" w:sz="4" w:space="0" w:color="auto"/>
              <w:left w:val="single" w:sz="8" w:space="0" w:color="auto"/>
              <w:bottom w:val="single" w:sz="4" w:space="0" w:color="auto"/>
              <w:right w:val="single" w:sz="4" w:space="0" w:color="auto"/>
            </w:tcBorders>
            <w:shd w:val="clear" w:color="000000" w:fill="D8E4BC"/>
            <w:noWrap/>
            <w:vAlign w:val="bottom"/>
            <w:hideMark/>
          </w:tcPr>
          <w:p w14:paraId="3D28971A"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0,005</w:t>
            </w:r>
          </w:p>
        </w:tc>
        <w:tc>
          <w:tcPr>
            <w:tcW w:w="1013" w:type="dxa"/>
            <w:tcBorders>
              <w:top w:val="nil"/>
              <w:left w:val="nil"/>
              <w:bottom w:val="single" w:sz="4" w:space="0" w:color="auto"/>
              <w:right w:val="single" w:sz="8" w:space="0" w:color="auto"/>
            </w:tcBorders>
            <w:shd w:val="clear" w:color="auto" w:fill="auto"/>
            <w:noWrap/>
            <w:vAlign w:val="bottom"/>
            <w:hideMark/>
          </w:tcPr>
          <w:p w14:paraId="593999C2"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37,081</w:t>
            </w:r>
          </w:p>
        </w:tc>
        <w:tc>
          <w:tcPr>
            <w:tcW w:w="1102" w:type="dxa"/>
            <w:tcBorders>
              <w:top w:val="single" w:sz="4" w:space="0" w:color="auto"/>
              <w:left w:val="single" w:sz="8" w:space="0" w:color="auto"/>
              <w:bottom w:val="single" w:sz="4" w:space="0" w:color="auto"/>
              <w:right w:val="single" w:sz="4" w:space="0" w:color="auto"/>
            </w:tcBorders>
            <w:shd w:val="clear" w:color="000000" w:fill="FFC7CE"/>
            <w:noWrap/>
            <w:vAlign w:val="bottom"/>
            <w:hideMark/>
          </w:tcPr>
          <w:p w14:paraId="11CC951A"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0,253</w:t>
            </w:r>
          </w:p>
        </w:tc>
        <w:tc>
          <w:tcPr>
            <w:tcW w:w="1074" w:type="dxa"/>
            <w:tcBorders>
              <w:top w:val="nil"/>
              <w:left w:val="nil"/>
              <w:bottom w:val="single" w:sz="4" w:space="0" w:color="auto"/>
              <w:right w:val="single" w:sz="8" w:space="0" w:color="auto"/>
            </w:tcBorders>
            <w:shd w:val="clear" w:color="auto" w:fill="auto"/>
            <w:noWrap/>
            <w:vAlign w:val="bottom"/>
            <w:hideMark/>
          </w:tcPr>
          <w:p w14:paraId="7080AFF4"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19,045</w:t>
            </w:r>
          </w:p>
        </w:tc>
        <w:tc>
          <w:tcPr>
            <w:tcW w:w="1196" w:type="dxa"/>
            <w:tcBorders>
              <w:top w:val="single" w:sz="4" w:space="0" w:color="auto"/>
              <w:left w:val="single" w:sz="8" w:space="0" w:color="auto"/>
              <w:bottom w:val="single" w:sz="4" w:space="0" w:color="auto"/>
              <w:right w:val="single" w:sz="4" w:space="0" w:color="auto"/>
            </w:tcBorders>
            <w:shd w:val="clear" w:color="000000" w:fill="FFC7CE"/>
            <w:noWrap/>
            <w:vAlign w:val="bottom"/>
            <w:hideMark/>
          </w:tcPr>
          <w:p w14:paraId="13EB159C"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0,66</w:t>
            </w:r>
          </w:p>
        </w:tc>
        <w:tc>
          <w:tcPr>
            <w:tcW w:w="980" w:type="dxa"/>
            <w:tcBorders>
              <w:top w:val="nil"/>
              <w:left w:val="nil"/>
              <w:bottom w:val="single" w:sz="4" w:space="0" w:color="auto"/>
              <w:right w:val="single" w:sz="8" w:space="0" w:color="auto"/>
            </w:tcBorders>
            <w:shd w:val="clear" w:color="auto" w:fill="auto"/>
            <w:noWrap/>
            <w:vAlign w:val="bottom"/>
            <w:hideMark/>
          </w:tcPr>
          <w:p w14:paraId="3CA8BFCA"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5,363</w:t>
            </w:r>
          </w:p>
        </w:tc>
      </w:tr>
      <w:tr w:rsidR="000E7BD3" w:rsidRPr="000E7BD3" w14:paraId="771AC3BC" w14:textId="77777777" w:rsidTr="000E7BD3">
        <w:trPr>
          <w:trHeight w:val="270"/>
          <w:jc w:val="center"/>
        </w:trPr>
        <w:tc>
          <w:tcPr>
            <w:tcW w:w="2556" w:type="dxa"/>
            <w:tcBorders>
              <w:top w:val="nil"/>
              <w:left w:val="single" w:sz="8" w:space="0" w:color="auto"/>
              <w:bottom w:val="single" w:sz="8" w:space="0" w:color="auto"/>
              <w:right w:val="nil"/>
            </w:tcBorders>
            <w:shd w:val="clear" w:color="auto" w:fill="auto"/>
            <w:noWrap/>
            <w:vAlign w:val="bottom"/>
            <w:hideMark/>
          </w:tcPr>
          <w:p w14:paraId="14709230" w14:textId="782A7A0F" w:rsidR="000E7BD3" w:rsidRPr="000E7BD3" w:rsidRDefault="000E7BD3" w:rsidP="000E7BD3">
            <w:pPr>
              <w:spacing w:after="0" w:line="240" w:lineRule="auto"/>
              <w:ind w:firstLine="0"/>
              <w:contextualSpacing w:val="0"/>
              <w:jc w:val="left"/>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Constant</w:t>
            </w:r>
          </w:p>
        </w:tc>
        <w:tc>
          <w:tcPr>
            <w:tcW w:w="1163" w:type="dxa"/>
            <w:tcBorders>
              <w:top w:val="single" w:sz="4" w:space="0" w:color="auto"/>
              <w:left w:val="single" w:sz="8" w:space="0" w:color="auto"/>
              <w:bottom w:val="single" w:sz="8" w:space="0" w:color="auto"/>
              <w:right w:val="single" w:sz="4" w:space="0" w:color="auto"/>
            </w:tcBorders>
            <w:shd w:val="clear" w:color="000000" w:fill="FFC7CE"/>
            <w:noWrap/>
            <w:vAlign w:val="bottom"/>
            <w:hideMark/>
          </w:tcPr>
          <w:p w14:paraId="3DA4F223"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0,152</w:t>
            </w:r>
          </w:p>
        </w:tc>
        <w:tc>
          <w:tcPr>
            <w:tcW w:w="1013" w:type="dxa"/>
            <w:tcBorders>
              <w:top w:val="nil"/>
              <w:left w:val="nil"/>
              <w:bottom w:val="single" w:sz="8" w:space="0" w:color="auto"/>
              <w:right w:val="single" w:sz="8" w:space="0" w:color="auto"/>
            </w:tcBorders>
            <w:shd w:val="clear" w:color="auto" w:fill="auto"/>
            <w:noWrap/>
            <w:vAlign w:val="bottom"/>
            <w:hideMark/>
          </w:tcPr>
          <w:p w14:paraId="7BE9F31E"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47,857</w:t>
            </w:r>
          </w:p>
        </w:tc>
        <w:tc>
          <w:tcPr>
            <w:tcW w:w="1102" w:type="dxa"/>
            <w:tcBorders>
              <w:top w:val="single" w:sz="4" w:space="0" w:color="auto"/>
              <w:left w:val="single" w:sz="8" w:space="0" w:color="auto"/>
              <w:bottom w:val="single" w:sz="8" w:space="0" w:color="auto"/>
              <w:right w:val="single" w:sz="4" w:space="0" w:color="auto"/>
            </w:tcBorders>
            <w:shd w:val="clear" w:color="000000" w:fill="FFC7CE"/>
            <w:noWrap/>
            <w:vAlign w:val="bottom"/>
            <w:hideMark/>
          </w:tcPr>
          <w:p w14:paraId="5920ADE6"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0,798</w:t>
            </w:r>
          </w:p>
        </w:tc>
        <w:tc>
          <w:tcPr>
            <w:tcW w:w="1074" w:type="dxa"/>
            <w:tcBorders>
              <w:top w:val="nil"/>
              <w:left w:val="nil"/>
              <w:bottom w:val="single" w:sz="8" w:space="0" w:color="auto"/>
              <w:right w:val="single" w:sz="8" w:space="0" w:color="auto"/>
            </w:tcBorders>
            <w:shd w:val="clear" w:color="auto" w:fill="auto"/>
            <w:noWrap/>
            <w:vAlign w:val="bottom"/>
            <w:hideMark/>
          </w:tcPr>
          <w:p w14:paraId="55BC2EE3"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-10,632</w:t>
            </w:r>
          </w:p>
        </w:tc>
        <w:tc>
          <w:tcPr>
            <w:tcW w:w="1196" w:type="dxa"/>
            <w:tcBorders>
              <w:top w:val="single" w:sz="4" w:space="0" w:color="auto"/>
              <w:left w:val="single" w:sz="8" w:space="0" w:color="auto"/>
              <w:bottom w:val="single" w:sz="8" w:space="0" w:color="auto"/>
              <w:right w:val="single" w:sz="4" w:space="0" w:color="auto"/>
            </w:tcBorders>
            <w:shd w:val="clear" w:color="000000" w:fill="FFC7CE"/>
            <w:noWrap/>
            <w:vAlign w:val="bottom"/>
            <w:hideMark/>
          </w:tcPr>
          <w:p w14:paraId="2F5FAE9B"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0,949</w:t>
            </w:r>
          </w:p>
        </w:tc>
        <w:tc>
          <w:tcPr>
            <w:tcW w:w="980" w:type="dxa"/>
            <w:tcBorders>
              <w:top w:val="nil"/>
              <w:left w:val="nil"/>
              <w:bottom w:val="single" w:sz="8" w:space="0" w:color="auto"/>
              <w:right w:val="single" w:sz="8" w:space="0" w:color="auto"/>
            </w:tcBorders>
            <w:shd w:val="clear" w:color="auto" w:fill="auto"/>
            <w:noWrap/>
            <w:vAlign w:val="bottom"/>
            <w:hideMark/>
          </w:tcPr>
          <w:p w14:paraId="04BA389E" w14:textId="77777777" w:rsidR="000E7BD3" w:rsidRPr="000E7BD3" w:rsidRDefault="000E7BD3" w:rsidP="000E7BD3">
            <w:pPr>
              <w:spacing w:after="0" w:line="240" w:lineRule="auto"/>
              <w:ind w:firstLine="0"/>
              <w:contextualSpacing w:val="0"/>
              <w:jc w:val="center"/>
              <w:rPr>
                <w:rFonts w:eastAsia="Times New Roman" w:cs="Times New Roman"/>
                <w:color w:val="000000"/>
                <w:sz w:val="20"/>
                <w:szCs w:val="20"/>
                <w:lang w:val="ru-RU" w:eastAsia="ru-RU"/>
              </w:rPr>
            </w:pPr>
            <w:r w:rsidRPr="000E7BD3">
              <w:rPr>
                <w:rFonts w:eastAsia="Times New Roman" w:cs="Times New Roman"/>
                <w:color w:val="000000"/>
                <w:sz w:val="20"/>
                <w:szCs w:val="20"/>
                <w:lang w:val="ru-RU" w:eastAsia="ru-RU"/>
              </w:rPr>
              <w:t>2,241</w:t>
            </w:r>
          </w:p>
        </w:tc>
      </w:tr>
    </w:tbl>
    <w:p w14:paraId="564B7C7F" w14:textId="77777777" w:rsidR="004D2A38" w:rsidRDefault="004D2A38" w:rsidP="004D2A38">
      <w:pPr>
        <w:tabs>
          <w:tab w:val="left" w:pos="0"/>
        </w:tabs>
      </w:pPr>
    </w:p>
    <w:p w14:paraId="0F5F08CB" w14:textId="3983EDAC" w:rsidR="00641A85" w:rsidRDefault="000E7BD3" w:rsidP="000E7BD3">
      <w:r>
        <w:t xml:space="preserve">Right from the beginning we can easily spot the results for the Working capital deficit estimation. It is curious that for time period T+1 the coefficient is statistically significant at 10% confidence level. Moreover, quadratic term shows even lower p-value and is also shows that there is non-linear relationship between Working capital deficit and the </w:t>
      </w:r>
      <w:r w:rsidR="00292320">
        <w:t xml:space="preserve">Change in Tobin’s Q ratio. At the same time none of the results for WCD and WCD are statistically significant for the middle-term and long-term horizon. This lead to the conclusion that even the significance at the </w:t>
      </w:r>
      <w:r w:rsidR="00EB1D3C">
        <w:t>first-time</w:t>
      </w:r>
      <w:r w:rsidR="00292320">
        <w:t xml:space="preserve"> period of </w:t>
      </w:r>
      <w:r w:rsidR="00292320">
        <w:lastRenderedPageBreak/>
        <w:t xml:space="preserve">T+1 might be a random result. Nevertheless, in my opinion, obtained results have severe limitations and cannot be interpreted accurately until the much greater data sample is tested. Indeed, it is very crucial to apply these model to a bigger result, since such ambiguous results may be just an error. </w:t>
      </w:r>
    </w:p>
    <w:p w14:paraId="57A1DCC7" w14:textId="77777777" w:rsidR="003A796E" w:rsidRDefault="00EB1D3C" w:rsidP="000E7BD3">
      <w:r>
        <w:t>On the other hand, traditional control variables again showed its steady significance in interpreting the change in company performance in terms of the CTQ. Leverage ratio, GDP growth and Oil prices changes have proven that they indeed bring some sort of the influence onto the companies involved in the mergers and acquisitions in the oil &amp; gas industry. Still the coefficients might not be treated easily. They still change their pattern from one period of time to another</w:t>
      </w:r>
      <w:r w:rsidR="003A796E">
        <w:t xml:space="preserve"> and this behavior should be studied separately. </w:t>
      </w:r>
    </w:p>
    <w:p w14:paraId="1541BE92" w14:textId="6CFF2231" w:rsidR="00EB1D3C" w:rsidRPr="00AF2C07" w:rsidRDefault="003A796E" w:rsidP="000E7BD3">
      <w:r>
        <w:t>And not surprisingly for now, the traditional M&amp;A control variables showed no evidence of the significance in terms of company performance. Actually, all the results copy the results of the previous research since the model itself is almost the same. To further have a look at the graphical representation of the main tested variables, look at the scatter-plot expressed on the</w:t>
      </w:r>
      <w:r w:rsidR="003F4F93">
        <w:t xml:space="preserve"> </w:t>
      </w:r>
      <w:r w:rsidR="003F4F93">
        <w:rPr>
          <w:highlight w:val="yellow"/>
        </w:rPr>
        <w:fldChar w:fldCharType="begin"/>
      </w:r>
      <w:r w:rsidR="003F4F93">
        <w:instrText xml:space="preserve"> REF _Ref514634832 \r \h </w:instrText>
      </w:r>
      <w:r w:rsidR="003F4F93">
        <w:rPr>
          <w:highlight w:val="yellow"/>
        </w:rPr>
      </w:r>
      <w:r w:rsidR="003F4F93">
        <w:rPr>
          <w:highlight w:val="yellow"/>
        </w:rPr>
        <w:fldChar w:fldCharType="separate"/>
      </w:r>
      <w:r w:rsidR="00154E78">
        <w:t>Figure 4</w:t>
      </w:r>
      <w:r w:rsidR="003F4F93">
        <w:rPr>
          <w:highlight w:val="yellow"/>
        </w:rPr>
        <w:fldChar w:fldCharType="end"/>
      </w:r>
      <w:r>
        <w:t>.</w:t>
      </w:r>
    </w:p>
    <w:p w14:paraId="452DD394" w14:textId="2CC26A89" w:rsidR="00996E9E" w:rsidRDefault="003A796E" w:rsidP="003A796E">
      <w:pPr>
        <w:tabs>
          <w:tab w:val="left" w:pos="0"/>
        </w:tabs>
        <w:jc w:val="center"/>
      </w:pPr>
      <w:r w:rsidRPr="003A796E">
        <w:rPr>
          <w:noProof/>
          <w:lang w:val="ru-RU" w:eastAsia="ru-RU"/>
        </w:rPr>
        <w:drawing>
          <wp:inline distT="0" distB="0" distL="0" distR="0" wp14:anchorId="775DFC63" wp14:editId="3E403807">
            <wp:extent cx="2340864" cy="1714657"/>
            <wp:effectExtent l="0" t="0" r="254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9551" cy="1721020"/>
                    </a:xfrm>
                    <a:prstGeom prst="rect">
                      <a:avLst/>
                    </a:prstGeom>
                    <a:noFill/>
                    <a:ln>
                      <a:noFill/>
                    </a:ln>
                  </pic:spPr>
                </pic:pic>
              </a:graphicData>
            </a:graphic>
          </wp:inline>
        </w:drawing>
      </w:r>
      <w:r w:rsidRPr="003A796E">
        <w:rPr>
          <w:noProof/>
          <w:lang w:val="ru-RU" w:eastAsia="ru-RU"/>
        </w:rPr>
        <w:drawing>
          <wp:inline distT="0" distB="0" distL="0" distR="0" wp14:anchorId="310AAC8B" wp14:editId="480EFDF2">
            <wp:extent cx="2530399" cy="1853489"/>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1459" cy="1876240"/>
                    </a:xfrm>
                    <a:prstGeom prst="rect">
                      <a:avLst/>
                    </a:prstGeom>
                    <a:noFill/>
                    <a:ln>
                      <a:noFill/>
                    </a:ln>
                  </pic:spPr>
                </pic:pic>
              </a:graphicData>
            </a:graphic>
          </wp:inline>
        </w:drawing>
      </w:r>
      <w:r w:rsidRPr="003A796E">
        <w:t xml:space="preserve"> </w:t>
      </w:r>
      <w:r w:rsidRPr="003A796E">
        <w:rPr>
          <w:noProof/>
          <w:lang w:val="ru-RU" w:eastAsia="ru-RU"/>
        </w:rPr>
        <w:drawing>
          <wp:inline distT="0" distB="0" distL="0" distR="0" wp14:anchorId="51F9BBAA" wp14:editId="1A5FBB94">
            <wp:extent cx="2201875" cy="1612849"/>
            <wp:effectExtent l="0" t="0" r="8255"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4068" cy="1621780"/>
                    </a:xfrm>
                    <a:prstGeom prst="rect">
                      <a:avLst/>
                    </a:prstGeom>
                    <a:noFill/>
                    <a:ln>
                      <a:noFill/>
                    </a:ln>
                  </pic:spPr>
                </pic:pic>
              </a:graphicData>
            </a:graphic>
          </wp:inline>
        </w:drawing>
      </w:r>
    </w:p>
    <w:p w14:paraId="42D94792" w14:textId="67EC03B5" w:rsidR="00485F0E" w:rsidRDefault="003A796E" w:rsidP="00541F0C">
      <w:pPr>
        <w:pStyle w:val="a"/>
        <w:spacing w:after="0"/>
      </w:pPr>
      <w:bookmarkStart w:id="39" w:name="_Ref514634832"/>
      <w:r>
        <w:t>Scatter plots of WCD relationship to CTQ</w:t>
      </w:r>
      <w:bookmarkEnd w:id="39"/>
    </w:p>
    <w:p w14:paraId="6457196F" w14:textId="5D67476A" w:rsidR="00541F0C" w:rsidRPr="00541F0C" w:rsidRDefault="00541F0C" w:rsidP="00541F0C">
      <w:pPr>
        <w:ind w:firstLine="0"/>
        <w:jc w:val="center"/>
        <w:rPr>
          <w:sz w:val="20"/>
        </w:rPr>
      </w:pPr>
      <w:r w:rsidRPr="00541F0C">
        <w:rPr>
          <w:sz w:val="20"/>
        </w:rPr>
        <w:t>Source: author’s calculations</w:t>
      </w:r>
    </w:p>
    <w:p w14:paraId="063D447F" w14:textId="19CBE853" w:rsidR="00B15C88" w:rsidRPr="00E249F5" w:rsidRDefault="003E6FFF" w:rsidP="00B15C88">
      <w:r>
        <w:t xml:space="preserve">We started our research methodology specification from the identifying key Hypotheses to be tested further. And according to the obtained results we have to reject the Hypotheses 3. This means that we did not find strong evidence that there is significant relationship between the company performance and the obtained optimal working capital ratio. This basically means also that we cannot </w:t>
      </w:r>
      <w:r>
        <w:lastRenderedPageBreak/>
        <w:t>identify a universal optimal level of working capital. All the companies should treat itself according to the specific situation. However, it is still very important, and it was proven earlier that the working capital structure still has significant influence on the company performance engaging in the M&amp;A transactions. Thus, this indicator should be treated accordingly and considered by the management at all times.</w:t>
      </w:r>
      <w:r w:rsidR="00B15C88">
        <w:t xml:space="preserve"> </w:t>
      </w:r>
    </w:p>
    <w:p w14:paraId="7315E344" w14:textId="77777777" w:rsidR="00485F0E" w:rsidRDefault="00485F0E" w:rsidP="004D2A38">
      <w:pPr>
        <w:tabs>
          <w:tab w:val="left" w:pos="0"/>
        </w:tabs>
      </w:pPr>
    </w:p>
    <w:p w14:paraId="06F3B04E" w14:textId="7513E93E" w:rsidR="00CA24C6" w:rsidRDefault="00AB7F1C" w:rsidP="004D2A38">
      <w:pPr>
        <w:pStyle w:val="2"/>
        <w:tabs>
          <w:tab w:val="left" w:pos="0"/>
        </w:tabs>
      </w:pPr>
      <w:bookmarkStart w:id="40" w:name="_Toc514964139"/>
      <w:r>
        <w:t>Managerial implications</w:t>
      </w:r>
      <w:bookmarkEnd w:id="40"/>
    </w:p>
    <w:p w14:paraId="17E7D97A" w14:textId="63426395" w:rsidR="00AB7F1C" w:rsidRDefault="00AB7F1C" w:rsidP="004D2A38">
      <w:pPr>
        <w:tabs>
          <w:tab w:val="left" w:pos="0"/>
        </w:tabs>
      </w:pPr>
      <w:r>
        <w:t xml:space="preserve">The paper is focused on deriving the relationship between working capital structure and corporate performance in the M&amp;A transactions. So far, the results of the research suggest several key takeaways that might </w:t>
      </w:r>
      <w:r w:rsidR="0069788C">
        <w:t xml:space="preserve">be </w:t>
      </w:r>
      <w:r>
        <w:t xml:space="preserve">useful for managers that engage in the M&amp;A activity even before the deal execution. First of all, working capital </w:t>
      </w:r>
      <w:r w:rsidR="0069788C">
        <w:t xml:space="preserve">structure </w:t>
      </w:r>
      <w:r>
        <w:t xml:space="preserve">does have some influence on the merging firms at the immediate, middle and long-run perspectives.  Nevertheless, while working capital </w:t>
      </w:r>
      <w:r w:rsidR="0069788C">
        <w:t>structure</w:t>
      </w:r>
      <w:r>
        <w:t xml:space="preserve"> may cause its impact </w:t>
      </w:r>
      <w:r w:rsidR="0069788C">
        <w:t>at all of the periods in time from short- to the long-run</w:t>
      </w:r>
      <w:r>
        <w:t xml:space="preserve"> according to the empirical results, Working Capital Deficit showed us </w:t>
      </w:r>
      <w:r w:rsidR="0069788C">
        <w:t>that the model of the optimal working capital amount cannot be used to determine the most efficient working capital structure prior and during the M&amp;A deal execution.</w:t>
      </w:r>
      <w:r w:rsidR="00F13516">
        <w:t xml:space="preserve"> </w:t>
      </w:r>
    </w:p>
    <w:p w14:paraId="6C96E791" w14:textId="44AC3D87" w:rsidR="00F13516" w:rsidRDefault="00F13516" w:rsidP="004D2A38">
      <w:pPr>
        <w:tabs>
          <w:tab w:val="left" w:pos="0"/>
        </w:tabs>
      </w:pPr>
      <w:r>
        <w:t xml:space="preserve">Therefore, the main managerial implications of the paper should be the fact that even though the effect of working capital was not well-studied in accordance with M&amp;A practice managers still have to give closer attention to the working capital structure. Using the defined metrics, the target ratios could be found and used to manipulate the capital structure in order to maximize the corporate value in perspective. </w:t>
      </w:r>
    </w:p>
    <w:p w14:paraId="1EC1339F" w14:textId="3E57C802" w:rsidR="00F13516" w:rsidRDefault="00F13516" w:rsidP="004D2A38">
      <w:pPr>
        <w:tabs>
          <w:tab w:val="left" w:pos="0"/>
        </w:tabs>
      </w:pPr>
      <w:r>
        <w:t xml:space="preserve">Besides, </w:t>
      </w:r>
      <w:r w:rsidR="0069788C">
        <w:t>since</w:t>
      </w:r>
      <w:r>
        <w:t xml:space="preserve"> current ratio adjustments </w:t>
      </w:r>
      <w:r w:rsidR="0069788C">
        <w:t>have</w:t>
      </w:r>
      <w:r>
        <w:t xml:space="preserve"> significant </w:t>
      </w:r>
      <w:r w:rsidR="0069788C">
        <w:t xml:space="preserve">impact onto the company performance </w:t>
      </w:r>
      <w:r>
        <w:t xml:space="preserve">in the long-run, managers can bring additional value </w:t>
      </w:r>
      <w:r w:rsidR="00C17039">
        <w:t xml:space="preserve">by minimizing the current ratios after the deal. This will lead to a higher productivity of the assets and higher values. However, management should be cautious about such practice since it might bring additional financial and non-financial risks for the company. </w:t>
      </w:r>
    </w:p>
    <w:p w14:paraId="2D8B0141" w14:textId="4D10D8F4" w:rsidR="00C17039" w:rsidRDefault="00C17039" w:rsidP="004D2A38">
      <w:pPr>
        <w:tabs>
          <w:tab w:val="left" w:pos="0"/>
        </w:tabs>
      </w:pPr>
      <w:r>
        <w:t xml:space="preserve">On the other side from the management, there are other sides of financial sector – shareholders, creditors, bondholders and others. This paper might have positive implication for all of these groups. By predicting the possible influence of capital management these parties can maximize their welfare and prevent from investing into poorly managed firm from the working capital perspective or, on the opposite, motivate to invest into successful firms. </w:t>
      </w:r>
    </w:p>
    <w:p w14:paraId="1A5FF37E" w14:textId="0CD7D73D" w:rsidR="00FC12E1" w:rsidRDefault="00FC12E1" w:rsidP="004D2A38">
      <w:pPr>
        <w:tabs>
          <w:tab w:val="left" w:pos="0"/>
        </w:tabs>
      </w:pPr>
      <w:r>
        <w:lastRenderedPageBreak/>
        <w:t xml:space="preserve">And one more possible implication that actually can be applied to all of the sides of the M&amp;A deals and even outside investors, is that taking working capital structure into consideration </w:t>
      </w:r>
      <w:r w:rsidR="00E91FD2">
        <w:t>all the parties will be able to minimize mistakes of M&amp;A valuation and obtain higher personal performance.</w:t>
      </w:r>
    </w:p>
    <w:p w14:paraId="164FD976" w14:textId="593C1976" w:rsidR="00FD0250" w:rsidRDefault="00FD0250" w:rsidP="004D2A38">
      <w:pPr>
        <w:pStyle w:val="2"/>
        <w:tabs>
          <w:tab w:val="left" w:pos="0"/>
        </w:tabs>
      </w:pPr>
      <w:bookmarkStart w:id="41" w:name="_Toc514964140"/>
      <w:r>
        <w:t>Research limitations</w:t>
      </w:r>
      <w:bookmarkEnd w:id="41"/>
      <w:r>
        <w:t xml:space="preserve"> </w:t>
      </w:r>
    </w:p>
    <w:p w14:paraId="71A99769" w14:textId="585FEF38" w:rsidR="00FD0250" w:rsidRDefault="00FD0250" w:rsidP="004D2A38">
      <w:pPr>
        <w:tabs>
          <w:tab w:val="left" w:pos="0"/>
        </w:tabs>
      </w:pPr>
      <w:r>
        <w:t xml:space="preserve">This paper has several limitations that </w:t>
      </w:r>
      <w:r w:rsidR="001A0B79">
        <w:t>restrain</w:t>
      </w:r>
      <w:r>
        <w:t xml:space="preserve"> the explanation results mentioned previously. </w:t>
      </w:r>
      <w:r w:rsidR="001A0B79">
        <w:t xml:space="preserve">There are qualitative and quantitative limitations. </w:t>
      </w:r>
    </w:p>
    <w:p w14:paraId="73692EB4" w14:textId="6211CF91" w:rsidR="001A0B79" w:rsidRDefault="001A0B79" w:rsidP="004D2A38">
      <w:pPr>
        <w:tabs>
          <w:tab w:val="left" w:pos="0"/>
        </w:tabs>
      </w:pPr>
      <w:r w:rsidRPr="001A0B79">
        <w:rPr>
          <w:i/>
        </w:rPr>
        <w:t>Quantitative limitations</w:t>
      </w:r>
      <w:r>
        <w:t xml:space="preserve">. First of all, the data set of the firms might be not enough to capture all the effects and build the most precise model for the further managerial usage. The number of observations is only 124 for each of the periods. </w:t>
      </w:r>
    </w:p>
    <w:p w14:paraId="6054E5A2" w14:textId="037263A2" w:rsidR="001A0B79" w:rsidRDefault="001A0B79" w:rsidP="004D2A38">
      <w:pPr>
        <w:tabs>
          <w:tab w:val="left" w:pos="0"/>
        </w:tabs>
      </w:pPr>
      <w:r>
        <w:t xml:space="preserve">Second of all, the factors that were taken for the model are used from the literature and were estimated before. And here </w:t>
      </w:r>
      <w:r w:rsidR="00BB265D">
        <w:t>arise</w:t>
      </w:r>
      <w:r>
        <w:t xml:space="preserve"> two possible problems. Firstly, there might some other important factors that were not yet considered. Including other significant factors will increase the explanatory power of the model and will make it much more precise. Secondly, the factors th</w:t>
      </w:r>
      <w:r w:rsidR="00BB265D">
        <w:t>at</w:t>
      </w:r>
      <w:r>
        <w:t xml:space="preserve"> were significant in the past or for the one type of the data set, might have other </w:t>
      </w:r>
      <w:r w:rsidR="00A171A6">
        <w:t xml:space="preserve">value in the dataset that was used in this paper. </w:t>
      </w:r>
    </w:p>
    <w:p w14:paraId="12CD14E9" w14:textId="7D486BE1" w:rsidR="00E8571B" w:rsidRDefault="00A171A6" w:rsidP="004D2A38">
      <w:pPr>
        <w:tabs>
          <w:tab w:val="left" w:pos="0"/>
        </w:tabs>
      </w:pPr>
      <w:r w:rsidRPr="00A171A6">
        <w:rPr>
          <w:i/>
        </w:rPr>
        <w:t>Qualitative limitations</w:t>
      </w:r>
      <w:r>
        <w:t xml:space="preserve">. </w:t>
      </w:r>
      <w:r w:rsidR="00BB265D">
        <w:t>The data set that was used in this paper includes only oil &amp; gas companies, thus minimizing the managerial utility power to the similar types of companies. Even if the relationship between other types of companies still exist</w:t>
      </w:r>
      <w:r w:rsidR="00E8571B">
        <w:t>,</w:t>
      </w:r>
      <w:r w:rsidR="00BB265D">
        <w:t xml:space="preserve"> the precise model will be completely changed, because the working capital management discipline differs substantially from one type of the company to another. </w:t>
      </w:r>
      <w:r w:rsidR="00E8571B">
        <w:t xml:space="preserve">Besides, the data set of the paper is taken from all over the world. That is why the research results are spread between all the companies used in it and cannot be attributed to the one exact country mechanically. </w:t>
      </w:r>
    </w:p>
    <w:p w14:paraId="5E5F888E" w14:textId="49EF181B" w:rsidR="00492915" w:rsidRDefault="00E8571B" w:rsidP="004D2A38">
      <w:pPr>
        <w:tabs>
          <w:tab w:val="left" w:pos="0"/>
        </w:tabs>
      </w:pPr>
      <w:r>
        <w:t>Besides, the environment changes around constantly, but the model that was produced is fixed in time. It should be adjusted permanently to stay up to date all the time. And another limitation from up to date perspective is retrospective pattern of the research. In order to estimate long-run influence we were forced to use the data no younger than 2012 year. That is why the real model may be slightly different due to the above mentioned already constantly changeable environment.</w:t>
      </w:r>
    </w:p>
    <w:p w14:paraId="747CB2B3" w14:textId="77777777" w:rsidR="00492915" w:rsidRDefault="00492915">
      <w:pPr>
        <w:spacing w:after="160" w:line="259" w:lineRule="auto"/>
        <w:ind w:firstLine="0"/>
        <w:contextualSpacing w:val="0"/>
        <w:jc w:val="left"/>
      </w:pPr>
      <w:r>
        <w:br w:type="page"/>
      </w:r>
    </w:p>
    <w:p w14:paraId="05EF5727" w14:textId="66CF2014" w:rsidR="00E8571B" w:rsidRDefault="00492915" w:rsidP="00492915">
      <w:pPr>
        <w:pStyle w:val="1"/>
      </w:pPr>
      <w:bookmarkStart w:id="42" w:name="_Toc514964141"/>
      <w:r>
        <w:lastRenderedPageBreak/>
        <w:t>Conclusion</w:t>
      </w:r>
      <w:bookmarkEnd w:id="42"/>
    </w:p>
    <w:p w14:paraId="330E9966" w14:textId="5BD873CA" w:rsidR="00492915" w:rsidRDefault="00BF5D8B" w:rsidP="00492915">
      <w:r w:rsidRPr="00BF5D8B">
        <w:t xml:space="preserve">The main idea of ​​this </w:t>
      </w:r>
      <w:r w:rsidR="00E249F5">
        <w:t>research paper</w:t>
      </w:r>
      <w:r w:rsidRPr="00BF5D8B">
        <w:t xml:space="preserve"> was to </w:t>
      </w:r>
      <w:r w:rsidR="00E249F5">
        <w:t>identify</w:t>
      </w:r>
      <w:r w:rsidRPr="00BF5D8B">
        <w:t xml:space="preserve"> the dependence of the company's performance in M&amp;A transactions and the working capital structure. During the analysis, modern literature on this topic was analyzed. Unfortunately, at present the working capital structure is not a well-studied topic in mergers and acquisitions transactions and, therefore, there is </w:t>
      </w:r>
      <w:r w:rsidR="00E249F5">
        <w:t>a research gap exists that should be fulfilled</w:t>
      </w:r>
      <w:r w:rsidRPr="00BF5D8B">
        <w:t xml:space="preserve">. In turn, the behavior of companies from the point of view of other indicators and their impact on the company's value in the future </w:t>
      </w:r>
      <w:r w:rsidR="00E249F5">
        <w:t>was</w:t>
      </w:r>
      <w:r w:rsidRPr="00BF5D8B">
        <w:t xml:space="preserve"> studied. In addition, an analysis of the main indicators that the effectiveness of mergers and acquisitions deals is affected</w:t>
      </w:r>
      <w:r w:rsidR="00E249F5" w:rsidRPr="00E249F5">
        <w:t xml:space="preserve"> </w:t>
      </w:r>
      <w:r w:rsidR="00E249F5" w:rsidRPr="00BF5D8B">
        <w:t>was made</w:t>
      </w:r>
      <w:r w:rsidR="00E249F5">
        <w:t>. As the</w:t>
      </w:r>
      <w:r w:rsidRPr="00BF5D8B">
        <w:t xml:space="preserve"> main indicator</w:t>
      </w:r>
      <w:r w:rsidR="00E249F5">
        <w:t xml:space="preserve"> of the company performance</w:t>
      </w:r>
      <w:r w:rsidRPr="00BF5D8B">
        <w:t xml:space="preserve"> Tobin</w:t>
      </w:r>
      <w:r w:rsidR="00E249F5">
        <w:t>’</w:t>
      </w:r>
      <w:r w:rsidRPr="00BF5D8B">
        <w:t>s</w:t>
      </w:r>
      <w:r w:rsidR="00E249F5">
        <w:t xml:space="preserve"> Q</w:t>
      </w:r>
      <w:r w:rsidRPr="00BF5D8B">
        <w:t xml:space="preserve"> was chosen, because it cannot be manipulated by accounting methods and reflects the real market value of the company. As the main variables for analysis</w:t>
      </w:r>
      <w:r w:rsidR="00E249F5">
        <w:t xml:space="preserve"> of</w:t>
      </w:r>
      <w:r w:rsidRPr="00BF5D8B">
        <w:t xml:space="preserve"> the influence of the working capital structur</w:t>
      </w:r>
      <w:r w:rsidR="00E249F5">
        <w:t>e</w:t>
      </w:r>
      <w:r w:rsidRPr="00BF5D8B">
        <w:t xml:space="preserve"> the change in the current </w:t>
      </w:r>
      <w:r w:rsidR="00E249F5">
        <w:t>ratio</w:t>
      </w:r>
      <w:r w:rsidRPr="00BF5D8B">
        <w:t xml:space="preserve"> and the </w:t>
      </w:r>
      <w:r w:rsidR="00E249F5">
        <w:t xml:space="preserve">working capital </w:t>
      </w:r>
      <w:r w:rsidRPr="00BF5D8B">
        <w:t>deficit</w:t>
      </w:r>
      <w:r w:rsidR="00E249F5">
        <w:t xml:space="preserve"> were chosen</w:t>
      </w:r>
      <w:r w:rsidRPr="00BF5D8B">
        <w:t>.</w:t>
      </w:r>
    </w:p>
    <w:p w14:paraId="24991C13" w14:textId="5DFA7638" w:rsidR="004814AC" w:rsidRDefault="00E249F5" w:rsidP="00492915">
      <w:r>
        <w:t xml:space="preserve">In order to </w:t>
      </w:r>
      <w:r w:rsidR="00660013">
        <w:t xml:space="preserve">find the answers for the research question and eventually to solve the research goal four key hypotheses were formulated and further on tested. In order to do that several regression analyses were carried out. The results of the analysis showed quite interesting results and cannot be treated very easily. First of all, Hypotheses 1 was accepted and meant that there is a significant relationship between working capital management and company performance in the M&amp;A deals. </w:t>
      </w:r>
      <w:r w:rsidR="004814AC">
        <w:t xml:space="preserve">At the same time Hypotheses 2 was rejected, because there was no evidence that the relationship between performance and capital structure specified as the non-linear function. Another interesting result of that research showed that previously widely-studied M&amp;A variables such as deal size, financing type and industry similarity also showed no evidence of the influence on the company performance in the mergers and acquisitions. At the same time the introduced control variables of the economic conditions and leverage ratio inside the company also showed some impact on the company performance. </w:t>
      </w:r>
    </w:p>
    <w:p w14:paraId="6C961E81" w14:textId="2B996822" w:rsidR="004814AC" w:rsidRDefault="004814AC" w:rsidP="00492915">
      <w:r>
        <w:t xml:space="preserve">Further on the second part of the analysis was carried out in order to understand if the </w:t>
      </w:r>
      <w:r w:rsidR="00D5650C">
        <w:t>target</w:t>
      </w:r>
      <w:r>
        <w:t xml:space="preserve"> working capital structure actually exists and if it can be used further by managers to increase the performance in mergers and acquisitions. However, the analysis brought us ambiguous results. There is some sort of the relationship between optimal structure of working capital and company performance. Nevertheless, none of the results showed steady influence in the long-run. </w:t>
      </w:r>
      <w:r w:rsidR="004963E0">
        <w:t>The conclusion here is that the optimal level model should be revised and should not be based solely on the industry specific variables that influence working capital structure. Actually, working capita</w:t>
      </w:r>
      <w:r w:rsidR="00CC1D40">
        <w:t>l</w:t>
      </w:r>
      <w:r w:rsidR="004963E0">
        <w:t xml:space="preserve"> </w:t>
      </w:r>
      <w:r w:rsidR="004963E0">
        <w:lastRenderedPageBreak/>
        <w:t xml:space="preserve">management should </w:t>
      </w:r>
      <w:r w:rsidR="00CC1D40">
        <w:t xml:space="preserve">be </w:t>
      </w:r>
      <w:r w:rsidR="004963E0">
        <w:t xml:space="preserve">very adaptable to any kind of situation and M&amp;A transaction is one of such a situation. </w:t>
      </w:r>
      <w:r>
        <w:t xml:space="preserve"> </w:t>
      </w:r>
    </w:p>
    <w:p w14:paraId="19DEF73C" w14:textId="36E35D38" w:rsidR="00E249F5" w:rsidRPr="00492915" w:rsidRDefault="004814AC" w:rsidP="00492915">
      <w:r>
        <w:t>Based on the obtained results, it has to be said</w:t>
      </w:r>
      <w:r w:rsidR="004963E0">
        <w:t xml:space="preserve"> even though the theme of the working capital management in mergers and acquisitions is yet poorly studied in the modern business literature, it has to be treated appropriately by the managers. Those who ignore this preposition risk to obtain lower performance or even get into financial troubles. I hope that this research will make such kind of an influence on the managers minds and also that this research will be continued and expanded further onto different industries, other variables tested and so on. </w:t>
      </w:r>
    </w:p>
    <w:p w14:paraId="0C4B6B6E" w14:textId="77777777" w:rsidR="00E93D7C" w:rsidRDefault="00E93D7C" w:rsidP="004D2A38">
      <w:pPr>
        <w:tabs>
          <w:tab w:val="left" w:pos="0"/>
        </w:tabs>
        <w:spacing w:after="160" w:line="259" w:lineRule="auto"/>
        <w:ind w:firstLine="0"/>
        <w:contextualSpacing w:val="0"/>
        <w:jc w:val="left"/>
        <w:rPr>
          <w:rFonts w:eastAsiaTheme="majorEastAsia" w:cstheme="majorBidi"/>
          <w:b/>
          <w:sz w:val="28"/>
          <w:szCs w:val="32"/>
        </w:rPr>
      </w:pPr>
      <w:r>
        <w:br w:type="page"/>
      </w:r>
    </w:p>
    <w:p w14:paraId="0291A1AC" w14:textId="1627B4AF" w:rsidR="00EE2777" w:rsidRDefault="009666AB" w:rsidP="004D2A38">
      <w:pPr>
        <w:pStyle w:val="1"/>
        <w:numPr>
          <w:ilvl w:val="0"/>
          <w:numId w:val="0"/>
        </w:numPr>
        <w:tabs>
          <w:tab w:val="left" w:pos="0"/>
        </w:tabs>
      </w:pPr>
      <w:bookmarkStart w:id="43" w:name="_Toc514964142"/>
      <w:r>
        <w:lastRenderedPageBreak/>
        <w:t>References</w:t>
      </w:r>
      <w:bookmarkEnd w:id="43"/>
    </w:p>
    <w:p w14:paraId="0A2C6BB8" w14:textId="77777777" w:rsidR="00D66A0A" w:rsidRDefault="00D66A0A" w:rsidP="00D66A0A">
      <w:pPr>
        <w:pStyle w:val="a5"/>
        <w:numPr>
          <w:ilvl w:val="0"/>
          <w:numId w:val="12"/>
        </w:numPr>
        <w:tabs>
          <w:tab w:val="left" w:pos="0"/>
        </w:tabs>
      </w:pPr>
      <w:proofErr w:type="spellStart"/>
      <w:r>
        <w:t>Abbadi</w:t>
      </w:r>
      <w:proofErr w:type="spellEnd"/>
      <w:r>
        <w:t xml:space="preserve">, S. M., &amp; </w:t>
      </w:r>
      <w:proofErr w:type="spellStart"/>
      <w:r>
        <w:t>Abbadi</w:t>
      </w:r>
      <w:proofErr w:type="spellEnd"/>
      <w:r>
        <w:t xml:space="preserve">, R. T. </w:t>
      </w:r>
      <w:r w:rsidRPr="006F18B5">
        <w:t>(</w:t>
      </w:r>
      <w:r>
        <w:t>2013</w:t>
      </w:r>
      <w:r w:rsidRPr="006F18B5">
        <w:t>)</w:t>
      </w:r>
      <w:r>
        <w:t>. The Determinants of Working Capital Requirements in Palestinian Industrial Corporations. International Journal of Economics and Finance, 5(1): 65-75.</w:t>
      </w:r>
    </w:p>
    <w:p w14:paraId="652D1F8C" w14:textId="77777777" w:rsidR="00D66A0A" w:rsidRDefault="00D66A0A" w:rsidP="00D66A0A">
      <w:pPr>
        <w:pStyle w:val="a5"/>
        <w:numPr>
          <w:ilvl w:val="0"/>
          <w:numId w:val="12"/>
        </w:numPr>
        <w:tabs>
          <w:tab w:val="left" w:pos="0"/>
        </w:tabs>
      </w:pPr>
      <w:proofErr w:type="spellStart"/>
      <w:r>
        <w:t>Alexandridis</w:t>
      </w:r>
      <w:proofErr w:type="spellEnd"/>
      <w:r>
        <w:t xml:space="preserve"> G., Fuller K.,</w:t>
      </w:r>
      <w:r>
        <w:rPr>
          <w:rFonts w:cs="Times New Roman"/>
        </w:rPr>
        <w:t xml:space="preserve"> </w:t>
      </w:r>
      <w:proofErr w:type="spellStart"/>
      <w:r>
        <w:t>Terhaar</w:t>
      </w:r>
      <w:proofErr w:type="spellEnd"/>
      <w:r>
        <w:t xml:space="preserve"> L., </w:t>
      </w:r>
      <w:proofErr w:type="spellStart"/>
      <w:r>
        <w:t>Travlos</w:t>
      </w:r>
      <w:proofErr w:type="spellEnd"/>
      <w:r>
        <w:t xml:space="preserve"> N. (2013). Deal size, acquisition premia and shareholder gains. Journal of Corporate Finance 20, 1-13. </w:t>
      </w:r>
    </w:p>
    <w:p w14:paraId="0F20366C" w14:textId="77777777" w:rsidR="00D66A0A" w:rsidRDefault="00D66A0A" w:rsidP="00D66A0A">
      <w:pPr>
        <w:pStyle w:val="a5"/>
        <w:numPr>
          <w:ilvl w:val="0"/>
          <w:numId w:val="12"/>
        </w:numPr>
        <w:tabs>
          <w:tab w:val="left" w:pos="0"/>
        </w:tabs>
      </w:pPr>
      <w:proofErr w:type="spellStart"/>
      <w:r w:rsidRPr="00713768">
        <w:t>Alhenawia</w:t>
      </w:r>
      <w:proofErr w:type="spellEnd"/>
      <w:r>
        <w:t xml:space="preserve"> Y.</w:t>
      </w:r>
      <w:r w:rsidRPr="00713768">
        <w:t xml:space="preserve">, </w:t>
      </w:r>
      <w:proofErr w:type="spellStart"/>
      <w:r w:rsidRPr="00713768">
        <w:t>Krishnaswami</w:t>
      </w:r>
      <w:proofErr w:type="spellEnd"/>
      <w:r>
        <w:t xml:space="preserve"> S. (2015). </w:t>
      </w:r>
      <w:r w:rsidRPr="00713768">
        <w:t>Long-term impact of merger synergies on performance and value</w:t>
      </w:r>
      <w:r>
        <w:t xml:space="preserve">. </w:t>
      </w:r>
      <w:r w:rsidRPr="00713768">
        <w:t>The Quarterly Review of Economics and Finance 58</w:t>
      </w:r>
      <w:r>
        <w:t xml:space="preserve">, </w:t>
      </w:r>
      <w:r w:rsidRPr="00713768">
        <w:t>93–118</w:t>
      </w:r>
      <w:r>
        <w:t>.</w:t>
      </w:r>
    </w:p>
    <w:p w14:paraId="61D48AAD" w14:textId="77777777" w:rsidR="00D66A0A" w:rsidRDefault="00D66A0A" w:rsidP="00D66A0A">
      <w:pPr>
        <w:pStyle w:val="a5"/>
        <w:numPr>
          <w:ilvl w:val="0"/>
          <w:numId w:val="12"/>
        </w:numPr>
        <w:tabs>
          <w:tab w:val="left" w:pos="0"/>
        </w:tabs>
      </w:pPr>
      <w:r>
        <w:t xml:space="preserve">André P., </w:t>
      </w:r>
      <w:proofErr w:type="spellStart"/>
      <w:r>
        <w:t>Kooli</w:t>
      </w:r>
      <w:proofErr w:type="spellEnd"/>
      <w:r>
        <w:t xml:space="preserve"> M. and </w:t>
      </w:r>
      <w:proofErr w:type="spellStart"/>
      <w:r>
        <w:t>L’Her</w:t>
      </w:r>
      <w:proofErr w:type="spellEnd"/>
      <w:r>
        <w:t xml:space="preserve"> J. (2004). The long-run performance of mergers and acquisitions: evidence from the Canadian stock market. Financial Management, Winter 2004, 27–43.</w:t>
      </w:r>
    </w:p>
    <w:p w14:paraId="31D8E697" w14:textId="77777777" w:rsidR="00D66A0A" w:rsidRDefault="00D66A0A" w:rsidP="00D66A0A">
      <w:pPr>
        <w:pStyle w:val="a5"/>
        <w:numPr>
          <w:ilvl w:val="0"/>
          <w:numId w:val="12"/>
        </w:numPr>
        <w:tabs>
          <w:tab w:val="left" w:pos="0"/>
        </w:tabs>
      </w:pPr>
      <w:proofErr w:type="spellStart"/>
      <w:r>
        <w:t>Appuhami</w:t>
      </w:r>
      <w:proofErr w:type="spellEnd"/>
      <w:r>
        <w:t xml:space="preserve"> B. (2008). The Impact of Firms’ Capital Expenditure on Working Capital Management: An Empirical Study across Industries in Thailand. International Management Review, 4(1), 8–21.</w:t>
      </w:r>
    </w:p>
    <w:p w14:paraId="6912FD3A" w14:textId="77777777" w:rsidR="00D66A0A" w:rsidRDefault="00D66A0A" w:rsidP="00D66A0A">
      <w:pPr>
        <w:pStyle w:val="a5"/>
        <w:numPr>
          <w:ilvl w:val="0"/>
          <w:numId w:val="12"/>
        </w:numPr>
        <w:tabs>
          <w:tab w:val="left" w:pos="0"/>
        </w:tabs>
      </w:pPr>
      <w:proofErr w:type="spellStart"/>
      <w:r w:rsidRPr="006759D1">
        <w:t>Baños</w:t>
      </w:r>
      <w:proofErr w:type="spellEnd"/>
      <w:r w:rsidRPr="006759D1">
        <w:t>-Caballero</w:t>
      </w:r>
      <w:r>
        <w:t xml:space="preserve"> S.</w:t>
      </w:r>
      <w:r w:rsidRPr="006759D1">
        <w:t>, García-</w:t>
      </w:r>
      <w:proofErr w:type="spellStart"/>
      <w:r w:rsidRPr="006759D1">
        <w:t>Teruel</w:t>
      </w:r>
      <w:proofErr w:type="spellEnd"/>
      <w:r w:rsidRPr="006759D1">
        <w:t xml:space="preserve"> </w:t>
      </w:r>
      <w:r>
        <w:rPr>
          <w:rFonts w:cs="Times New Roman"/>
        </w:rPr>
        <w:t>P.</w:t>
      </w:r>
      <w:r w:rsidRPr="006759D1">
        <w:t>, Martínez-Solano</w:t>
      </w:r>
      <w:r>
        <w:t xml:space="preserve"> P. (2014). Working capital management, corporate performance, and financial constraints</w:t>
      </w:r>
      <w:r>
        <w:rPr>
          <w:rFonts w:ascii="Segoe UI Symbol" w:hAnsi="Segoe UI Symbol" w:cs="Segoe UI Symbol"/>
        </w:rPr>
        <w:t xml:space="preserve">. </w:t>
      </w:r>
      <w:r w:rsidRPr="006759D1">
        <w:t xml:space="preserve">Journal of Business Research 67 </w:t>
      </w:r>
      <w:r>
        <w:t xml:space="preserve">p. </w:t>
      </w:r>
      <w:r w:rsidRPr="006759D1">
        <w:t>332–338</w:t>
      </w:r>
      <w:r>
        <w:t xml:space="preserve">. </w:t>
      </w:r>
    </w:p>
    <w:p w14:paraId="18899A20" w14:textId="77777777" w:rsidR="00D66A0A" w:rsidRDefault="00D66A0A" w:rsidP="00D66A0A">
      <w:pPr>
        <w:pStyle w:val="a5"/>
        <w:numPr>
          <w:ilvl w:val="0"/>
          <w:numId w:val="12"/>
        </w:numPr>
        <w:tabs>
          <w:tab w:val="left" w:pos="0"/>
        </w:tabs>
      </w:pPr>
      <w:r>
        <w:t xml:space="preserve">Berger, A., &amp; </w:t>
      </w:r>
      <w:proofErr w:type="spellStart"/>
      <w:r>
        <w:t>Udell</w:t>
      </w:r>
      <w:proofErr w:type="spellEnd"/>
      <w:r>
        <w:t>, G. 1998. The economics of small business: the roles of private equity and debt markets in the financial growth cycle, Journal of Banking and Finance, 22: 613- 673.</w:t>
      </w:r>
    </w:p>
    <w:p w14:paraId="71EA815C" w14:textId="77777777" w:rsidR="00D66A0A" w:rsidRDefault="00D66A0A" w:rsidP="00D66A0A">
      <w:pPr>
        <w:pStyle w:val="a5"/>
        <w:numPr>
          <w:ilvl w:val="0"/>
          <w:numId w:val="12"/>
        </w:numPr>
        <w:tabs>
          <w:tab w:val="left" w:pos="0"/>
        </w:tabs>
      </w:pPr>
      <w:r>
        <w:t xml:space="preserve">Berger, A., </w:t>
      </w:r>
      <w:proofErr w:type="spellStart"/>
      <w:r>
        <w:t>Klapper</w:t>
      </w:r>
      <w:proofErr w:type="spellEnd"/>
      <w:r>
        <w:t xml:space="preserve">, F., &amp; </w:t>
      </w:r>
      <w:proofErr w:type="spellStart"/>
      <w:r>
        <w:t>Udell</w:t>
      </w:r>
      <w:proofErr w:type="spellEnd"/>
      <w:r>
        <w:t>, G. 2001. The ability of banks to lend to informationally opaque small business. Journal of Banking and Finance, 25: 2127-2167.</w:t>
      </w:r>
    </w:p>
    <w:p w14:paraId="4C71880E" w14:textId="77777777" w:rsidR="00D66A0A" w:rsidRPr="00AE7B79" w:rsidRDefault="00D66A0A" w:rsidP="00D66A0A">
      <w:pPr>
        <w:pStyle w:val="a5"/>
        <w:numPr>
          <w:ilvl w:val="0"/>
          <w:numId w:val="12"/>
        </w:numPr>
        <w:tabs>
          <w:tab w:val="left" w:pos="0"/>
        </w:tabs>
      </w:pPr>
      <w:r w:rsidRPr="00AE7B79">
        <w:t>Bhattacharya, H. (2009). Working Capital Management: Strategies and Techniques. New</w:t>
      </w:r>
      <w:r>
        <w:t xml:space="preserve"> </w:t>
      </w:r>
      <w:r w:rsidRPr="00AE7B79">
        <w:t>Delhi: PHI</w:t>
      </w:r>
      <w:r>
        <w:t xml:space="preserve"> </w:t>
      </w:r>
      <w:r w:rsidRPr="00AE7B79">
        <w:t>Learning Private Limited.</w:t>
      </w:r>
    </w:p>
    <w:p w14:paraId="3A7D4EA3" w14:textId="77777777" w:rsidR="00D66A0A" w:rsidRDefault="00D66A0A" w:rsidP="00D66A0A">
      <w:pPr>
        <w:pStyle w:val="a5"/>
        <w:numPr>
          <w:ilvl w:val="0"/>
          <w:numId w:val="12"/>
        </w:numPr>
        <w:tabs>
          <w:tab w:val="left" w:pos="0"/>
        </w:tabs>
      </w:pPr>
      <w:proofErr w:type="spellStart"/>
      <w:r>
        <w:t>Brealey</w:t>
      </w:r>
      <w:proofErr w:type="spellEnd"/>
      <w:r>
        <w:t>, R.A.; Myers, S.C. &amp; Allen, F. (</w:t>
      </w:r>
      <w:r w:rsidRPr="00226A94">
        <w:t>201</w:t>
      </w:r>
      <w:r>
        <w:t>4)</w:t>
      </w:r>
      <w:r w:rsidRPr="00A77ADF">
        <w:t>.</w:t>
      </w:r>
      <w:r>
        <w:t xml:space="preserve"> Principles of Corporate Finance. </w:t>
      </w:r>
    </w:p>
    <w:p w14:paraId="743E9CFA" w14:textId="77777777" w:rsidR="00D66A0A" w:rsidRDefault="00D66A0A" w:rsidP="00D66A0A">
      <w:pPr>
        <w:pStyle w:val="a5"/>
        <w:numPr>
          <w:ilvl w:val="0"/>
          <w:numId w:val="12"/>
        </w:numPr>
        <w:tabs>
          <w:tab w:val="left" w:pos="0"/>
        </w:tabs>
      </w:pPr>
      <w:proofErr w:type="spellStart"/>
      <w:r>
        <w:t>Chiou</w:t>
      </w:r>
      <w:proofErr w:type="spellEnd"/>
      <w:r>
        <w:t xml:space="preserve">, J. R., Cheng, L., &amp; Wu, H. W. </w:t>
      </w:r>
      <w:r w:rsidRPr="006F18B5">
        <w:t>(</w:t>
      </w:r>
      <w:r>
        <w:t>2006</w:t>
      </w:r>
      <w:r w:rsidRPr="006F18B5">
        <w:t>)</w:t>
      </w:r>
      <w:r>
        <w:t>. The determinants of working capital management. Journal of American Academy of Business, 10: 149-155.</w:t>
      </w:r>
    </w:p>
    <w:p w14:paraId="211913E4" w14:textId="77777777" w:rsidR="00D66A0A" w:rsidRDefault="00D66A0A" w:rsidP="00D66A0A">
      <w:pPr>
        <w:pStyle w:val="a5"/>
        <w:numPr>
          <w:ilvl w:val="0"/>
          <w:numId w:val="12"/>
        </w:numPr>
        <w:tabs>
          <w:tab w:val="left" w:pos="0"/>
        </w:tabs>
      </w:pPr>
      <w:proofErr w:type="spellStart"/>
      <w:r>
        <w:t>Cuñat</w:t>
      </w:r>
      <w:proofErr w:type="spellEnd"/>
      <w:r>
        <w:t>, V. 2007. Trade Credit: Suppliers as Debt Collectors and Insurance Providers. The Review of Financial Studies, 20 (2): 491-527.</w:t>
      </w:r>
    </w:p>
    <w:p w14:paraId="5A1CC90D" w14:textId="77777777" w:rsidR="00D66A0A" w:rsidRDefault="00D66A0A" w:rsidP="00D66A0A">
      <w:pPr>
        <w:pStyle w:val="a5"/>
        <w:numPr>
          <w:ilvl w:val="0"/>
          <w:numId w:val="12"/>
        </w:numPr>
        <w:tabs>
          <w:tab w:val="left" w:pos="0"/>
        </w:tabs>
      </w:pPr>
      <w:proofErr w:type="spellStart"/>
      <w:r>
        <w:t>Deloof</w:t>
      </w:r>
      <w:proofErr w:type="spellEnd"/>
      <w:r>
        <w:t>, M. (2003). Does working capital management affect profitability of Belgian firms? Journal of Business Finance &amp; Accounting, 30, 573–587.</w:t>
      </w:r>
    </w:p>
    <w:p w14:paraId="1D59CC8B" w14:textId="77777777" w:rsidR="00D66A0A" w:rsidRDefault="00D66A0A" w:rsidP="00D66A0A">
      <w:pPr>
        <w:pStyle w:val="a5"/>
        <w:numPr>
          <w:ilvl w:val="0"/>
          <w:numId w:val="12"/>
        </w:numPr>
        <w:tabs>
          <w:tab w:val="left" w:pos="0"/>
        </w:tabs>
      </w:pPr>
      <w:proofErr w:type="spellStart"/>
      <w:r w:rsidRPr="00361D23">
        <w:lastRenderedPageBreak/>
        <w:t>Enqvist</w:t>
      </w:r>
      <w:proofErr w:type="spellEnd"/>
      <w:r>
        <w:t xml:space="preserve"> J.</w:t>
      </w:r>
      <w:r w:rsidRPr="00361D23">
        <w:t>,</w:t>
      </w:r>
      <w:r>
        <w:t xml:space="preserve"> </w:t>
      </w:r>
      <w:r w:rsidRPr="00361D23">
        <w:t>Graham</w:t>
      </w:r>
      <w:r>
        <w:t xml:space="preserve"> M.</w:t>
      </w:r>
      <w:r w:rsidRPr="00361D23">
        <w:t>,</w:t>
      </w:r>
      <w:r>
        <w:rPr>
          <w:rFonts w:ascii="Cambria Math" w:hAnsi="Cambria Math" w:cs="Cambria Math"/>
        </w:rPr>
        <w:t xml:space="preserve"> </w:t>
      </w:r>
      <w:proofErr w:type="spellStart"/>
      <w:r w:rsidRPr="00361D23">
        <w:t>Nikkinen</w:t>
      </w:r>
      <w:proofErr w:type="spellEnd"/>
      <w:r>
        <w:t xml:space="preserve"> J. (2014). The impact of working capital management on firm profitability in different business cycles: Evidence from Finland. </w:t>
      </w:r>
      <w:r w:rsidRPr="00361D23">
        <w:t>Research in</w:t>
      </w:r>
      <w:r>
        <w:t xml:space="preserve"> </w:t>
      </w:r>
      <w:r w:rsidRPr="00361D23">
        <w:t>International Business and Finance 32</w:t>
      </w:r>
      <w:r>
        <w:t xml:space="preserve">, p. </w:t>
      </w:r>
      <w:r w:rsidRPr="00361D23">
        <w:t>36–49</w:t>
      </w:r>
      <w:r>
        <w:t>.</w:t>
      </w:r>
    </w:p>
    <w:p w14:paraId="1908BBA7" w14:textId="77777777" w:rsidR="00D66A0A" w:rsidRDefault="00D66A0A" w:rsidP="00D66A0A">
      <w:pPr>
        <w:pStyle w:val="a5"/>
        <w:numPr>
          <w:ilvl w:val="0"/>
          <w:numId w:val="12"/>
        </w:numPr>
        <w:tabs>
          <w:tab w:val="left" w:pos="0"/>
        </w:tabs>
      </w:pPr>
      <w:proofErr w:type="spellStart"/>
      <w:r>
        <w:t>Fazzari</w:t>
      </w:r>
      <w:proofErr w:type="spellEnd"/>
      <w:r>
        <w:t xml:space="preserve">, S. M., &amp; Petersen, B. C. </w:t>
      </w:r>
      <w:r w:rsidRPr="006F18B5">
        <w:t>(</w:t>
      </w:r>
      <w:r>
        <w:t>1993</w:t>
      </w:r>
      <w:r w:rsidRPr="006F18B5">
        <w:t>)</w:t>
      </w:r>
      <w:r>
        <w:t>. Working Capital and Fixed Investment: New Evidence on Financing Constraints. Rand Journal of Economics, 24 (3): 328-342.</w:t>
      </w:r>
    </w:p>
    <w:p w14:paraId="7F13B042" w14:textId="77777777" w:rsidR="00D66A0A" w:rsidRDefault="00D66A0A" w:rsidP="00D66A0A">
      <w:pPr>
        <w:pStyle w:val="a5"/>
        <w:numPr>
          <w:ilvl w:val="0"/>
          <w:numId w:val="12"/>
        </w:numPr>
        <w:tabs>
          <w:tab w:val="left" w:pos="0"/>
        </w:tabs>
      </w:pPr>
      <w:r>
        <w:t>Ganesan, V. (2007). An Analysis of Working Capital Management Efficiency in Telecommunication Equipment Industry, River Academic Journal, 3(2).</w:t>
      </w:r>
    </w:p>
    <w:p w14:paraId="315DD5D4" w14:textId="77777777" w:rsidR="00D66A0A" w:rsidRDefault="00D66A0A" w:rsidP="00D66A0A">
      <w:pPr>
        <w:pStyle w:val="a5"/>
        <w:numPr>
          <w:ilvl w:val="0"/>
          <w:numId w:val="12"/>
        </w:numPr>
        <w:tabs>
          <w:tab w:val="left" w:pos="0"/>
        </w:tabs>
      </w:pPr>
      <w:r>
        <w:t>Ghosh, A., &amp; Jain, P. C. (2000). Financial leverage changes associated with corporate mergers. Journal of Corporate Finance, 377–402.</w:t>
      </w:r>
    </w:p>
    <w:p w14:paraId="77E0F79C" w14:textId="77777777" w:rsidR="00D66A0A" w:rsidRDefault="00D66A0A" w:rsidP="00D66A0A">
      <w:pPr>
        <w:pStyle w:val="a5"/>
        <w:numPr>
          <w:ilvl w:val="0"/>
          <w:numId w:val="12"/>
        </w:numPr>
        <w:tabs>
          <w:tab w:val="left" w:pos="0"/>
        </w:tabs>
      </w:pPr>
      <w:r>
        <w:t>Hayward M. (2003). Professional influence: the effects of investment banks on clients’ acquisition financing and performance. Strategic Management Journal, 24, 783–801.</w:t>
      </w:r>
    </w:p>
    <w:p w14:paraId="0C881476" w14:textId="77777777" w:rsidR="00D66A0A" w:rsidRDefault="00D66A0A" w:rsidP="00D66A0A">
      <w:pPr>
        <w:pStyle w:val="a5"/>
        <w:numPr>
          <w:ilvl w:val="0"/>
          <w:numId w:val="12"/>
        </w:numPr>
        <w:tabs>
          <w:tab w:val="left" w:pos="0"/>
        </w:tabs>
      </w:pPr>
      <w:r>
        <w:t xml:space="preserve">Healy. P, Palepu K., </w:t>
      </w:r>
      <w:proofErr w:type="spellStart"/>
      <w:r>
        <w:t>Ruback</w:t>
      </w:r>
      <w:proofErr w:type="spellEnd"/>
      <w:r>
        <w:t xml:space="preserve"> R. (1992). Does corporate performance improve after mergers? Journal of Financial Economics 31, 135-175.  </w:t>
      </w:r>
    </w:p>
    <w:p w14:paraId="5B859ED9" w14:textId="77777777" w:rsidR="00D66A0A" w:rsidRDefault="00D66A0A" w:rsidP="00D66A0A">
      <w:pPr>
        <w:pStyle w:val="a5"/>
        <w:numPr>
          <w:ilvl w:val="0"/>
          <w:numId w:val="12"/>
        </w:numPr>
        <w:tabs>
          <w:tab w:val="left" w:pos="0"/>
        </w:tabs>
      </w:pPr>
      <w:proofErr w:type="spellStart"/>
      <w:r>
        <w:t>Iankova</w:t>
      </w:r>
      <w:proofErr w:type="spellEnd"/>
      <w:r>
        <w:t xml:space="preserve"> S. (2014). Main factors of success in mergers and acquisitions’ performance. Journal of Sofia University “St. </w:t>
      </w:r>
      <w:proofErr w:type="spellStart"/>
      <w:r>
        <w:t>Kliment</w:t>
      </w:r>
      <w:proofErr w:type="spellEnd"/>
      <w:r>
        <w:t xml:space="preserve"> </w:t>
      </w:r>
      <w:proofErr w:type="spellStart"/>
      <w:r>
        <w:t>Ohridski</w:t>
      </w:r>
      <w:proofErr w:type="spellEnd"/>
      <w:r>
        <w:t xml:space="preserve">” 12, 373-389. </w:t>
      </w:r>
    </w:p>
    <w:p w14:paraId="302BDC93" w14:textId="77777777" w:rsidR="00D66A0A" w:rsidRDefault="00D66A0A" w:rsidP="00D66A0A">
      <w:pPr>
        <w:pStyle w:val="a5"/>
        <w:numPr>
          <w:ilvl w:val="0"/>
          <w:numId w:val="12"/>
        </w:numPr>
        <w:tabs>
          <w:tab w:val="left" w:pos="0"/>
        </w:tabs>
      </w:pPr>
      <w:r>
        <w:t>Jordan, J., Lowe, J., &amp; Taylor, P. 1998. Strategy and financial policy in UK small firms. Journal of Business Finance and Accounting, 25: 1-27.</w:t>
      </w:r>
    </w:p>
    <w:p w14:paraId="1DB9C2E7" w14:textId="77777777" w:rsidR="00D66A0A" w:rsidRDefault="00D66A0A" w:rsidP="00D66A0A">
      <w:pPr>
        <w:pStyle w:val="a5"/>
        <w:numPr>
          <w:ilvl w:val="0"/>
          <w:numId w:val="12"/>
        </w:numPr>
        <w:tabs>
          <w:tab w:val="left" w:pos="0"/>
        </w:tabs>
      </w:pPr>
      <w:r>
        <w:t xml:space="preserve">Jose, M. L., Lancaster, C., &amp; Stevens, J. L. </w:t>
      </w:r>
      <w:r w:rsidRPr="00EE0769">
        <w:t>(</w:t>
      </w:r>
      <w:r>
        <w:t>1996</w:t>
      </w:r>
      <w:r w:rsidRPr="00EE0769">
        <w:t>)</w:t>
      </w:r>
      <w:r>
        <w:t>. Corporate return and cash conversion cycle. Journal of Economics and Finance, 20: 33-46.</w:t>
      </w:r>
    </w:p>
    <w:p w14:paraId="7A76E70A" w14:textId="77777777" w:rsidR="00D66A0A" w:rsidRDefault="00D66A0A" w:rsidP="00D66A0A">
      <w:pPr>
        <w:pStyle w:val="a5"/>
        <w:numPr>
          <w:ilvl w:val="0"/>
          <w:numId w:val="12"/>
        </w:numPr>
        <w:tabs>
          <w:tab w:val="left" w:pos="0"/>
        </w:tabs>
      </w:pPr>
      <w:proofErr w:type="spellStart"/>
      <w:r>
        <w:t>Kieschnick</w:t>
      </w:r>
      <w:proofErr w:type="spellEnd"/>
      <w:r>
        <w:t xml:space="preserve">, R., </w:t>
      </w:r>
      <w:proofErr w:type="spellStart"/>
      <w:r>
        <w:t>LaPlante</w:t>
      </w:r>
      <w:proofErr w:type="spellEnd"/>
      <w:r>
        <w:t xml:space="preserve">, M., &amp; </w:t>
      </w:r>
      <w:proofErr w:type="spellStart"/>
      <w:r>
        <w:t>Moussawi</w:t>
      </w:r>
      <w:proofErr w:type="spellEnd"/>
      <w:r>
        <w:t>, R. (2011). Working capital management and shareholder wealth. Working paper.</w:t>
      </w:r>
    </w:p>
    <w:p w14:paraId="3E8A63A4" w14:textId="77777777" w:rsidR="00D66A0A" w:rsidRDefault="00D66A0A" w:rsidP="00D66A0A">
      <w:pPr>
        <w:pStyle w:val="a5"/>
        <w:numPr>
          <w:ilvl w:val="0"/>
          <w:numId w:val="12"/>
        </w:numPr>
        <w:tabs>
          <w:tab w:val="left" w:pos="0"/>
        </w:tabs>
      </w:pPr>
      <w:r>
        <w:t xml:space="preserve">Kozlov. A, </w:t>
      </w:r>
      <w:proofErr w:type="spellStart"/>
      <w:r>
        <w:t>Tupikova</w:t>
      </w:r>
      <w:proofErr w:type="spellEnd"/>
      <w:r>
        <w:t xml:space="preserve"> D. (2015). The efficiency factors of mergers and acquisitions: a study of Russian practices. </w:t>
      </w:r>
      <w:r w:rsidRPr="00940BC8">
        <w:t xml:space="preserve">St. Petersburg State </w:t>
      </w:r>
      <w:proofErr w:type="spellStart"/>
      <w:r w:rsidRPr="00940BC8">
        <w:t>Polytechnical</w:t>
      </w:r>
      <w:proofErr w:type="spellEnd"/>
      <w:r w:rsidRPr="00940BC8">
        <w:t xml:space="preserve"> University Journal</w:t>
      </w:r>
      <w:r>
        <w:t xml:space="preserve"> 6, 112-122.</w:t>
      </w:r>
    </w:p>
    <w:p w14:paraId="5E1D71E7" w14:textId="77777777" w:rsidR="00D66A0A" w:rsidRDefault="00D66A0A" w:rsidP="00D66A0A">
      <w:pPr>
        <w:pStyle w:val="a5"/>
        <w:numPr>
          <w:ilvl w:val="0"/>
          <w:numId w:val="12"/>
        </w:numPr>
        <w:tabs>
          <w:tab w:val="left" w:pos="0"/>
        </w:tabs>
      </w:pPr>
      <w:r>
        <w:t>KPMG. (2013). M&amp;A in Russia 2012. URL: </w:t>
      </w:r>
      <w:r w:rsidRPr="00226A94">
        <w:t>https://home.kpmg.com/ru/en/home/insights/2013/03/ma_in_russia_2012.html</w:t>
      </w:r>
      <w:r>
        <w:t xml:space="preserve"> </w:t>
      </w:r>
    </w:p>
    <w:p w14:paraId="2AA79744" w14:textId="77777777" w:rsidR="00D66A0A" w:rsidRDefault="00D66A0A" w:rsidP="00D66A0A">
      <w:pPr>
        <w:pStyle w:val="a5"/>
        <w:numPr>
          <w:ilvl w:val="0"/>
          <w:numId w:val="12"/>
        </w:numPr>
        <w:tabs>
          <w:tab w:val="left" w:pos="0"/>
        </w:tabs>
      </w:pPr>
      <w:r>
        <w:t>KPMG (2018). Russian M&amp;A Review 2017.</w:t>
      </w:r>
    </w:p>
    <w:p w14:paraId="7A62D834" w14:textId="77777777" w:rsidR="00D66A0A" w:rsidRDefault="00D66A0A" w:rsidP="00D66A0A">
      <w:pPr>
        <w:pStyle w:val="a5"/>
        <w:tabs>
          <w:tab w:val="left" w:pos="0"/>
        </w:tabs>
        <w:ind w:firstLine="0"/>
      </w:pPr>
      <w:r>
        <w:t>URL: </w:t>
      </w:r>
      <w:r w:rsidRPr="0067472C">
        <w:t>https://assets.kpmg.com/content/dam/kpmg/ru/pdf/2018/03/ru-en-ma-survey-2017.pdf</w:t>
      </w:r>
    </w:p>
    <w:p w14:paraId="3D0D2E30" w14:textId="77777777" w:rsidR="00D66A0A" w:rsidRDefault="00D66A0A" w:rsidP="00D66A0A">
      <w:pPr>
        <w:pStyle w:val="a5"/>
        <w:numPr>
          <w:ilvl w:val="0"/>
          <w:numId w:val="12"/>
        </w:numPr>
        <w:tabs>
          <w:tab w:val="left" w:pos="0"/>
        </w:tabs>
      </w:pPr>
      <w:proofErr w:type="spellStart"/>
      <w:r w:rsidRPr="00757F40">
        <w:t>Lazaridis</w:t>
      </w:r>
      <w:proofErr w:type="spellEnd"/>
      <w:r w:rsidRPr="00757F40">
        <w:t xml:space="preserve">, I., </w:t>
      </w:r>
      <w:proofErr w:type="spellStart"/>
      <w:r w:rsidRPr="00757F40">
        <w:t>Tryfonidis</w:t>
      </w:r>
      <w:proofErr w:type="spellEnd"/>
      <w:r w:rsidRPr="00757F40">
        <w:t>, D.</w:t>
      </w:r>
      <w:r>
        <w:t xml:space="preserve"> (</w:t>
      </w:r>
      <w:r w:rsidRPr="00757F40">
        <w:t>2006</w:t>
      </w:r>
      <w:r>
        <w:t>)</w:t>
      </w:r>
      <w:r w:rsidRPr="00757F40">
        <w:t>. Relationship between working capital management and profitability of listed companies on</w:t>
      </w:r>
      <w:r>
        <w:t xml:space="preserve"> </w:t>
      </w:r>
      <w:r w:rsidRPr="00757F40">
        <w:t>the Athens Stock Exchange. J</w:t>
      </w:r>
      <w:r>
        <w:t xml:space="preserve">ournal of </w:t>
      </w:r>
      <w:r w:rsidRPr="00757F40">
        <w:t>Financial Management Anal</w:t>
      </w:r>
      <w:r>
        <w:t>ysis</w:t>
      </w:r>
      <w:r w:rsidRPr="00757F40">
        <w:t>. 19 (1), 26–35.</w:t>
      </w:r>
    </w:p>
    <w:p w14:paraId="3DB1C579" w14:textId="77777777" w:rsidR="00D66A0A" w:rsidRDefault="00D66A0A" w:rsidP="00D66A0A">
      <w:pPr>
        <w:pStyle w:val="a5"/>
        <w:numPr>
          <w:ilvl w:val="0"/>
          <w:numId w:val="12"/>
        </w:numPr>
        <w:tabs>
          <w:tab w:val="left" w:pos="0"/>
        </w:tabs>
      </w:pPr>
      <w:r>
        <w:t xml:space="preserve">Loughran T. and </w:t>
      </w:r>
      <w:proofErr w:type="spellStart"/>
      <w:r>
        <w:t>Vijh</w:t>
      </w:r>
      <w:proofErr w:type="spellEnd"/>
      <w:r>
        <w:t xml:space="preserve"> A. (1997). Do long-term shareholders benefit from corporate acquisitions? Journal of Finance, 52, 1765–1790.</w:t>
      </w:r>
    </w:p>
    <w:p w14:paraId="67F18B38" w14:textId="77777777" w:rsidR="00D66A0A" w:rsidRDefault="00D66A0A" w:rsidP="00D66A0A">
      <w:pPr>
        <w:pStyle w:val="a5"/>
        <w:numPr>
          <w:ilvl w:val="0"/>
          <w:numId w:val="12"/>
        </w:numPr>
        <w:tabs>
          <w:tab w:val="left" w:pos="0"/>
        </w:tabs>
      </w:pPr>
      <w:r>
        <w:lastRenderedPageBreak/>
        <w:t xml:space="preserve">McConnell, J.J. &amp; </w:t>
      </w:r>
      <w:proofErr w:type="spellStart"/>
      <w:r>
        <w:t>Servaes</w:t>
      </w:r>
      <w:proofErr w:type="spellEnd"/>
      <w:r>
        <w:t>, H. (1995) Equity Ownership and the Two Faces of Debt. Journal of Financial Economics. Volume 39, 1995.</w:t>
      </w:r>
    </w:p>
    <w:p w14:paraId="3876E27F" w14:textId="77777777" w:rsidR="00D66A0A" w:rsidRDefault="00D66A0A" w:rsidP="00D66A0A">
      <w:pPr>
        <w:pStyle w:val="a5"/>
        <w:numPr>
          <w:ilvl w:val="0"/>
          <w:numId w:val="12"/>
        </w:numPr>
        <w:tabs>
          <w:tab w:val="left" w:pos="0"/>
        </w:tabs>
      </w:pPr>
      <w:r w:rsidRPr="002B16E1">
        <w:t>Meyer, C.A. (2007). Working Capital and Corporate Value. New York.</w:t>
      </w:r>
    </w:p>
    <w:p w14:paraId="43DC0558" w14:textId="77777777" w:rsidR="00D66A0A" w:rsidRDefault="00D66A0A" w:rsidP="00D66A0A">
      <w:pPr>
        <w:pStyle w:val="a5"/>
        <w:numPr>
          <w:ilvl w:val="0"/>
          <w:numId w:val="12"/>
        </w:numPr>
        <w:tabs>
          <w:tab w:val="left" w:pos="0"/>
        </w:tabs>
      </w:pPr>
      <w:r>
        <w:t xml:space="preserve">Mitchell, M., &amp; </w:t>
      </w:r>
      <w:proofErr w:type="spellStart"/>
      <w:r>
        <w:t>Mulherin</w:t>
      </w:r>
      <w:proofErr w:type="spellEnd"/>
      <w:r>
        <w:t>, H. (1996). The Impact of Industry Shocks on Takeover and Restructuring Activity. Journal of Financial Economics, 193-229.</w:t>
      </w:r>
    </w:p>
    <w:p w14:paraId="6AC5C753" w14:textId="77777777" w:rsidR="00D66A0A" w:rsidRDefault="00D66A0A" w:rsidP="00D66A0A">
      <w:pPr>
        <w:pStyle w:val="a5"/>
        <w:numPr>
          <w:ilvl w:val="0"/>
          <w:numId w:val="12"/>
        </w:numPr>
        <w:tabs>
          <w:tab w:val="left" w:pos="0"/>
        </w:tabs>
      </w:pPr>
      <w:r>
        <w:t xml:space="preserve">Moeller, S. B., </w:t>
      </w:r>
      <w:proofErr w:type="spellStart"/>
      <w:r>
        <w:t>Schlingemann</w:t>
      </w:r>
      <w:proofErr w:type="spellEnd"/>
      <w:r>
        <w:t xml:space="preserve">, F. P., &amp; </w:t>
      </w:r>
      <w:proofErr w:type="spellStart"/>
      <w:r>
        <w:t>Stulz</w:t>
      </w:r>
      <w:proofErr w:type="spellEnd"/>
      <w:r>
        <w:t>, R. M. (2004). Do Shareholders of Acquiring Firms Gain from Acquisitions? Journal of Financial Economics.</w:t>
      </w:r>
    </w:p>
    <w:p w14:paraId="407CAA7F" w14:textId="77777777" w:rsidR="00D66A0A" w:rsidRDefault="00D66A0A" w:rsidP="00D66A0A">
      <w:pPr>
        <w:pStyle w:val="a5"/>
        <w:numPr>
          <w:ilvl w:val="0"/>
          <w:numId w:val="12"/>
        </w:numPr>
        <w:tabs>
          <w:tab w:val="left" w:pos="0"/>
        </w:tabs>
      </w:pPr>
      <w:r>
        <w:t>Mueller, D. C. (1986). Profits in the long run. Cambridge University Press: Cambridge.</w:t>
      </w:r>
    </w:p>
    <w:p w14:paraId="09A5A0FB" w14:textId="77777777" w:rsidR="00D66A0A" w:rsidRDefault="00D66A0A" w:rsidP="00D66A0A">
      <w:pPr>
        <w:pStyle w:val="a5"/>
        <w:numPr>
          <w:ilvl w:val="0"/>
          <w:numId w:val="12"/>
        </w:numPr>
        <w:tabs>
          <w:tab w:val="left" w:pos="0"/>
        </w:tabs>
      </w:pPr>
      <w:r>
        <w:t xml:space="preserve">Myers, S. </w:t>
      </w:r>
      <w:r w:rsidRPr="00BD2073">
        <w:t>(</w:t>
      </w:r>
      <w:r>
        <w:t>1977</w:t>
      </w:r>
      <w:r w:rsidRPr="00BD2073">
        <w:t>)</w:t>
      </w:r>
      <w:r>
        <w:t>. The determinants of corporate borrowing. Journal of Financial Economics, 5 (2): 147-175.</w:t>
      </w:r>
    </w:p>
    <w:p w14:paraId="321D84AB" w14:textId="77777777" w:rsidR="00D66A0A" w:rsidRDefault="00D66A0A" w:rsidP="00D66A0A">
      <w:pPr>
        <w:pStyle w:val="a5"/>
        <w:numPr>
          <w:ilvl w:val="0"/>
          <w:numId w:val="12"/>
        </w:numPr>
        <w:tabs>
          <w:tab w:val="left" w:pos="0"/>
        </w:tabs>
      </w:pPr>
      <w:r>
        <w:t xml:space="preserve">Myers, S. </w:t>
      </w:r>
      <w:r w:rsidRPr="00BD2073">
        <w:t>(</w:t>
      </w:r>
      <w:r>
        <w:t>1984</w:t>
      </w:r>
      <w:r w:rsidRPr="00BD2073">
        <w:t>)</w:t>
      </w:r>
      <w:r>
        <w:t>. The capital structure puzzle. Journal of Finance, 39 (3): 575-592.</w:t>
      </w:r>
    </w:p>
    <w:p w14:paraId="3177528A" w14:textId="77777777" w:rsidR="00D66A0A" w:rsidRDefault="00D66A0A" w:rsidP="00D66A0A">
      <w:pPr>
        <w:pStyle w:val="a5"/>
        <w:numPr>
          <w:ilvl w:val="0"/>
          <w:numId w:val="12"/>
        </w:numPr>
        <w:tabs>
          <w:tab w:val="left" w:pos="0"/>
        </w:tabs>
      </w:pPr>
      <w:r>
        <w:t xml:space="preserve">Nazir M., </w:t>
      </w:r>
      <w:proofErr w:type="spellStart"/>
      <w:r>
        <w:t>Afza</w:t>
      </w:r>
      <w:proofErr w:type="spellEnd"/>
      <w:r>
        <w:t xml:space="preserve"> T. (2008). On The Factor Determining Working Capital Requirements. Proceedings of ASBBS, 15(1), 293–301.</w:t>
      </w:r>
    </w:p>
    <w:p w14:paraId="49A6375F" w14:textId="77777777" w:rsidR="00D66A0A" w:rsidRDefault="00D66A0A" w:rsidP="00D66A0A">
      <w:pPr>
        <w:pStyle w:val="a5"/>
        <w:numPr>
          <w:ilvl w:val="0"/>
          <w:numId w:val="12"/>
        </w:numPr>
        <w:tabs>
          <w:tab w:val="left" w:pos="0"/>
        </w:tabs>
      </w:pPr>
      <w:proofErr w:type="spellStart"/>
      <w:r>
        <w:t>Nuhiu</w:t>
      </w:r>
      <w:proofErr w:type="spellEnd"/>
      <w:r>
        <w:t xml:space="preserve"> A., </w:t>
      </w:r>
      <w:proofErr w:type="spellStart"/>
      <w:r>
        <w:t>Dermaku</w:t>
      </w:r>
      <w:proofErr w:type="spellEnd"/>
      <w:r>
        <w:t xml:space="preserve"> A. (2017). A Theoretical Review on the Relationship between Working Capital Management and Company's Performance.</w:t>
      </w:r>
    </w:p>
    <w:p w14:paraId="08A71D0B" w14:textId="77777777" w:rsidR="00D66A0A" w:rsidRDefault="00D66A0A" w:rsidP="00D66A0A">
      <w:pPr>
        <w:pStyle w:val="a5"/>
        <w:numPr>
          <w:ilvl w:val="0"/>
          <w:numId w:val="12"/>
        </w:numPr>
        <w:tabs>
          <w:tab w:val="left" w:pos="0"/>
        </w:tabs>
      </w:pPr>
      <w:proofErr w:type="spellStart"/>
      <w:r>
        <w:t>Oruc</w:t>
      </w:r>
      <w:proofErr w:type="spellEnd"/>
      <w:r>
        <w:t xml:space="preserve"> E., Sen M. (2009). Relationship between Efficiency Level of Working Capital Management and Return on Total Assets in ISE. International Journal of Business and Management, 4(10), 109–114.</w:t>
      </w:r>
    </w:p>
    <w:p w14:paraId="0E11E732" w14:textId="77777777" w:rsidR="00D66A0A" w:rsidRDefault="00D66A0A" w:rsidP="00D66A0A">
      <w:pPr>
        <w:pStyle w:val="a5"/>
        <w:numPr>
          <w:ilvl w:val="0"/>
          <w:numId w:val="12"/>
        </w:numPr>
        <w:tabs>
          <w:tab w:val="left" w:pos="0"/>
        </w:tabs>
      </w:pPr>
      <w:proofErr w:type="spellStart"/>
      <w:r>
        <w:t>Padachi</w:t>
      </w:r>
      <w:proofErr w:type="spellEnd"/>
      <w:r>
        <w:t>, K. (2006). Trends in Working Capital Management and its Impacts on Firm’s Performance: An Analysis of Mauritanian Small Manufacturing Firm. International Review of Business Research Papers 2(2) 45-58.</w:t>
      </w:r>
    </w:p>
    <w:p w14:paraId="5FDF257B" w14:textId="77777777" w:rsidR="00D66A0A" w:rsidRDefault="00D66A0A" w:rsidP="00D66A0A">
      <w:pPr>
        <w:pStyle w:val="a5"/>
        <w:numPr>
          <w:ilvl w:val="0"/>
          <w:numId w:val="12"/>
        </w:numPr>
        <w:tabs>
          <w:tab w:val="left" w:pos="0"/>
        </w:tabs>
      </w:pPr>
      <w:proofErr w:type="spellStart"/>
      <w:r>
        <w:t>Polikarpova</w:t>
      </w:r>
      <w:proofErr w:type="spellEnd"/>
      <w:r>
        <w:t xml:space="preserve"> M. (2014). </w:t>
      </w:r>
      <w:r w:rsidRPr="00737186">
        <w:t>Stages and features of the development of the Russian market of mergers and acquisitions</w:t>
      </w:r>
      <w:r>
        <w:t xml:space="preserve">. </w:t>
      </w:r>
      <w:proofErr w:type="spellStart"/>
      <w:r>
        <w:t>Molodoi</w:t>
      </w:r>
      <w:proofErr w:type="spellEnd"/>
      <w:r>
        <w:t xml:space="preserve"> </w:t>
      </w:r>
      <w:proofErr w:type="spellStart"/>
      <w:r>
        <w:t>uchenyi</w:t>
      </w:r>
      <w:proofErr w:type="spellEnd"/>
      <w:r>
        <w:t xml:space="preserve"> 3, 505—507. </w:t>
      </w:r>
    </w:p>
    <w:p w14:paraId="0EADC1FE" w14:textId="77777777" w:rsidR="00D66A0A" w:rsidRDefault="00D66A0A" w:rsidP="00D66A0A">
      <w:pPr>
        <w:pStyle w:val="a5"/>
        <w:numPr>
          <w:ilvl w:val="0"/>
          <w:numId w:val="12"/>
        </w:numPr>
        <w:tabs>
          <w:tab w:val="left" w:pos="0"/>
        </w:tabs>
      </w:pPr>
      <w:r>
        <w:t>Powell, R., &amp; Stark, A. (2005). Does operating performance increase post-takeover for UK takeovers? A comparison of performance measures and benchmarks. Journal of Corporate Finance, 293-317.</w:t>
      </w:r>
    </w:p>
    <w:p w14:paraId="3AF7ECBD" w14:textId="77777777" w:rsidR="00D66A0A" w:rsidRDefault="00D66A0A" w:rsidP="00D66A0A">
      <w:pPr>
        <w:pStyle w:val="a5"/>
        <w:numPr>
          <w:ilvl w:val="0"/>
          <w:numId w:val="12"/>
        </w:numPr>
        <w:tabs>
          <w:tab w:val="left" w:pos="0"/>
        </w:tabs>
      </w:pPr>
      <w:proofErr w:type="spellStart"/>
      <w:r>
        <w:t>Raheman</w:t>
      </w:r>
      <w:proofErr w:type="spellEnd"/>
      <w:r>
        <w:t xml:space="preserve">, A., &amp; Nasr, M. </w:t>
      </w:r>
      <w:r w:rsidRPr="00BD2073">
        <w:t>(</w:t>
      </w:r>
      <w:r>
        <w:t>2007</w:t>
      </w:r>
      <w:r w:rsidRPr="00BD2073">
        <w:t>)</w:t>
      </w:r>
      <w:r>
        <w:t>. Working capital management and profitability – case of Pakistani firms. International Review of Business Research Papers, 3: 275-296.</w:t>
      </w:r>
    </w:p>
    <w:p w14:paraId="5441E2BB" w14:textId="77777777" w:rsidR="00D66A0A" w:rsidRDefault="00D66A0A" w:rsidP="00D66A0A">
      <w:pPr>
        <w:pStyle w:val="a5"/>
        <w:numPr>
          <w:ilvl w:val="0"/>
          <w:numId w:val="12"/>
        </w:numPr>
        <w:tabs>
          <w:tab w:val="left" w:pos="0"/>
        </w:tabs>
      </w:pPr>
      <w:r>
        <w:t xml:space="preserve">Ramaswamy K. (1997). </w:t>
      </w:r>
      <w:r w:rsidRPr="00AE0A6F">
        <w:t>The Performance Impact of Strategic Similarity in Horizontal</w:t>
      </w:r>
      <w:r>
        <w:t xml:space="preserve"> </w:t>
      </w:r>
      <w:r w:rsidRPr="00AE0A6F">
        <w:t>Mergers: Evidence from the U.S. Banking Industry</w:t>
      </w:r>
      <w:r>
        <w:t xml:space="preserve">. The Academy of Management Journal 3, 697-715. </w:t>
      </w:r>
    </w:p>
    <w:p w14:paraId="7EA3F220" w14:textId="77777777" w:rsidR="00D66A0A" w:rsidRDefault="00D66A0A" w:rsidP="00D66A0A">
      <w:pPr>
        <w:pStyle w:val="a5"/>
        <w:numPr>
          <w:ilvl w:val="0"/>
          <w:numId w:val="12"/>
        </w:numPr>
        <w:tabs>
          <w:tab w:val="left" w:pos="0"/>
        </w:tabs>
      </w:pPr>
      <w:proofErr w:type="spellStart"/>
      <w:r>
        <w:lastRenderedPageBreak/>
        <w:t>Ravenscraft</w:t>
      </w:r>
      <w:proofErr w:type="spellEnd"/>
      <w:r>
        <w:t>, D. J., and Scherer, F. M. (1987). Mergers, sell-offs, and economic efficiency. Washington, DC: Brookings Institute.</w:t>
      </w:r>
    </w:p>
    <w:p w14:paraId="728CBFCA" w14:textId="77777777" w:rsidR="00D66A0A" w:rsidRDefault="00D66A0A" w:rsidP="00D66A0A">
      <w:pPr>
        <w:pStyle w:val="a5"/>
        <w:numPr>
          <w:ilvl w:val="0"/>
          <w:numId w:val="12"/>
        </w:numPr>
        <w:tabs>
          <w:tab w:val="left" w:pos="0"/>
        </w:tabs>
      </w:pPr>
      <w:proofErr w:type="spellStart"/>
      <w:r>
        <w:t>Ravenscraft</w:t>
      </w:r>
      <w:proofErr w:type="spellEnd"/>
      <w:r>
        <w:t>, D. J., &amp; Scherer, F. (1989). The profitability of mergers. International Journal of Industrial Organization Volume 7, Issue 1, 101-116.</w:t>
      </w:r>
    </w:p>
    <w:p w14:paraId="1CA6A67D" w14:textId="77777777" w:rsidR="00D66A0A" w:rsidRDefault="00D66A0A" w:rsidP="00D66A0A">
      <w:pPr>
        <w:pStyle w:val="a5"/>
        <w:numPr>
          <w:ilvl w:val="0"/>
          <w:numId w:val="12"/>
        </w:numPr>
        <w:tabs>
          <w:tab w:val="left" w:pos="0"/>
        </w:tabs>
      </w:pPr>
      <w:proofErr w:type="spellStart"/>
      <w:r>
        <w:t>Sauaia</w:t>
      </w:r>
      <w:proofErr w:type="spellEnd"/>
      <w:r>
        <w:t xml:space="preserve"> A. (2002). Is the Tobin’s Q a good indicator of a company's performance? Developments in Business Simulation and Experiential Learning, Volume 29, 301-307.</w:t>
      </w:r>
    </w:p>
    <w:p w14:paraId="404DD7DC" w14:textId="77777777" w:rsidR="00D66A0A" w:rsidRDefault="00D66A0A" w:rsidP="00D66A0A">
      <w:pPr>
        <w:pStyle w:val="a5"/>
        <w:numPr>
          <w:ilvl w:val="0"/>
          <w:numId w:val="12"/>
        </w:numPr>
        <w:tabs>
          <w:tab w:val="left" w:pos="0"/>
        </w:tabs>
      </w:pPr>
      <w:r>
        <w:t xml:space="preserve">Shin, H. H., &amp; </w:t>
      </w:r>
      <w:proofErr w:type="spellStart"/>
      <w:r>
        <w:t>Soenen</w:t>
      </w:r>
      <w:proofErr w:type="spellEnd"/>
      <w:r>
        <w:t xml:space="preserve">, L. </w:t>
      </w:r>
      <w:r w:rsidRPr="00EE0769">
        <w:t>(</w:t>
      </w:r>
      <w:r>
        <w:t>1998</w:t>
      </w:r>
      <w:r w:rsidRPr="00EE0769">
        <w:t>)</w:t>
      </w:r>
      <w:r>
        <w:t>. Efficiency of working capital and corporate profitability. Financial Practice and Education, 8: 37-45.</w:t>
      </w:r>
    </w:p>
    <w:p w14:paraId="055EF395" w14:textId="77777777" w:rsidR="00D66A0A" w:rsidRDefault="00D66A0A" w:rsidP="00D66A0A">
      <w:pPr>
        <w:pStyle w:val="a5"/>
        <w:numPr>
          <w:ilvl w:val="0"/>
          <w:numId w:val="12"/>
        </w:numPr>
        <w:tabs>
          <w:tab w:val="left" w:pos="0"/>
        </w:tabs>
      </w:pPr>
      <w:proofErr w:type="spellStart"/>
      <w:r>
        <w:t>Taleb</w:t>
      </w:r>
      <w:proofErr w:type="spellEnd"/>
      <w:r>
        <w:t>, G., AL-</w:t>
      </w:r>
      <w:proofErr w:type="spellStart"/>
      <w:r>
        <w:t>Zoued</w:t>
      </w:r>
      <w:proofErr w:type="spellEnd"/>
      <w:r>
        <w:t xml:space="preserve">, A., AL- </w:t>
      </w:r>
      <w:proofErr w:type="spellStart"/>
      <w:r>
        <w:t>Zoued</w:t>
      </w:r>
      <w:proofErr w:type="spellEnd"/>
      <w:r>
        <w:t>, N., &amp; AL-</w:t>
      </w:r>
      <w:proofErr w:type="spellStart"/>
      <w:r>
        <w:t>Shubiri</w:t>
      </w:r>
      <w:proofErr w:type="spellEnd"/>
      <w:r>
        <w:t xml:space="preserve">, F. </w:t>
      </w:r>
      <w:r w:rsidRPr="006F18B5">
        <w:t>(</w:t>
      </w:r>
      <w:r>
        <w:t>2010</w:t>
      </w:r>
      <w:r w:rsidRPr="006F18B5">
        <w:t>)</w:t>
      </w:r>
      <w:r>
        <w:t>. The Determinants of Effective Working Capital Management Policy: A Case Study on Jordan. Interdisciplinary Journal of Contemporary Research in Business, 4 (2): 248-264</w:t>
      </w:r>
    </w:p>
    <w:p w14:paraId="26B35ABF" w14:textId="77777777" w:rsidR="00D66A0A" w:rsidRDefault="00D66A0A" w:rsidP="00D66A0A">
      <w:pPr>
        <w:pStyle w:val="a5"/>
        <w:numPr>
          <w:ilvl w:val="0"/>
          <w:numId w:val="12"/>
        </w:numPr>
        <w:tabs>
          <w:tab w:val="left" w:pos="0"/>
        </w:tabs>
      </w:pPr>
      <w:proofErr w:type="spellStart"/>
      <w:r w:rsidRPr="00757F40">
        <w:t>Ukaegbu</w:t>
      </w:r>
      <w:proofErr w:type="spellEnd"/>
      <w:r w:rsidRPr="00757F40">
        <w:t>, B.</w:t>
      </w:r>
      <w:r>
        <w:t xml:space="preserve"> (</w:t>
      </w:r>
      <w:r w:rsidRPr="00757F40">
        <w:t>2014</w:t>
      </w:r>
      <w:r>
        <w:t>)</w:t>
      </w:r>
      <w:r w:rsidRPr="00757F40">
        <w:t>. The significance of working capital management in determining firm</w:t>
      </w:r>
      <w:r>
        <w:t xml:space="preserve"> </w:t>
      </w:r>
      <w:r w:rsidRPr="00757F40">
        <w:t>profitability: evidence from developing</w:t>
      </w:r>
      <w:r>
        <w:t xml:space="preserve"> </w:t>
      </w:r>
      <w:r w:rsidRPr="00757F40">
        <w:t>economies in Africa. Res. Int. Business Finance 31, 1–16.</w:t>
      </w:r>
    </w:p>
    <w:p w14:paraId="49AD0D08" w14:textId="77777777" w:rsidR="00D66A0A" w:rsidRDefault="00D66A0A" w:rsidP="00D66A0A">
      <w:pPr>
        <w:pStyle w:val="a5"/>
        <w:numPr>
          <w:ilvl w:val="0"/>
          <w:numId w:val="12"/>
        </w:numPr>
        <w:tabs>
          <w:tab w:val="left" w:pos="0"/>
        </w:tabs>
      </w:pPr>
      <w:r>
        <w:t>Walker, D. 1991. An empirical analysis on financing the small firm. Advances in Small Business Finance: 47–61.</w:t>
      </w:r>
    </w:p>
    <w:p w14:paraId="0ED9B5DD" w14:textId="77777777" w:rsidR="00D66A0A" w:rsidRDefault="00D66A0A" w:rsidP="00D66A0A">
      <w:pPr>
        <w:pStyle w:val="a5"/>
        <w:numPr>
          <w:ilvl w:val="0"/>
          <w:numId w:val="12"/>
        </w:numPr>
        <w:tabs>
          <w:tab w:val="left" w:pos="0"/>
        </w:tabs>
      </w:pPr>
      <w:r>
        <w:t>Whited, T. M. 1992. Debt, liquidity constraints, and corporate investment: evidence from panel data. Journal of Finance, 47: 1425-1460.</w:t>
      </w:r>
    </w:p>
    <w:p w14:paraId="590A1283" w14:textId="77777777" w:rsidR="006F18B5" w:rsidRDefault="006F18B5" w:rsidP="006F18B5">
      <w:pPr>
        <w:tabs>
          <w:tab w:val="left" w:pos="0"/>
        </w:tabs>
        <w:ind w:left="360" w:firstLine="0"/>
      </w:pPr>
    </w:p>
    <w:p w14:paraId="1AA62CB8" w14:textId="36928582" w:rsidR="00151547" w:rsidRDefault="00151547" w:rsidP="004D2A38">
      <w:pPr>
        <w:tabs>
          <w:tab w:val="left" w:pos="0"/>
        </w:tabs>
        <w:spacing w:after="160" w:line="259" w:lineRule="auto"/>
        <w:ind w:firstLine="0"/>
        <w:contextualSpacing w:val="0"/>
        <w:jc w:val="left"/>
      </w:pPr>
      <w:r>
        <w:br w:type="page"/>
      </w:r>
    </w:p>
    <w:p w14:paraId="2E18AA43" w14:textId="3B890925" w:rsidR="00151547" w:rsidRDefault="00151547" w:rsidP="000F2D0F">
      <w:pPr>
        <w:pStyle w:val="1"/>
        <w:contextualSpacing w:val="0"/>
        <w:jc w:val="right"/>
      </w:pPr>
      <w:bookmarkStart w:id="44" w:name="_Toc514964143"/>
      <w:r w:rsidRPr="00151547">
        <w:lastRenderedPageBreak/>
        <w:t xml:space="preserve">Appendix </w:t>
      </w:r>
      <w:r w:rsidR="00C40F64">
        <w:t>1</w:t>
      </w:r>
      <w:r w:rsidR="000F2D0F">
        <w:t xml:space="preserve">. </w:t>
      </w:r>
      <w:r w:rsidRPr="00151547">
        <w:t>List of companies</w:t>
      </w:r>
      <w:bookmarkEnd w:id="44"/>
    </w:p>
    <w:tbl>
      <w:tblPr>
        <w:tblW w:w="9300" w:type="dxa"/>
        <w:tblLook w:val="04A0" w:firstRow="1" w:lastRow="0" w:firstColumn="1" w:lastColumn="0" w:noHBand="0" w:noVBand="1"/>
      </w:tblPr>
      <w:tblGrid>
        <w:gridCol w:w="960"/>
        <w:gridCol w:w="5900"/>
        <w:gridCol w:w="2440"/>
      </w:tblGrid>
      <w:tr w:rsidR="008B0525" w:rsidRPr="008B0525" w14:paraId="2D23C40F" w14:textId="77777777" w:rsidTr="008B052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51463" w14:textId="77777777" w:rsidR="008B0525" w:rsidRPr="008B0525" w:rsidRDefault="008B0525" w:rsidP="004D2A38">
            <w:pPr>
              <w:tabs>
                <w:tab w:val="left" w:pos="0"/>
              </w:tabs>
              <w:spacing w:after="0" w:line="240" w:lineRule="auto"/>
              <w:ind w:firstLine="0"/>
              <w:contextualSpacing w:val="0"/>
              <w:jc w:val="center"/>
              <w:rPr>
                <w:rFonts w:eastAsia="Times New Roman" w:cs="Times New Roman"/>
                <w:b/>
                <w:bCs/>
                <w:color w:val="000000"/>
                <w:sz w:val="20"/>
                <w:szCs w:val="20"/>
                <w:lang w:val="ru-RU" w:eastAsia="ru-RU"/>
              </w:rPr>
            </w:pPr>
            <w:r w:rsidRPr="008B0525">
              <w:rPr>
                <w:rFonts w:eastAsia="Times New Roman" w:cs="Times New Roman"/>
                <w:b/>
                <w:bCs/>
                <w:color w:val="000000"/>
                <w:sz w:val="20"/>
                <w:szCs w:val="20"/>
                <w:lang w:val="ru-RU" w:eastAsia="ru-RU"/>
              </w:rPr>
              <w:t>#</w:t>
            </w:r>
          </w:p>
        </w:tc>
        <w:tc>
          <w:tcPr>
            <w:tcW w:w="5900" w:type="dxa"/>
            <w:tcBorders>
              <w:top w:val="single" w:sz="4" w:space="0" w:color="auto"/>
              <w:left w:val="nil"/>
              <w:bottom w:val="single" w:sz="4" w:space="0" w:color="auto"/>
              <w:right w:val="single" w:sz="4" w:space="0" w:color="auto"/>
            </w:tcBorders>
            <w:shd w:val="clear" w:color="auto" w:fill="auto"/>
            <w:noWrap/>
            <w:vAlign w:val="bottom"/>
            <w:hideMark/>
          </w:tcPr>
          <w:p w14:paraId="37EBDC34" w14:textId="77777777" w:rsidR="008B0525" w:rsidRPr="008B0525" w:rsidRDefault="008B0525" w:rsidP="004D2A38">
            <w:pPr>
              <w:tabs>
                <w:tab w:val="left" w:pos="0"/>
              </w:tabs>
              <w:spacing w:after="0" w:line="240" w:lineRule="auto"/>
              <w:ind w:firstLine="0"/>
              <w:contextualSpacing w:val="0"/>
              <w:jc w:val="center"/>
              <w:rPr>
                <w:rFonts w:eastAsia="Times New Roman" w:cs="Times New Roman"/>
                <w:b/>
                <w:bCs/>
                <w:color w:val="000000"/>
                <w:sz w:val="20"/>
                <w:szCs w:val="20"/>
                <w:lang w:val="ru-RU" w:eastAsia="ru-RU"/>
              </w:rPr>
            </w:pPr>
            <w:proofErr w:type="spellStart"/>
            <w:r w:rsidRPr="008B0525">
              <w:rPr>
                <w:rFonts w:eastAsia="Times New Roman" w:cs="Times New Roman"/>
                <w:b/>
                <w:bCs/>
                <w:color w:val="000000"/>
                <w:sz w:val="20"/>
                <w:szCs w:val="20"/>
                <w:lang w:val="ru-RU" w:eastAsia="ru-RU"/>
              </w:rPr>
              <w:t>Company</w:t>
            </w:r>
            <w:proofErr w:type="spellEnd"/>
            <w:r w:rsidRPr="008B0525">
              <w:rPr>
                <w:rFonts w:eastAsia="Times New Roman" w:cs="Times New Roman"/>
                <w:b/>
                <w:bCs/>
                <w:color w:val="000000"/>
                <w:sz w:val="20"/>
                <w:szCs w:val="20"/>
                <w:lang w:val="ru-RU" w:eastAsia="ru-RU"/>
              </w:rPr>
              <w:t xml:space="preserve"> </w:t>
            </w:r>
            <w:proofErr w:type="spellStart"/>
            <w:r w:rsidRPr="008B0525">
              <w:rPr>
                <w:rFonts w:eastAsia="Times New Roman" w:cs="Times New Roman"/>
                <w:b/>
                <w:bCs/>
                <w:color w:val="000000"/>
                <w:sz w:val="20"/>
                <w:szCs w:val="20"/>
                <w:lang w:val="ru-RU" w:eastAsia="ru-RU"/>
              </w:rPr>
              <w:t>name</w:t>
            </w:r>
            <w:proofErr w:type="spellEnd"/>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14:paraId="6E6B803E" w14:textId="77777777" w:rsidR="008B0525" w:rsidRPr="008B0525" w:rsidRDefault="008B0525" w:rsidP="004D2A38">
            <w:pPr>
              <w:tabs>
                <w:tab w:val="left" w:pos="0"/>
              </w:tabs>
              <w:spacing w:after="0" w:line="240" w:lineRule="auto"/>
              <w:ind w:firstLine="0"/>
              <w:contextualSpacing w:val="0"/>
              <w:jc w:val="center"/>
              <w:rPr>
                <w:rFonts w:eastAsia="Times New Roman" w:cs="Times New Roman"/>
                <w:b/>
                <w:bCs/>
                <w:color w:val="000000"/>
                <w:sz w:val="20"/>
                <w:szCs w:val="20"/>
                <w:lang w:val="ru-RU" w:eastAsia="ru-RU"/>
              </w:rPr>
            </w:pPr>
            <w:proofErr w:type="spellStart"/>
            <w:r w:rsidRPr="008B0525">
              <w:rPr>
                <w:rFonts w:eastAsia="Times New Roman" w:cs="Times New Roman"/>
                <w:b/>
                <w:bCs/>
                <w:color w:val="000000"/>
                <w:sz w:val="20"/>
                <w:szCs w:val="20"/>
                <w:lang w:val="ru-RU" w:eastAsia="ru-RU"/>
              </w:rPr>
              <w:t>Country</w:t>
            </w:r>
            <w:proofErr w:type="spellEnd"/>
          </w:p>
        </w:tc>
      </w:tr>
      <w:tr w:rsidR="008B0525" w:rsidRPr="008B0525" w14:paraId="3E0B671D"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253EE7"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1</w:t>
            </w:r>
          </w:p>
        </w:tc>
        <w:tc>
          <w:tcPr>
            <w:tcW w:w="5900" w:type="dxa"/>
            <w:tcBorders>
              <w:top w:val="nil"/>
              <w:left w:val="nil"/>
              <w:bottom w:val="single" w:sz="4" w:space="0" w:color="auto"/>
              <w:right w:val="single" w:sz="4" w:space="0" w:color="auto"/>
            </w:tcBorders>
            <w:shd w:val="clear" w:color="auto" w:fill="auto"/>
            <w:noWrap/>
            <w:vAlign w:val="bottom"/>
            <w:hideMark/>
          </w:tcPr>
          <w:p w14:paraId="3FEAFA63"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Centrica</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plc</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349472F8"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United</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Kingdom</w:t>
            </w:r>
            <w:proofErr w:type="spellEnd"/>
          </w:p>
        </w:tc>
      </w:tr>
      <w:tr w:rsidR="008B0525" w:rsidRPr="008B0525" w14:paraId="2317A951"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7FA743"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2</w:t>
            </w:r>
          </w:p>
        </w:tc>
        <w:tc>
          <w:tcPr>
            <w:tcW w:w="5900" w:type="dxa"/>
            <w:tcBorders>
              <w:top w:val="nil"/>
              <w:left w:val="nil"/>
              <w:bottom w:val="single" w:sz="4" w:space="0" w:color="auto"/>
              <w:right w:val="single" w:sz="4" w:space="0" w:color="auto"/>
            </w:tcBorders>
            <w:shd w:val="clear" w:color="auto" w:fill="auto"/>
            <w:noWrap/>
            <w:vAlign w:val="bottom"/>
            <w:hideMark/>
          </w:tcPr>
          <w:p w14:paraId="7A40AC79"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Gazprom</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Neft</w:t>
            </w:r>
            <w:proofErr w:type="spellEnd"/>
            <w:r w:rsidRPr="008B0525">
              <w:rPr>
                <w:rFonts w:eastAsia="Times New Roman" w:cs="Times New Roman"/>
                <w:color w:val="000000"/>
                <w:sz w:val="20"/>
                <w:szCs w:val="20"/>
                <w:lang w:val="ru-RU" w:eastAsia="ru-RU"/>
              </w:rPr>
              <w:t xml:space="preserve"> OAO</w:t>
            </w:r>
          </w:p>
        </w:tc>
        <w:tc>
          <w:tcPr>
            <w:tcW w:w="2440" w:type="dxa"/>
            <w:tcBorders>
              <w:top w:val="nil"/>
              <w:left w:val="nil"/>
              <w:bottom w:val="single" w:sz="4" w:space="0" w:color="auto"/>
              <w:right w:val="single" w:sz="4" w:space="0" w:color="auto"/>
            </w:tcBorders>
            <w:shd w:val="clear" w:color="auto" w:fill="auto"/>
            <w:noWrap/>
            <w:vAlign w:val="bottom"/>
            <w:hideMark/>
          </w:tcPr>
          <w:p w14:paraId="1E2596D2"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Russian</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Federation</w:t>
            </w:r>
            <w:proofErr w:type="spellEnd"/>
          </w:p>
        </w:tc>
      </w:tr>
      <w:tr w:rsidR="008B0525" w:rsidRPr="008B0525" w14:paraId="1EAEB780"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C756A6"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3</w:t>
            </w:r>
          </w:p>
        </w:tc>
        <w:tc>
          <w:tcPr>
            <w:tcW w:w="5900" w:type="dxa"/>
            <w:tcBorders>
              <w:top w:val="nil"/>
              <w:left w:val="nil"/>
              <w:bottom w:val="single" w:sz="4" w:space="0" w:color="auto"/>
              <w:right w:val="single" w:sz="4" w:space="0" w:color="auto"/>
            </w:tcBorders>
            <w:shd w:val="clear" w:color="auto" w:fill="auto"/>
            <w:noWrap/>
            <w:vAlign w:val="bottom"/>
            <w:hideMark/>
          </w:tcPr>
          <w:p w14:paraId="4354106C"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Ecopetrol</w:t>
            </w:r>
            <w:proofErr w:type="spellEnd"/>
            <w:r w:rsidRPr="008B0525">
              <w:rPr>
                <w:rFonts w:eastAsia="Times New Roman" w:cs="Times New Roman"/>
                <w:color w:val="000000"/>
                <w:sz w:val="20"/>
                <w:szCs w:val="20"/>
                <w:lang w:val="ru-RU" w:eastAsia="ru-RU"/>
              </w:rPr>
              <w:t xml:space="preserve"> SA</w:t>
            </w:r>
          </w:p>
        </w:tc>
        <w:tc>
          <w:tcPr>
            <w:tcW w:w="2440" w:type="dxa"/>
            <w:tcBorders>
              <w:top w:val="nil"/>
              <w:left w:val="nil"/>
              <w:bottom w:val="single" w:sz="4" w:space="0" w:color="auto"/>
              <w:right w:val="single" w:sz="4" w:space="0" w:color="auto"/>
            </w:tcBorders>
            <w:shd w:val="clear" w:color="auto" w:fill="auto"/>
            <w:noWrap/>
            <w:vAlign w:val="bottom"/>
            <w:hideMark/>
          </w:tcPr>
          <w:p w14:paraId="0B06CB37"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Colombia</w:t>
            </w:r>
            <w:proofErr w:type="spellEnd"/>
          </w:p>
        </w:tc>
      </w:tr>
      <w:tr w:rsidR="008B0525" w:rsidRPr="008B0525" w14:paraId="262085E8"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C27E05"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4</w:t>
            </w:r>
          </w:p>
        </w:tc>
        <w:tc>
          <w:tcPr>
            <w:tcW w:w="5900" w:type="dxa"/>
            <w:tcBorders>
              <w:top w:val="nil"/>
              <w:left w:val="nil"/>
              <w:bottom w:val="single" w:sz="4" w:space="0" w:color="auto"/>
              <w:right w:val="single" w:sz="4" w:space="0" w:color="auto"/>
            </w:tcBorders>
            <w:shd w:val="clear" w:color="auto" w:fill="auto"/>
            <w:noWrap/>
            <w:vAlign w:val="bottom"/>
            <w:hideMark/>
          </w:tcPr>
          <w:p w14:paraId="53695B75"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Gas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Natural</w:t>
            </w:r>
            <w:proofErr w:type="spellEnd"/>
            <w:r w:rsidRPr="008B0525">
              <w:rPr>
                <w:rFonts w:eastAsia="Times New Roman" w:cs="Times New Roman"/>
                <w:color w:val="000000"/>
                <w:sz w:val="20"/>
                <w:szCs w:val="20"/>
                <w:lang w:val="ru-RU" w:eastAsia="ru-RU"/>
              </w:rPr>
              <w:t xml:space="preserve"> SDG SA</w:t>
            </w:r>
          </w:p>
        </w:tc>
        <w:tc>
          <w:tcPr>
            <w:tcW w:w="2440" w:type="dxa"/>
            <w:tcBorders>
              <w:top w:val="nil"/>
              <w:left w:val="nil"/>
              <w:bottom w:val="single" w:sz="4" w:space="0" w:color="auto"/>
              <w:right w:val="single" w:sz="4" w:space="0" w:color="auto"/>
            </w:tcBorders>
            <w:shd w:val="clear" w:color="auto" w:fill="auto"/>
            <w:noWrap/>
            <w:vAlign w:val="bottom"/>
            <w:hideMark/>
          </w:tcPr>
          <w:p w14:paraId="0BE688F3"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Spain</w:t>
            </w:r>
            <w:proofErr w:type="spellEnd"/>
          </w:p>
        </w:tc>
      </w:tr>
      <w:tr w:rsidR="008B0525" w:rsidRPr="008B0525" w14:paraId="1493D701"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BDCE87"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5</w:t>
            </w:r>
          </w:p>
        </w:tc>
        <w:tc>
          <w:tcPr>
            <w:tcW w:w="5900" w:type="dxa"/>
            <w:tcBorders>
              <w:top w:val="nil"/>
              <w:left w:val="nil"/>
              <w:bottom w:val="single" w:sz="4" w:space="0" w:color="auto"/>
              <w:right w:val="single" w:sz="4" w:space="0" w:color="auto"/>
            </w:tcBorders>
            <w:shd w:val="clear" w:color="auto" w:fill="auto"/>
            <w:noWrap/>
            <w:vAlign w:val="bottom"/>
            <w:hideMark/>
          </w:tcPr>
          <w:p w14:paraId="34A8E231"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Neftyanaya</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Kompaniya</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LUKoil</w:t>
            </w:r>
            <w:proofErr w:type="spellEnd"/>
            <w:r w:rsidRPr="008B0525">
              <w:rPr>
                <w:rFonts w:eastAsia="Times New Roman" w:cs="Times New Roman"/>
                <w:color w:val="000000"/>
                <w:sz w:val="20"/>
                <w:szCs w:val="20"/>
                <w:lang w:val="ru-RU" w:eastAsia="ru-RU"/>
              </w:rPr>
              <w:t xml:space="preserve"> OAO</w:t>
            </w:r>
          </w:p>
        </w:tc>
        <w:tc>
          <w:tcPr>
            <w:tcW w:w="2440" w:type="dxa"/>
            <w:tcBorders>
              <w:top w:val="nil"/>
              <w:left w:val="nil"/>
              <w:bottom w:val="single" w:sz="4" w:space="0" w:color="auto"/>
              <w:right w:val="single" w:sz="4" w:space="0" w:color="auto"/>
            </w:tcBorders>
            <w:shd w:val="clear" w:color="auto" w:fill="auto"/>
            <w:noWrap/>
            <w:vAlign w:val="bottom"/>
            <w:hideMark/>
          </w:tcPr>
          <w:p w14:paraId="4DFA40C6"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Russian</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Federation</w:t>
            </w:r>
            <w:proofErr w:type="spellEnd"/>
          </w:p>
        </w:tc>
      </w:tr>
      <w:tr w:rsidR="008B0525" w:rsidRPr="008B0525" w14:paraId="692C8666"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AC0A7F"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6</w:t>
            </w:r>
          </w:p>
        </w:tc>
        <w:tc>
          <w:tcPr>
            <w:tcW w:w="5900" w:type="dxa"/>
            <w:tcBorders>
              <w:top w:val="nil"/>
              <w:left w:val="nil"/>
              <w:bottom w:val="single" w:sz="4" w:space="0" w:color="auto"/>
              <w:right w:val="single" w:sz="4" w:space="0" w:color="auto"/>
            </w:tcBorders>
            <w:shd w:val="clear" w:color="auto" w:fill="auto"/>
            <w:noWrap/>
            <w:vAlign w:val="bottom"/>
            <w:hideMark/>
          </w:tcPr>
          <w:p w14:paraId="111B6868"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Gazprom</w:t>
            </w:r>
            <w:proofErr w:type="spellEnd"/>
            <w:r w:rsidRPr="008B0525">
              <w:rPr>
                <w:rFonts w:eastAsia="Times New Roman" w:cs="Times New Roman"/>
                <w:color w:val="000000"/>
                <w:sz w:val="20"/>
                <w:szCs w:val="20"/>
                <w:lang w:val="ru-RU" w:eastAsia="ru-RU"/>
              </w:rPr>
              <w:t xml:space="preserve"> OAO</w:t>
            </w:r>
          </w:p>
        </w:tc>
        <w:tc>
          <w:tcPr>
            <w:tcW w:w="2440" w:type="dxa"/>
            <w:tcBorders>
              <w:top w:val="nil"/>
              <w:left w:val="nil"/>
              <w:bottom w:val="single" w:sz="4" w:space="0" w:color="auto"/>
              <w:right w:val="single" w:sz="4" w:space="0" w:color="auto"/>
            </w:tcBorders>
            <w:shd w:val="clear" w:color="auto" w:fill="auto"/>
            <w:noWrap/>
            <w:vAlign w:val="bottom"/>
            <w:hideMark/>
          </w:tcPr>
          <w:p w14:paraId="63810F15"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Russian</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Federation</w:t>
            </w:r>
            <w:proofErr w:type="spellEnd"/>
          </w:p>
        </w:tc>
      </w:tr>
      <w:tr w:rsidR="008B0525" w:rsidRPr="008B0525" w14:paraId="0DCEB2B2"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2CD4DD"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7</w:t>
            </w:r>
          </w:p>
        </w:tc>
        <w:tc>
          <w:tcPr>
            <w:tcW w:w="5900" w:type="dxa"/>
            <w:tcBorders>
              <w:top w:val="nil"/>
              <w:left w:val="nil"/>
              <w:bottom w:val="single" w:sz="4" w:space="0" w:color="auto"/>
              <w:right w:val="single" w:sz="4" w:space="0" w:color="auto"/>
            </w:tcBorders>
            <w:shd w:val="clear" w:color="auto" w:fill="auto"/>
            <w:noWrap/>
            <w:vAlign w:val="bottom"/>
            <w:hideMark/>
          </w:tcPr>
          <w:p w14:paraId="0EEF0C03"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Obsidian</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Energy</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03AC8DF5"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Canada</w:t>
            </w:r>
            <w:proofErr w:type="spellEnd"/>
          </w:p>
        </w:tc>
      </w:tr>
      <w:tr w:rsidR="008B0525" w:rsidRPr="008B0525" w14:paraId="00390B07"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A9FD1A"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8</w:t>
            </w:r>
          </w:p>
        </w:tc>
        <w:tc>
          <w:tcPr>
            <w:tcW w:w="5900" w:type="dxa"/>
            <w:tcBorders>
              <w:top w:val="nil"/>
              <w:left w:val="nil"/>
              <w:bottom w:val="single" w:sz="4" w:space="0" w:color="auto"/>
              <w:right w:val="single" w:sz="4" w:space="0" w:color="auto"/>
            </w:tcBorders>
            <w:shd w:val="clear" w:color="auto" w:fill="auto"/>
            <w:noWrap/>
            <w:vAlign w:val="bottom"/>
            <w:hideMark/>
          </w:tcPr>
          <w:p w14:paraId="0D5FAF42"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Origin</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Energy</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Ltd</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2AD31E2A"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Australia</w:t>
            </w:r>
            <w:proofErr w:type="spellEnd"/>
          </w:p>
        </w:tc>
      </w:tr>
      <w:tr w:rsidR="008B0525" w:rsidRPr="008B0525" w14:paraId="05847CFD"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68AFE3"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9</w:t>
            </w:r>
          </w:p>
        </w:tc>
        <w:tc>
          <w:tcPr>
            <w:tcW w:w="5900" w:type="dxa"/>
            <w:tcBorders>
              <w:top w:val="nil"/>
              <w:left w:val="nil"/>
              <w:bottom w:val="single" w:sz="4" w:space="0" w:color="auto"/>
              <w:right w:val="single" w:sz="4" w:space="0" w:color="auto"/>
            </w:tcBorders>
            <w:shd w:val="clear" w:color="auto" w:fill="auto"/>
            <w:noWrap/>
            <w:vAlign w:val="bottom"/>
            <w:hideMark/>
          </w:tcPr>
          <w:p w14:paraId="76304E9C"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Novatek</w:t>
            </w:r>
            <w:proofErr w:type="spellEnd"/>
            <w:r w:rsidRPr="008B0525">
              <w:rPr>
                <w:rFonts w:eastAsia="Times New Roman" w:cs="Times New Roman"/>
                <w:color w:val="000000"/>
                <w:sz w:val="20"/>
                <w:szCs w:val="20"/>
                <w:lang w:val="ru-RU" w:eastAsia="ru-RU"/>
              </w:rPr>
              <w:t xml:space="preserve"> OAO</w:t>
            </w:r>
          </w:p>
        </w:tc>
        <w:tc>
          <w:tcPr>
            <w:tcW w:w="2440" w:type="dxa"/>
            <w:tcBorders>
              <w:top w:val="nil"/>
              <w:left w:val="nil"/>
              <w:bottom w:val="single" w:sz="4" w:space="0" w:color="auto"/>
              <w:right w:val="single" w:sz="4" w:space="0" w:color="auto"/>
            </w:tcBorders>
            <w:shd w:val="clear" w:color="auto" w:fill="auto"/>
            <w:noWrap/>
            <w:vAlign w:val="bottom"/>
            <w:hideMark/>
          </w:tcPr>
          <w:p w14:paraId="3644B946"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Russian</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Federation</w:t>
            </w:r>
            <w:proofErr w:type="spellEnd"/>
          </w:p>
        </w:tc>
      </w:tr>
      <w:tr w:rsidR="008B0525" w:rsidRPr="008B0525" w14:paraId="50EEF6C1"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BB9F1F"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10</w:t>
            </w:r>
          </w:p>
        </w:tc>
        <w:tc>
          <w:tcPr>
            <w:tcW w:w="5900" w:type="dxa"/>
            <w:tcBorders>
              <w:top w:val="nil"/>
              <w:left w:val="nil"/>
              <w:bottom w:val="single" w:sz="4" w:space="0" w:color="auto"/>
              <w:right w:val="single" w:sz="4" w:space="0" w:color="auto"/>
            </w:tcBorders>
            <w:shd w:val="clear" w:color="auto" w:fill="auto"/>
            <w:noWrap/>
            <w:vAlign w:val="bottom"/>
            <w:hideMark/>
          </w:tcPr>
          <w:p w14:paraId="26D43E5B"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Energen</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Corporation</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3768F796"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United</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States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of</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America</w:t>
            </w:r>
            <w:proofErr w:type="spellEnd"/>
          </w:p>
        </w:tc>
      </w:tr>
      <w:tr w:rsidR="008B0525" w:rsidRPr="008B0525" w14:paraId="71B9F4EE"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7D2BF7"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11</w:t>
            </w:r>
          </w:p>
        </w:tc>
        <w:tc>
          <w:tcPr>
            <w:tcW w:w="5900" w:type="dxa"/>
            <w:tcBorders>
              <w:top w:val="nil"/>
              <w:left w:val="nil"/>
              <w:bottom w:val="single" w:sz="4" w:space="0" w:color="auto"/>
              <w:right w:val="single" w:sz="4" w:space="0" w:color="auto"/>
            </w:tcBorders>
            <w:shd w:val="clear" w:color="auto" w:fill="auto"/>
            <w:noWrap/>
            <w:vAlign w:val="bottom"/>
            <w:hideMark/>
          </w:tcPr>
          <w:p w14:paraId="2F0CAB7A"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Grupa</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Lotos</w:t>
            </w:r>
            <w:proofErr w:type="spellEnd"/>
            <w:r w:rsidRPr="008B0525">
              <w:rPr>
                <w:rFonts w:eastAsia="Times New Roman" w:cs="Times New Roman"/>
                <w:color w:val="000000"/>
                <w:sz w:val="20"/>
                <w:szCs w:val="20"/>
                <w:lang w:val="ru-RU" w:eastAsia="ru-RU"/>
              </w:rPr>
              <w:t xml:space="preserve"> SA</w:t>
            </w:r>
          </w:p>
        </w:tc>
        <w:tc>
          <w:tcPr>
            <w:tcW w:w="2440" w:type="dxa"/>
            <w:tcBorders>
              <w:top w:val="nil"/>
              <w:left w:val="nil"/>
              <w:bottom w:val="single" w:sz="4" w:space="0" w:color="auto"/>
              <w:right w:val="single" w:sz="4" w:space="0" w:color="auto"/>
            </w:tcBorders>
            <w:shd w:val="clear" w:color="auto" w:fill="auto"/>
            <w:noWrap/>
            <w:vAlign w:val="bottom"/>
            <w:hideMark/>
          </w:tcPr>
          <w:p w14:paraId="141B2DD5"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Poland</w:t>
            </w:r>
            <w:proofErr w:type="spellEnd"/>
          </w:p>
        </w:tc>
      </w:tr>
      <w:tr w:rsidR="008B0525" w:rsidRPr="008B0525" w14:paraId="28865FFE"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F64347"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12</w:t>
            </w:r>
          </w:p>
        </w:tc>
        <w:tc>
          <w:tcPr>
            <w:tcW w:w="5900" w:type="dxa"/>
            <w:tcBorders>
              <w:top w:val="nil"/>
              <w:left w:val="nil"/>
              <w:bottom w:val="single" w:sz="4" w:space="0" w:color="auto"/>
              <w:right w:val="single" w:sz="4" w:space="0" w:color="auto"/>
            </w:tcBorders>
            <w:shd w:val="clear" w:color="auto" w:fill="auto"/>
            <w:noWrap/>
            <w:vAlign w:val="bottom"/>
            <w:hideMark/>
          </w:tcPr>
          <w:p w14:paraId="537FB529"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Suncor</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Energy</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Inc</w:t>
            </w:r>
            <w:proofErr w:type="spellEnd"/>
            <w:r w:rsidRPr="008B0525">
              <w:rPr>
                <w:rFonts w:eastAsia="Times New Roman" w:cs="Times New Roman"/>
                <w:color w:val="000000"/>
                <w:sz w:val="20"/>
                <w:szCs w:val="20"/>
                <w:lang w:val="ru-RU" w:eastAsia="ru-RU"/>
              </w:rPr>
              <w:t>.</w:t>
            </w:r>
          </w:p>
        </w:tc>
        <w:tc>
          <w:tcPr>
            <w:tcW w:w="2440" w:type="dxa"/>
            <w:tcBorders>
              <w:top w:val="nil"/>
              <w:left w:val="nil"/>
              <w:bottom w:val="single" w:sz="4" w:space="0" w:color="auto"/>
              <w:right w:val="single" w:sz="4" w:space="0" w:color="auto"/>
            </w:tcBorders>
            <w:shd w:val="clear" w:color="auto" w:fill="auto"/>
            <w:noWrap/>
            <w:vAlign w:val="bottom"/>
            <w:hideMark/>
          </w:tcPr>
          <w:p w14:paraId="6555D2D7"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Canada</w:t>
            </w:r>
            <w:proofErr w:type="spellEnd"/>
          </w:p>
        </w:tc>
      </w:tr>
      <w:tr w:rsidR="008B0525" w:rsidRPr="008B0525" w14:paraId="52312B58"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1D5D9A"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13</w:t>
            </w:r>
          </w:p>
        </w:tc>
        <w:tc>
          <w:tcPr>
            <w:tcW w:w="5900" w:type="dxa"/>
            <w:tcBorders>
              <w:top w:val="nil"/>
              <w:left w:val="nil"/>
              <w:bottom w:val="single" w:sz="4" w:space="0" w:color="auto"/>
              <w:right w:val="single" w:sz="4" w:space="0" w:color="auto"/>
            </w:tcBorders>
            <w:shd w:val="clear" w:color="auto" w:fill="auto"/>
            <w:noWrap/>
            <w:vAlign w:val="bottom"/>
            <w:hideMark/>
          </w:tcPr>
          <w:p w14:paraId="6F9CBDFA"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Reliance</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Industries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Ltd</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6B310246"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India</w:t>
            </w:r>
            <w:proofErr w:type="spellEnd"/>
          </w:p>
        </w:tc>
      </w:tr>
      <w:tr w:rsidR="008B0525" w:rsidRPr="008B0525" w14:paraId="41673FA5"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58A8CF"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14</w:t>
            </w:r>
          </w:p>
        </w:tc>
        <w:tc>
          <w:tcPr>
            <w:tcW w:w="5900" w:type="dxa"/>
            <w:tcBorders>
              <w:top w:val="nil"/>
              <w:left w:val="nil"/>
              <w:bottom w:val="single" w:sz="4" w:space="0" w:color="auto"/>
              <w:right w:val="single" w:sz="4" w:space="0" w:color="auto"/>
            </w:tcBorders>
            <w:shd w:val="clear" w:color="auto" w:fill="auto"/>
            <w:noWrap/>
            <w:vAlign w:val="bottom"/>
            <w:hideMark/>
          </w:tcPr>
          <w:p w14:paraId="3B50DEDF"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Murphy</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Oil</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Corporation</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2882EA67"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United</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States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of</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America</w:t>
            </w:r>
            <w:proofErr w:type="spellEnd"/>
          </w:p>
        </w:tc>
      </w:tr>
      <w:tr w:rsidR="008B0525" w:rsidRPr="008B0525" w14:paraId="4ACDE763"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0168B2"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15</w:t>
            </w:r>
          </w:p>
        </w:tc>
        <w:tc>
          <w:tcPr>
            <w:tcW w:w="5900" w:type="dxa"/>
            <w:tcBorders>
              <w:top w:val="nil"/>
              <w:left w:val="nil"/>
              <w:bottom w:val="single" w:sz="4" w:space="0" w:color="auto"/>
              <w:right w:val="single" w:sz="4" w:space="0" w:color="auto"/>
            </w:tcBorders>
            <w:shd w:val="clear" w:color="auto" w:fill="auto"/>
            <w:noWrap/>
            <w:vAlign w:val="bottom"/>
            <w:hideMark/>
          </w:tcPr>
          <w:p w14:paraId="1E1A40A5"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Crescent</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Point</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Energy</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Corporation</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702EB475"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Canada</w:t>
            </w:r>
            <w:proofErr w:type="spellEnd"/>
          </w:p>
        </w:tc>
      </w:tr>
      <w:tr w:rsidR="008B0525" w:rsidRPr="008B0525" w14:paraId="1F33A645"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32969B"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16</w:t>
            </w:r>
          </w:p>
        </w:tc>
        <w:tc>
          <w:tcPr>
            <w:tcW w:w="5900" w:type="dxa"/>
            <w:tcBorders>
              <w:top w:val="nil"/>
              <w:left w:val="nil"/>
              <w:bottom w:val="single" w:sz="4" w:space="0" w:color="auto"/>
              <w:right w:val="single" w:sz="4" w:space="0" w:color="auto"/>
            </w:tcBorders>
            <w:shd w:val="clear" w:color="auto" w:fill="auto"/>
            <w:noWrap/>
            <w:vAlign w:val="bottom"/>
            <w:hideMark/>
          </w:tcPr>
          <w:p w14:paraId="27C8A9C0"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eastAsia="ru-RU"/>
              </w:rPr>
            </w:pPr>
            <w:proofErr w:type="spellStart"/>
            <w:r w:rsidRPr="008B0525">
              <w:rPr>
                <w:rFonts w:eastAsia="Times New Roman" w:cs="Times New Roman"/>
                <w:color w:val="000000"/>
                <w:sz w:val="20"/>
                <w:szCs w:val="20"/>
                <w:lang w:eastAsia="ru-RU"/>
              </w:rPr>
              <w:t>Aktsionernaya</w:t>
            </w:r>
            <w:proofErr w:type="spellEnd"/>
            <w:r w:rsidRPr="008B0525">
              <w:rPr>
                <w:rFonts w:eastAsia="Times New Roman" w:cs="Times New Roman"/>
                <w:color w:val="000000"/>
                <w:sz w:val="20"/>
                <w:szCs w:val="20"/>
                <w:lang w:eastAsia="ru-RU"/>
              </w:rPr>
              <w:t xml:space="preserve"> </w:t>
            </w:r>
            <w:proofErr w:type="spellStart"/>
            <w:r w:rsidRPr="008B0525">
              <w:rPr>
                <w:rFonts w:eastAsia="Times New Roman" w:cs="Times New Roman"/>
                <w:color w:val="000000"/>
                <w:sz w:val="20"/>
                <w:szCs w:val="20"/>
                <w:lang w:eastAsia="ru-RU"/>
              </w:rPr>
              <w:t>Neftyanaya</w:t>
            </w:r>
            <w:proofErr w:type="spellEnd"/>
            <w:r w:rsidRPr="008B0525">
              <w:rPr>
                <w:rFonts w:eastAsia="Times New Roman" w:cs="Times New Roman"/>
                <w:color w:val="000000"/>
                <w:sz w:val="20"/>
                <w:szCs w:val="20"/>
                <w:lang w:eastAsia="ru-RU"/>
              </w:rPr>
              <w:t xml:space="preserve"> </w:t>
            </w:r>
            <w:proofErr w:type="spellStart"/>
            <w:r w:rsidRPr="008B0525">
              <w:rPr>
                <w:rFonts w:eastAsia="Times New Roman" w:cs="Times New Roman"/>
                <w:color w:val="000000"/>
                <w:sz w:val="20"/>
                <w:szCs w:val="20"/>
                <w:lang w:eastAsia="ru-RU"/>
              </w:rPr>
              <w:t>Kompaniya</w:t>
            </w:r>
            <w:proofErr w:type="spellEnd"/>
            <w:r w:rsidRPr="008B0525">
              <w:rPr>
                <w:rFonts w:eastAsia="Times New Roman" w:cs="Times New Roman"/>
                <w:color w:val="000000"/>
                <w:sz w:val="20"/>
                <w:szCs w:val="20"/>
                <w:lang w:eastAsia="ru-RU"/>
              </w:rPr>
              <w:t xml:space="preserve"> </w:t>
            </w:r>
            <w:proofErr w:type="spellStart"/>
            <w:r w:rsidRPr="008B0525">
              <w:rPr>
                <w:rFonts w:eastAsia="Times New Roman" w:cs="Times New Roman"/>
                <w:color w:val="000000"/>
                <w:sz w:val="20"/>
                <w:szCs w:val="20"/>
                <w:lang w:eastAsia="ru-RU"/>
              </w:rPr>
              <w:t>Bashneft</w:t>
            </w:r>
            <w:proofErr w:type="spellEnd"/>
            <w:r w:rsidRPr="008B0525">
              <w:rPr>
                <w:rFonts w:eastAsia="Times New Roman" w:cs="Times New Roman"/>
                <w:color w:val="000000"/>
                <w:sz w:val="20"/>
                <w:szCs w:val="20"/>
                <w:lang w:eastAsia="ru-RU"/>
              </w:rPr>
              <w:t xml:space="preserve"> OAO</w:t>
            </w:r>
          </w:p>
        </w:tc>
        <w:tc>
          <w:tcPr>
            <w:tcW w:w="2440" w:type="dxa"/>
            <w:tcBorders>
              <w:top w:val="nil"/>
              <w:left w:val="nil"/>
              <w:bottom w:val="single" w:sz="4" w:space="0" w:color="auto"/>
              <w:right w:val="single" w:sz="4" w:space="0" w:color="auto"/>
            </w:tcBorders>
            <w:shd w:val="clear" w:color="auto" w:fill="auto"/>
            <w:noWrap/>
            <w:vAlign w:val="bottom"/>
            <w:hideMark/>
          </w:tcPr>
          <w:p w14:paraId="582504BD"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Russian</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Federation</w:t>
            </w:r>
            <w:proofErr w:type="spellEnd"/>
          </w:p>
        </w:tc>
      </w:tr>
      <w:tr w:rsidR="008B0525" w:rsidRPr="008B0525" w14:paraId="2D6E9E9D"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7E7637"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17</w:t>
            </w:r>
          </w:p>
        </w:tc>
        <w:tc>
          <w:tcPr>
            <w:tcW w:w="5900" w:type="dxa"/>
            <w:tcBorders>
              <w:top w:val="nil"/>
              <w:left w:val="nil"/>
              <w:bottom w:val="single" w:sz="4" w:space="0" w:color="auto"/>
              <w:right w:val="single" w:sz="4" w:space="0" w:color="auto"/>
            </w:tcBorders>
            <w:shd w:val="clear" w:color="auto" w:fill="auto"/>
            <w:noWrap/>
            <w:vAlign w:val="bottom"/>
            <w:hideMark/>
          </w:tcPr>
          <w:p w14:paraId="5D89EAF4"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Occidental</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Petroleum</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Corporation</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0F077DB7"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United</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States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of</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America</w:t>
            </w:r>
            <w:proofErr w:type="spellEnd"/>
          </w:p>
        </w:tc>
      </w:tr>
      <w:tr w:rsidR="008B0525" w:rsidRPr="008B0525" w14:paraId="3D5FD35C"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C7AB4E"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18</w:t>
            </w:r>
          </w:p>
        </w:tc>
        <w:tc>
          <w:tcPr>
            <w:tcW w:w="5900" w:type="dxa"/>
            <w:tcBorders>
              <w:top w:val="nil"/>
              <w:left w:val="nil"/>
              <w:bottom w:val="single" w:sz="4" w:space="0" w:color="auto"/>
              <w:right w:val="single" w:sz="4" w:space="0" w:color="auto"/>
            </w:tcBorders>
            <w:shd w:val="clear" w:color="auto" w:fill="auto"/>
            <w:noWrap/>
            <w:vAlign w:val="bottom"/>
            <w:hideMark/>
          </w:tcPr>
          <w:p w14:paraId="120380A4"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 xml:space="preserve">DCP </w:t>
            </w:r>
            <w:proofErr w:type="spellStart"/>
            <w:r w:rsidRPr="008B0525">
              <w:rPr>
                <w:rFonts w:eastAsia="Times New Roman" w:cs="Times New Roman"/>
                <w:color w:val="000000"/>
                <w:sz w:val="20"/>
                <w:szCs w:val="20"/>
                <w:lang w:val="ru-RU" w:eastAsia="ru-RU"/>
              </w:rPr>
              <w:t>Midstream</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Partners</w:t>
            </w:r>
            <w:proofErr w:type="spellEnd"/>
            <w:r w:rsidRPr="008B0525">
              <w:rPr>
                <w:rFonts w:eastAsia="Times New Roman" w:cs="Times New Roman"/>
                <w:color w:val="000000"/>
                <w:sz w:val="20"/>
                <w:szCs w:val="20"/>
                <w:lang w:val="ru-RU" w:eastAsia="ru-RU"/>
              </w:rPr>
              <w:t xml:space="preserve"> LP</w:t>
            </w:r>
          </w:p>
        </w:tc>
        <w:tc>
          <w:tcPr>
            <w:tcW w:w="2440" w:type="dxa"/>
            <w:tcBorders>
              <w:top w:val="nil"/>
              <w:left w:val="nil"/>
              <w:bottom w:val="single" w:sz="4" w:space="0" w:color="auto"/>
              <w:right w:val="single" w:sz="4" w:space="0" w:color="auto"/>
            </w:tcBorders>
            <w:shd w:val="clear" w:color="auto" w:fill="auto"/>
            <w:noWrap/>
            <w:vAlign w:val="bottom"/>
            <w:hideMark/>
          </w:tcPr>
          <w:p w14:paraId="2B6ADAFD"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United</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States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of</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America</w:t>
            </w:r>
            <w:proofErr w:type="spellEnd"/>
          </w:p>
        </w:tc>
      </w:tr>
      <w:tr w:rsidR="008B0525" w:rsidRPr="008B0525" w14:paraId="0D2A0A15"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3C33C9"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19</w:t>
            </w:r>
          </w:p>
        </w:tc>
        <w:tc>
          <w:tcPr>
            <w:tcW w:w="5900" w:type="dxa"/>
            <w:tcBorders>
              <w:top w:val="nil"/>
              <w:left w:val="nil"/>
              <w:bottom w:val="single" w:sz="4" w:space="0" w:color="auto"/>
              <w:right w:val="single" w:sz="4" w:space="0" w:color="auto"/>
            </w:tcBorders>
            <w:shd w:val="clear" w:color="auto" w:fill="auto"/>
            <w:noWrap/>
            <w:vAlign w:val="bottom"/>
            <w:hideMark/>
          </w:tcPr>
          <w:p w14:paraId="409B64CF"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Anadarko</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Petroleum</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Corporation</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24773B48"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United</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States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of</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America</w:t>
            </w:r>
            <w:proofErr w:type="spellEnd"/>
          </w:p>
        </w:tc>
      </w:tr>
      <w:tr w:rsidR="008B0525" w:rsidRPr="008B0525" w14:paraId="7FEE4CF8"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D181B3"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20</w:t>
            </w:r>
          </w:p>
        </w:tc>
        <w:tc>
          <w:tcPr>
            <w:tcW w:w="5900" w:type="dxa"/>
            <w:tcBorders>
              <w:top w:val="nil"/>
              <w:left w:val="nil"/>
              <w:bottom w:val="single" w:sz="4" w:space="0" w:color="auto"/>
              <w:right w:val="single" w:sz="4" w:space="0" w:color="auto"/>
            </w:tcBorders>
            <w:shd w:val="clear" w:color="auto" w:fill="auto"/>
            <w:noWrap/>
            <w:vAlign w:val="bottom"/>
            <w:hideMark/>
          </w:tcPr>
          <w:p w14:paraId="2069811A"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Beach</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Energy</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Ltd</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0A8A8A74"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Australia</w:t>
            </w:r>
            <w:proofErr w:type="spellEnd"/>
          </w:p>
        </w:tc>
      </w:tr>
      <w:tr w:rsidR="008B0525" w:rsidRPr="008B0525" w14:paraId="4C49569E"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0BB536"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21</w:t>
            </w:r>
          </w:p>
        </w:tc>
        <w:tc>
          <w:tcPr>
            <w:tcW w:w="5900" w:type="dxa"/>
            <w:tcBorders>
              <w:top w:val="nil"/>
              <w:left w:val="nil"/>
              <w:bottom w:val="single" w:sz="4" w:space="0" w:color="auto"/>
              <w:right w:val="single" w:sz="4" w:space="0" w:color="auto"/>
            </w:tcBorders>
            <w:shd w:val="clear" w:color="auto" w:fill="auto"/>
            <w:noWrap/>
            <w:vAlign w:val="bottom"/>
            <w:hideMark/>
          </w:tcPr>
          <w:p w14:paraId="0033C0D9"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Denbury</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Resources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Inc</w:t>
            </w:r>
            <w:proofErr w:type="spellEnd"/>
            <w:r w:rsidRPr="008B0525">
              <w:rPr>
                <w:rFonts w:eastAsia="Times New Roman" w:cs="Times New Roman"/>
                <w:color w:val="000000"/>
                <w:sz w:val="20"/>
                <w:szCs w:val="20"/>
                <w:lang w:val="ru-RU" w:eastAsia="ru-RU"/>
              </w:rPr>
              <w:t>.</w:t>
            </w:r>
          </w:p>
        </w:tc>
        <w:tc>
          <w:tcPr>
            <w:tcW w:w="2440" w:type="dxa"/>
            <w:tcBorders>
              <w:top w:val="nil"/>
              <w:left w:val="nil"/>
              <w:bottom w:val="single" w:sz="4" w:space="0" w:color="auto"/>
              <w:right w:val="single" w:sz="4" w:space="0" w:color="auto"/>
            </w:tcBorders>
            <w:shd w:val="clear" w:color="auto" w:fill="auto"/>
            <w:noWrap/>
            <w:vAlign w:val="bottom"/>
            <w:hideMark/>
          </w:tcPr>
          <w:p w14:paraId="5C79EB6B"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United</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States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of</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America</w:t>
            </w:r>
            <w:proofErr w:type="spellEnd"/>
          </w:p>
        </w:tc>
      </w:tr>
      <w:tr w:rsidR="008B0525" w:rsidRPr="008B0525" w14:paraId="35DA0D2A"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8CBF18"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22</w:t>
            </w:r>
          </w:p>
        </w:tc>
        <w:tc>
          <w:tcPr>
            <w:tcW w:w="5900" w:type="dxa"/>
            <w:tcBorders>
              <w:top w:val="nil"/>
              <w:left w:val="nil"/>
              <w:bottom w:val="single" w:sz="4" w:space="0" w:color="auto"/>
              <w:right w:val="single" w:sz="4" w:space="0" w:color="auto"/>
            </w:tcBorders>
            <w:shd w:val="clear" w:color="auto" w:fill="auto"/>
            <w:noWrap/>
            <w:vAlign w:val="bottom"/>
            <w:hideMark/>
          </w:tcPr>
          <w:p w14:paraId="168BD171"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Ramba</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Energy</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Ltd</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0CEE87BD"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Singapore</w:t>
            </w:r>
            <w:proofErr w:type="spellEnd"/>
          </w:p>
        </w:tc>
      </w:tr>
      <w:tr w:rsidR="008B0525" w:rsidRPr="008B0525" w14:paraId="72D4CAB6"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37E43F"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23</w:t>
            </w:r>
          </w:p>
        </w:tc>
        <w:tc>
          <w:tcPr>
            <w:tcW w:w="5900" w:type="dxa"/>
            <w:tcBorders>
              <w:top w:val="nil"/>
              <w:left w:val="nil"/>
              <w:bottom w:val="single" w:sz="4" w:space="0" w:color="auto"/>
              <w:right w:val="single" w:sz="4" w:space="0" w:color="auto"/>
            </w:tcBorders>
            <w:shd w:val="clear" w:color="auto" w:fill="auto"/>
            <w:noWrap/>
            <w:vAlign w:val="bottom"/>
            <w:hideMark/>
          </w:tcPr>
          <w:p w14:paraId="403BEC26"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 xml:space="preserve">OMV </w:t>
            </w:r>
            <w:proofErr w:type="spellStart"/>
            <w:r w:rsidRPr="008B0525">
              <w:rPr>
                <w:rFonts w:eastAsia="Times New Roman" w:cs="Times New Roman"/>
                <w:color w:val="000000"/>
                <w:sz w:val="20"/>
                <w:szCs w:val="20"/>
                <w:lang w:val="ru-RU" w:eastAsia="ru-RU"/>
              </w:rPr>
              <w:t>Petrom</w:t>
            </w:r>
            <w:proofErr w:type="spellEnd"/>
            <w:r w:rsidRPr="008B0525">
              <w:rPr>
                <w:rFonts w:eastAsia="Times New Roman" w:cs="Times New Roman"/>
                <w:color w:val="000000"/>
                <w:sz w:val="20"/>
                <w:szCs w:val="20"/>
                <w:lang w:val="ru-RU" w:eastAsia="ru-RU"/>
              </w:rPr>
              <w:t xml:space="preserve"> SA</w:t>
            </w:r>
          </w:p>
        </w:tc>
        <w:tc>
          <w:tcPr>
            <w:tcW w:w="2440" w:type="dxa"/>
            <w:tcBorders>
              <w:top w:val="nil"/>
              <w:left w:val="nil"/>
              <w:bottom w:val="single" w:sz="4" w:space="0" w:color="auto"/>
              <w:right w:val="single" w:sz="4" w:space="0" w:color="auto"/>
            </w:tcBorders>
            <w:shd w:val="clear" w:color="auto" w:fill="auto"/>
            <w:noWrap/>
            <w:vAlign w:val="bottom"/>
            <w:hideMark/>
          </w:tcPr>
          <w:p w14:paraId="55DF4E89"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Romania</w:t>
            </w:r>
            <w:proofErr w:type="spellEnd"/>
          </w:p>
        </w:tc>
      </w:tr>
      <w:tr w:rsidR="008B0525" w:rsidRPr="008B0525" w14:paraId="5FDAEA0A"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71AC5D"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24</w:t>
            </w:r>
          </w:p>
        </w:tc>
        <w:tc>
          <w:tcPr>
            <w:tcW w:w="5900" w:type="dxa"/>
            <w:tcBorders>
              <w:top w:val="nil"/>
              <w:left w:val="nil"/>
              <w:bottom w:val="single" w:sz="4" w:space="0" w:color="auto"/>
              <w:right w:val="single" w:sz="4" w:space="0" w:color="auto"/>
            </w:tcBorders>
            <w:shd w:val="clear" w:color="auto" w:fill="auto"/>
            <w:noWrap/>
            <w:vAlign w:val="bottom"/>
            <w:hideMark/>
          </w:tcPr>
          <w:p w14:paraId="6BEE5C8D"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 xml:space="preserve">BG </w:t>
            </w:r>
            <w:proofErr w:type="spellStart"/>
            <w:r w:rsidRPr="008B0525">
              <w:rPr>
                <w:rFonts w:eastAsia="Times New Roman" w:cs="Times New Roman"/>
                <w:color w:val="000000"/>
                <w:sz w:val="20"/>
                <w:szCs w:val="20"/>
                <w:lang w:val="ru-RU" w:eastAsia="ru-RU"/>
              </w:rPr>
              <w:t>Group</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plc</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32617539"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United</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Kingdom</w:t>
            </w:r>
            <w:proofErr w:type="spellEnd"/>
          </w:p>
        </w:tc>
      </w:tr>
      <w:tr w:rsidR="008B0525" w:rsidRPr="008B0525" w14:paraId="199A6402"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5175C5"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25</w:t>
            </w:r>
          </w:p>
        </w:tc>
        <w:tc>
          <w:tcPr>
            <w:tcW w:w="5900" w:type="dxa"/>
            <w:tcBorders>
              <w:top w:val="nil"/>
              <w:left w:val="nil"/>
              <w:bottom w:val="single" w:sz="4" w:space="0" w:color="auto"/>
              <w:right w:val="single" w:sz="4" w:space="0" w:color="auto"/>
            </w:tcBorders>
            <w:shd w:val="clear" w:color="auto" w:fill="auto"/>
            <w:noWrap/>
            <w:vAlign w:val="bottom"/>
            <w:hideMark/>
          </w:tcPr>
          <w:p w14:paraId="0C1FF53D"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Baytex</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Energy</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Ltd</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410FE393"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Canada</w:t>
            </w:r>
            <w:proofErr w:type="spellEnd"/>
          </w:p>
        </w:tc>
      </w:tr>
      <w:tr w:rsidR="008B0525" w:rsidRPr="008B0525" w14:paraId="283B6040"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FB5FE4"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26</w:t>
            </w:r>
          </w:p>
        </w:tc>
        <w:tc>
          <w:tcPr>
            <w:tcW w:w="5900" w:type="dxa"/>
            <w:tcBorders>
              <w:top w:val="nil"/>
              <w:left w:val="nil"/>
              <w:bottom w:val="single" w:sz="4" w:space="0" w:color="auto"/>
              <w:right w:val="single" w:sz="4" w:space="0" w:color="auto"/>
            </w:tcBorders>
            <w:shd w:val="clear" w:color="auto" w:fill="auto"/>
            <w:noWrap/>
            <w:vAlign w:val="bottom"/>
            <w:hideMark/>
          </w:tcPr>
          <w:p w14:paraId="109A8C64"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Apache</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Corporation</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140894A6"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United</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States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of</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America</w:t>
            </w:r>
            <w:proofErr w:type="spellEnd"/>
          </w:p>
        </w:tc>
      </w:tr>
      <w:tr w:rsidR="008B0525" w:rsidRPr="008B0525" w14:paraId="631781AC"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E836B8"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27</w:t>
            </w:r>
          </w:p>
        </w:tc>
        <w:tc>
          <w:tcPr>
            <w:tcW w:w="5900" w:type="dxa"/>
            <w:tcBorders>
              <w:top w:val="nil"/>
              <w:left w:val="nil"/>
              <w:bottom w:val="single" w:sz="4" w:space="0" w:color="auto"/>
              <w:right w:val="single" w:sz="4" w:space="0" w:color="auto"/>
            </w:tcBorders>
            <w:shd w:val="clear" w:color="auto" w:fill="auto"/>
            <w:noWrap/>
            <w:vAlign w:val="bottom"/>
            <w:hideMark/>
          </w:tcPr>
          <w:p w14:paraId="4F87DE8D"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Cequence</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Energy</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Ltd</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2A71996C"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Canada</w:t>
            </w:r>
            <w:proofErr w:type="spellEnd"/>
          </w:p>
        </w:tc>
      </w:tr>
      <w:tr w:rsidR="008B0525" w:rsidRPr="008B0525" w14:paraId="4AF7285C"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D6A197"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28</w:t>
            </w:r>
          </w:p>
        </w:tc>
        <w:tc>
          <w:tcPr>
            <w:tcW w:w="5900" w:type="dxa"/>
            <w:tcBorders>
              <w:top w:val="nil"/>
              <w:left w:val="nil"/>
              <w:bottom w:val="single" w:sz="4" w:space="0" w:color="auto"/>
              <w:right w:val="single" w:sz="4" w:space="0" w:color="auto"/>
            </w:tcBorders>
            <w:shd w:val="clear" w:color="auto" w:fill="auto"/>
            <w:noWrap/>
            <w:vAlign w:val="bottom"/>
            <w:hideMark/>
          </w:tcPr>
          <w:p w14:paraId="2001EC3C"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ExxonMobil</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Corporation</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04D06D20"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United</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States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of</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America</w:t>
            </w:r>
            <w:proofErr w:type="spellEnd"/>
          </w:p>
        </w:tc>
      </w:tr>
      <w:tr w:rsidR="008B0525" w:rsidRPr="008B0525" w14:paraId="5D5800FF"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D4330F"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29</w:t>
            </w:r>
          </w:p>
        </w:tc>
        <w:tc>
          <w:tcPr>
            <w:tcW w:w="5900" w:type="dxa"/>
            <w:tcBorders>
              <w:top w:val="nil"/>
              <w:left w:val="nil"/>
              <w:bottom w:val="single" w:sz="4" w:space="0" w:color="auto"/>
              <w:right w:val="single" w:sz="4" w:space="0" w:color="auto"/>
            </w:tcBorders>
            <w:shd w:val="clear" w:color="auto" w:fill="auto"/>
            <w:noWrap/>
            <w:vAlign w:val="bottom"/>
            <w:hideMark/>
          </w:tcPr>
          <w:p w14:paraId="15B76D91"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Royal</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Dutch</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Shell</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plc</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38F3001C"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United</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Kingdom</w:t>
            </w:r>
            <w:proofErr w:type="spellEnd"/>
          </w:p>
        </w:tc>
      </w:tr>
      <w:tr w:rsidR="008B0525" w:rsidRPr="008B0525" w14:paraId="3D8FA6E8"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2B13C7"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30</w:t>
            </w:r>
          </w:p>
        </w:tc>
        <w:tc>
          <w:tcPr>
            <w:tcW w:w="5900" w:type="dxa"/>
            <w:tcBorders>
              <w:top w:val="nil"/>
              <w:left w:val="nil"/>
              <w:bottom w:val="single" w:sz="4" w:space="0" w:color="auto"/>
              <w:right w:val="single" w:sz="4" w:space="0" w:color="auto"/>
            </w:tcBorders>
            <w:shd w:val="clear" w:color="auto" w:fill="auto"/>
            <w:noWrap/>
            <w:vAlign w:val="bottom"/>
            <w:hideMark/>
          </w:tcPr>
          <w:p w14:paraId="53A2644D"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TransAtlantic</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Petroleum</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Ltd</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17EEC1DB"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Bermuda</w:t>
            </w:r>
            <w:proofErr w:type="spellEnd"/>
          </w:p>
        </w:tc>
      </w:tr>
      <w:tr w:rsidR="008B0525" w:rsidRPr="008B0525" w14:paraId="793FE607"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02DC89"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31</w:t>
            </w:r>
          </w:p>
        </w:tc>
        <w:tc>
          <w:tcPr>
            <w:tcW w:w="5900" w:type="dxa"/>
            <w:tcBorders>
              <w:top w:val="nil"/>
              <w:left w:val="nil"/>
              <w:bottom w:val="single" w:sz="4" w:space="0" w:color="auto"/>
              <w:right w:val="single" w:sz="4" w:space="0" w:color="auto"/>
            </w:tcBorders>
            <w:shd w:val="clear" w:color="auto" w:fill="auto"/>
            <w:noWrap/>
            <w:vAlign w:val="bottom"/>
            <w:hideMark/>
          </w:tcPr>
          <w:p w14:paraId="47D34DD5"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Gas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Plus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SpA</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105DCAF5"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Italy</w:t>
            </w:r>
            <w:proofErr w:type="spellEnd"/>
          </w:p>
        </w:tc>
      </w:tr>
      <w:tr w:rsidR="008B0525" w:rsidRPr="008B0525" w14:paraId="601506FB"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689042"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32</w:t>
            </w:r>
          </w:p>
        </w:tc>
        <w:tc>
          <w:tcPr>
            <w:tcW w:w="5900" w:type="dxa"/>
            <w:tcBorders>
              <w:top w:val="nil"/>
              <w:left w:val="nil"/>
              <w:bottom w:val="single" w:sz="4" w:space="0" w:color="auto"/>
              <w:right w:val="single" w:sz="4" w:space="0" w:color="auto"/>
            </w:tcBorders>
            <w:shd w:val="clear" w:color="auto" w:fill="auto"/>
            <w:noWrap/>
            <w:vAlign w:val="bottom"/>
            <w:hideMark/>
          </w:tcPr>
          <w:p w14:paraId="7D72F53C"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eastAsia="ru-RU"/>
              </w:rPr>
            </w:pPr>
            <w:r w:rsidRPr="008B0525">
              <w:rPr>
                <w:rFonts w:eastAsia="Times New Roman" w:cs="Times New Roman"/>
                <w:color w:val="000000"/>
                <w:sz w:val="20"/>
                <w:szCs w:val="20"/>
                <w:lang w:eastAsia="ru-RU"/>
              </w:rPr>
              <w:t>Sino Oil and Gas Holdings Ltd</w:t>
            </w:r>
          </w:p>
        </w:tc>
        <w:tc>
          <w:tcPr>
            <w:tcW w:w="2440" w:type="dxa"/>
            <w:tcBorders>
              <w:top w:val="nil"/>
              <w:left w:val="nil"/>
              <w:bottom w:val="single" w:sz="4" w:space="0" w:color="auto"/>
              <w:right w:val="single" w:sz="4" w:space="0" w:color="auto"/>
            </w:tcBorders>
            <w:shd w:val="clear" w:color="auto" w:fill="auto"/>
            <w:noWrap/>
            <w:vAlign w:val="bottom"/>
            <w:hideMark/>
          </w:tcPr>
          <w:p w14:paraId="3E370704"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Bermuda</w:t>
            </w:r>
            <w:proofErr w:type="spellEnd"/>
          </w:p>
        </w:tc>
      </w:tr>
      <w:tr w:rsidR="008B0525" w:rsidRPr="008B0525" w14:paraId="7B89ADBA"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B9C5EB"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33</w:t>
            </w:r>
          </w:p>
        </w:tc>
        <w:tc>
          <w:tcPr>
            <w:tcW w:w="5900" w:type="dxa"/>
            <w:tcBorders>
              <w:top w:val="nil"/>
              <w:left w:val="nil"/>
              <w:bottom w:val="single" w:sz="4" w:space="0" w:color="auto"/>
              <w:right w:val="single" w:sz="4" w:space="0" w:color="auto"/>
            </w:tcBorders>
            <w:shd w:val="clear" w:color="auto" w:fill="auto"/>
            <w:noWrap/>
            <w:vAlign w:val="bottom"/>
            <w:hideMark/>
          </w:tcPr>
          <w:p w14:paraId="6EEA9013"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Hess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Corporation</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37A62296"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United</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States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of</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America</w:t>
            </w:r>
            <w:proofErr w:type="spellEnd"/>
          </w:p>
        </w:tc>
      </w:tr>
      <w:tr w:rsidR="008B0525" w:rsidRPr="008B0525" w14:paraId="7588CDCA"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DAC595"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34</w:t>
            </w:r>
          </w:p>
        </w:tc>
        <w:tc>
          <w:tcPr>
            <w:tcW w:w="5900" w:type="dxa"/>
            <w:tcBorders>
              <w:top w:val="nil"/>
              <w:left w:val="nil"/>
              <w:bottom w:val="single" w:sz="4" w:space="0" w:color="auto"/>
              <w:right w:val="single" w:sz="4" w:space="0" w:color="auto"/>
            </w:tcBorders>
            <w:shd w:val="clear" w:color="auto" w:fill="auto"/>
            <w:noWrap/>
            <w:vAlign w:val="bottom"/>
            <w:hideMark/>
          </w:tcPr>
          <w:p w14:paraId="42DADFA3"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Strategic</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Oil</w:t>
            </w:r>
            <w:proofErr w:type="spellEnd"/>
            <w:r w:rsidRPr="008B0525">
              <w:rPr>
                <w:rFonts w:eastAsia="Times New Roman" w:cs="Times New Roman"/>
                <w:color w:val="000000"/>
                <w:sz w:val="20"/>
                <w:szCs w:val="20"/>
                <w:lang w:val="ru-RU" w:eastAsia="ru-RU"/>
              </w:rPr>
              <w:t xml:space="preserve"> &amp; </w:t>
            </w:r>
            <w:proofErr w:type="spellStart"/>
            <w:r w:rsidRPr="008B0525">
              <w:rPr>
                <w:rFonts w:eastAsia="Times New Roman" w:cs="Times New Roman"/>
                <w:color w:val="000000"/>
                <w:sz w:val="20"/>
                <w:szCs w:val="20"/>
                <w:lang w:val="ru-RU" w:eastAsia="ru-RU"/>
              </w:rPr>
              <w:t>Gas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Ltd</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61C24974"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Canada</w:t>
            </w:r>
            <w:proofErr w:type="spellEnd"/>
          </w:p>
        </w:tc>
      </w:tr>
      <w:tr w:rsidR="008B0525" w:rsidRPr="008B0525" w14:paraId="1B351E9B"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4BB8BE"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35</w:t>
            </w:r>
          </w:p>
        </w:tc>
        <w:tc>
          <w:tcPr>
            <w:tcW w:w="5900" w:type="dxa"/>
            <w:tcBorders>
              <w:top w:val="nil"/>
              <w:left w:val="nil"/>
              <w:bottom w:val="single" w:sz="4" w:space="0" w:color="auto"/>
              <w:right w:val="single" w:sz="4" w:space="0" w:color="auto"/>
            </w:tcBorders>
            <w:shd w:val="clear" w:color="auto" w:fill="auto"/>
            <w:noWrap/>
            <w:vAlign w:val="bottom"/>
            <w:hideMark/>
          </w:tcPr>
          <w:p w14:paraId="1FFB1C54"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 xml:space="preserve">RH </w:t>
            </w:r>
            <w:proofErr w:type="spellStart"/>
            <w:r w:rsidRPr="008B0525">
              <w:rPr>
                <w:rFonts w:eastAsia="Times New Roman" w:cs="Times New Roman"/>
                <w:color w:val="000000"/>
                <w:sz w:val="20"/>
                <w:szCs w:val="20"/>
                <w:lang w:val="ru-RU" w:eastAsia="ru-RU"/>
              </w:rPr>
              <w:t>Petrogas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Ltd</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7F7A8B0B"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Singapore</w:t>
            </w:r>
            <w:proofErr w:type="spellEnd"/>
          </w:p>
        </w:tc>
      </w:tr>
      <w:tr w:rsidR="008B0525" w:rsidRPr="008B0525" w14:paraId="7C917A10"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E3F2A7"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36</w:t>
            </w:r>
          </w:p>
        </w:tc>
        <w:tc>
          <w:tcPr>
            <w:tcW w:w="5900" w:type="dxa"/>
            <w:tcBorders>
              <w:top w:val="nil"/>
              <w:left w:val="nil"/>
              <w:bottom w:val="single" w:sz="4" w:space="0" w:color="auto"/>
              <w:right w:val="single" w:sz="4" w:space="0" w:color="auto"/>
            </w:tcBorders>
            <w:shd w:val="clear" w:color="auto" w:fill="auto"/>
            <w:noWrap/>
            <w:vAlign w:val="bottom"/>
            <w:hideMark/>
          </w:tcPr>
          <w:p w14:paraId="46E0E269"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 xml:space="preserve">ERG </w:t>
            </w:r>
            <w:proofErr w:type="spellStart"/>
            <w:r w:rsidRPr="008B0525">
              <w:rPr>
                <w:rFonts w:eastAsia="Times New Roman" w:cs="Times New Roman"/>
                <w:color w:val="000000"/>
                <w:sz w:val="20"/>
                <w:szCs w:val="20"/>
                <w:lang w:val="ru-RU" w:eastAsia="ru-RU"/>
              </w:rPr>
              <w:t>SpA</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3C5AA5A5"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Italy</w:t>
            </w:r>
            <w:proofErr w:type="spellEnd"/>
          </w:p>
        </w:tc>
      </w:tr>
      <w:tr w:rsidR="008B0525" w:rsidRPr="008B0525" w14:paraId="56FF2A0C"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04B0D2"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37</w:t>
            </w:r>
          </w:p>
        </w:tc>
        <w:tc>
          <w:tcPr>
            <w:tcW w:w="5900" w:type="dxa"/>
            <w:tcBorders>
              <w:top w:val="nil"/>
              <w:left w:val="nil"/>
              <w:bottom w:val="single" w:sz="4" w:space="0" w:color="auto"/>
              <w:right w:val="single" w:sz="4" w:space="0" w:color="auto"/>
            </w:tcBorders>
            <w:shd w:val="clear" w:color="auto" w:fill="auto"/>
            <w:noWrap/>
            <w:vAlign w:val="bottom"/>
            <w:hideMark/>
          </w:tcPr>
          <w:p w14:paraId="73004F9D"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Chevron</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Corporation</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6DFB2674"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United</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States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of</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America</w:t>
            </w:r>
            <w:proofErr w:type="spellEnd"/>
          </w:p>
        </w:tc>
      </w:tr>
      <w:tr w:rsidR="008B0525" w:rsidRPr="008B0525" w14:paraId="20A3D3C0"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FCFC95"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38</w:t>
            </w:r>
          </w:p>
        </w:tc>
        <w:tc>
          <w:tcPr>
            <w:tcW w:w="5900" w:type="dxa"/>
            <w:tcBorders>
              <w:top w:val="nil"/>
              <w:left w:val="nil"/>
              <w:bottom w:val="single" w:sz="4" w:space="0" w:color="auto"/>
              <w:right w:val="single" w:sz="4" w:space="0" w:color="auto"/>
            </w:tcBorders>
            <w:shd w:val="clear" w:color="auto" w:fill="auto"/>
            <w:noWrap/>
            <w:vAlign w:val="bottom"/>
            <w:hideMark/>
          </w:tcPr>
          <w:p w14:paraId="25729B06"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Gran</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Tierra</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Energy</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Inc</w:t>
            </w:r>
            <w:proofErr w:type="spellEnd"/>
            <w:r w:rsidRPr="008B0525">
              <w:rPr>
                <w:rFonts w:eastAsia="Times New Roman" w:cs="Times New Roman"/>
                <w:color w:val="000000"/>
                <w:sz w:val="20"/>
                <w:szCs w:val="20"/>
                <w:lang w:val="ru-RU" w:eastAsia="ru-RU"/>
              </w:rPr>
              <w:t>.</w:t>
            </w:r>
          </w:p>
        </w:tc>
        <w:tc>
          <w:tcPr>
            <w:tcW w:w="2440" w:type="dxa"/>
            <w:tcBorders>
              <w:top w:val="nil"/>
              <w:left w:val="nil"/>
              <w:bottom w:val="single" w:sz="4" w:space="0" w:color="auto"/>
              <w:right w:val="single" w:sz="4" w:space="0" w:color="auto"/>
            </w:tcBorders>
            <w:shd w:val="clear" w:color="auto" w:fill="auto"/>
            <w:noWrap/>
            <w:vAlign w:val="bottom"/>
            <w:hideMark/>
          </w:tcPr>
          <w:p w14:paraId="38B2062E"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United</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States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of</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America</w:t>
            </w:r>
            <w:proofErr w:type="spellEnd"/>
          </w:p>
        </w:tc>
      </w:tr>
      <w:tr w:rsidR="008B0525" w:rsidRPr="008B0525" w14:paraId="387EB1AD"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FF39B4"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39</w:t>
            </w:r>
          </w:p>
        </w:tc>
        <w:tc>
          <w:tcPr>
            <w:tcW w:w="5900" w:type="dxa"/>
            <w:tcBorders>
              <w:top w:val="nil"/>
              <w:left w:val="nil"/>
              <w:bottom w:val="single" w:sz="4" w:space="0" w:color="auto"/>
              <w:right w:val="single" w:sz="4" w:space="0" w:color="auto"/>
            </w:tcBorders>
            <w:shd w:val="clear" w:color="auto" w:fill="auto"/>
            <w:noWrap/>
            <w:vAlign w:val="bottom"/>
            <w:hideMark/>
          </w:tcPr>
          <w:p w14:paraId="255576C6"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Petroleo</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Brasileiro</w:t>
            </w:r>
            <w:proofErr w:type="spellEnd"/>
            <w:r w:rsidRPr="008B0525">
              <w:rPr>
                <w:rFonts w:eastAsia="Times New Roman" w:cs="Times New Roman"/>
                <w:color w:val="000000"/>
                <w:sz w:val="20"/>
                <w:szCs w:val="20"/>
                <w:lang w:val="ru-RU" w:eastAsia="ru-RU"/>
              </w:rPr>
              <w:t xml:space="preserve"> SA</w:t>
            </w:r>
          </w:p>
        </w:tc>
        <w:tc>
          <w:tcPr>
            <w:tcW w:w="2440" w:type="dxa"/>
            <w:tcBorders>
              <w:top w:val="nil"/>
              <w:left w:val="nil"/>
              <w:bottom w:val="single" w:sz="4" w:space="0" w:color="auto"/>
              <w:right w:val="single" w:sz="4" w:space="0" w:color="auto"/>
            </w:tcBorders>
            <w:shd w:val="clear" w:color="auto" w:fill="auto"/>
            <w:noWrap/>
            <w:vAlign w:val="bottom"/>
            <w:hideMark/>
          </w:tcPr>
          <w:p w14:paraId="5ABA4F3D"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Brazil</w:t>
            </w:r>
            <w:proofErr w:type="spellEnd"/>
          </w:p>
        </w:tc>
      </w:tr>
      <w:tr w:rsidR="008B0525" w:rsidRPr="008B0525" w14:paraId="14A721C3"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72FD81"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40</w:t>
            </w:r>
          </w:p>
        </w:tc>
        <w:tc>
          <w:tcPr>
            <w:tcW w:w="5900" w:type="dxa"/>
            <w:tcBorders>
              <w:top w:val="nil"/>
              <w:left w:val="nil"/>
              <w:bottom w:val="single" w:sz="4" w:space="0" w:color="auto"/>
              <w:right w:val="single" w:sz="4" w:space="0" w:color="auto"/>
            </w:tcBorders>
            <w:shd w:val="clear" w:color="auto" w:fill="auto"/>
            <w:noWrap/>
            <w:vAlign w:val="bottom"/>
            <w:hideMark/>
          </w:tcPr>
          <w:p w14:paraId="29743EE4"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Whitecap</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Resources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Inc</w:t>
            </w:r>
            <w:proofErr w:type="spellEnd"/>
            <w:r w:rsidRPr="008B0525">
              <w:rPr>
                <w:rFonts w:eastAsia="Times New Roman" w:cs="Times New Roman"/>
                <w:color w:val="000000"/>
                <w:sz w:val="20"/>
                <w:szCs w:val="20"/>
                <w:lang w:val="ru-RU" w:eastAsia="ru-RU"/>
              </w:rPr>
              <w:t>.</w:t>
            </w:r>
          </w:p>
        </w:tc>
        <w:tc>
          <w:tcPr>
            <w:tcW w:w="2440" w:type="dxa"/>
            <w:tcBorders>
              <w:top w:val="nil"/>
              <w:left w:val="nil"/>
              <w:bottom w:val="single" w:sz="4" w:space="0" w:color="auto"/>
              <w:right w:val="single" w:sz="4" w:space="0" w:color="auto"/>
            </w:tcBorders>
            <w:shd w:val="clear" w:color="auto" w:fill="auto"/>
            <w:noWrap/>
            <w:vAlign w:val="bottom"/>
            <w:hideMark/>
          </w:tcPr>
          <w:p w14:paraId="6B9D8293"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Canada</w:t>
            </w:r>
            <w:proofErr w:type="spellEnd"/>
          </w:p>
        </w:tc>
      </w:tr>
      <w:tr w:rsidR="008B0525" w:rsidRPr="008B0525" w14:paraId="56BF0FA3"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C70017"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lastRenderedPageBreak/>
              <w:t>41</w:t>
            </w:r>
          </w:p>
        </w:tc>
        <w:tc>
          <w:tcPr>
            <w:tcW w:w="5900" w:type="dxa"/>
            <w:tcBorders>
              <w:top w:val="nil"/>
              <w:left w:val="nil"/>
              <w:bottom w:val="single" w:sz="4" w:space="0" w:color="auto"/>
              <w:right w:val="single" w:sz="4" w:space="0" w:color="auto"/>
            </w:tcBorders>
            <w:shd w:val="clear" w:color="auto" w:fill="auto"/>
            <w:noWrap/>
            <w:vAlign w:val="bottom"/>
            <w:hideMark/>
          </w:tcPr>
          <w:p w14:paraId="6F5B72C8"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 xml:space="preserve">BP </w:t>
            </w:r>
            <w:proofErr w:type="spellStart"/>
            <w:r w:rsidRPr="008B0525">
              <w:rPr>
                <w:rFonts w:eastAsia="Times New Roman" w:cs="Times New Roman"/>
                <w:color w:val="000000"/>
                <w:sz w:val="20"/>
                <w:szCs w:val="20"/>
                <w:lang w:val="ru-RU" w:eastAsia="ru-RU"/>
              </w:rPr>
              <w:t>plc</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224F4963"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United</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Kingdom</w:t>
            </w:r>
            <w:proofErr w:type="spellEnd"/>
          </w:p>
        </w:tc>
      </w:tr>
      <w:tr w:rsidR="008B0525" w:rsidRPr="008B0525" w14:paraId="59CEE5BA"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C7D4A6"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42</w:t>
            </w:r>
          </w:p>
        </w:tc>
        <w:tc>
          <w:tcPr>
            <w:tcW w:w="5900" w:type="dxa"/>
            <w:tcBorders>
              <w:top w:val="nil"/>
              <w:left w:val="nil"/>
              <w:bottom w:val="single" w:sz="4" w:space="0" w:color="auto"/>
              <w:right w:val="single" w:sz="4" w:space="0" w:color="auto"/>
            </w:tcBorders>
            <w:shd w:val="clear" w:color="auto" w:fill="auto"/>
            <w:noWrap/>
            <w:vAlign w:val="bottom"/>
            <w:hideMark/>
          </w:tcPr>
          <w:p w14:paraId="5F35EED8"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Senex</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Energy</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Ltd</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3318CF21"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Australia</w:t>
            </w:r>
            <w:proofErr w:type="spellEnd"/>
          </w:p>
        </w:tc>
      </w:tr>
      <w:tr w:rsidR="008B0525" w:rsidRPr="008B0525" w14:paraId="32E590E8"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4FE802"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43</w:t>
            </w:r>
          </w:p>
        </w:tc>
        <w:tc>
          <w:tcPr>
            <w:tcW w:w="5900" w:type="dxa"/>
            <w:tcBorders>
              <w:top w:val="nil"/>
              <w:left w:val="nil"/>
              <w:bottom w:val="single" w:sz="4" w:space="0" w:color="auto"/>
              <w:right w:val="single" w:sz="4" w:space="0" w:color="auto"/>
            </w:tcBorders>
            <w:shd w:val="clear" w:color="auto" w:fill="auto"/>
            <w:noWrap/>
            <w:vAlign w:val="bottom"/>
            <w:hideMark/>
          </w:tcPr>
          <w:p w14:paraId="218493F5"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Crew</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Energy</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Inc</w:t>
            </w:r>
            <w:proofErr w:type="spellEnd"/>
            <w:r w:rsidRPr="008B0525">
              <w:rPr>
                <w:rFonts w:eastAsia="Times New Roman" w:cs="Times New Roman"/>
                <w:color w:val="000000"/>
                <w:sz w:val="20"/>
                <w:szCs w:val="20"/>
                <w:lang w:val="ru-RU" w:eastAsia="ru-RU"/>
              </w:rPr>
              <w:t>.</w:t>
            </w:r>
          </w:p>
        </w:tc>
        <w:tc>
          <w:tcPr>
            <w:tcW w:w="2440" w:type="dxa"/>
            <w:tcBorders>
              <w:top w:val="nil"/>
              <w:left w:val="nil"/>
              <w:bottom w:val="single" w:sz="4" w:space="0" w:color="auto"/>
              <w:right w:val="single" w:sz="4" w:space="0" w:color="auto"/>
            </w:tcBorders>
            <w:shd w:val="clear" w:color="auto" w:fill="auto"/>
            <w:noWrap/>
            <w:vAlign w:val="bottom"/>
            <w:hideMark/>
          </w:tcPr>
          <w:p w14:paraId="762CE1F6"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Canada</w:t>
            </w:r>
            <w:proofErr w:type="spellEnd"/>
          </w:p>
        </w:tc>
      </w:tr>
      <w:tr w:rsidR="008B0525" w:rsidRPr="008B0525" w14:paraId="09C457B4"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F4D58C"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44</w:t>
            </w:r>
          </w:p>
        </w:tc>
        <w:tc>
          <w:tcPr>
            <w:tcW w:w="5900" w:type="dxa"/>
            <w:tcBorders>
              <w:top w:val="nil"/>
              <w:left w:val="nil"/>
              <w:bottom w:val="single" w:sz="4" w:space="0" w:color="auto"/>
              <w:right w:val="single" w:sz="4" w:space="0" w:color="auto"/>
            </w:tcBorders>
            <w:shd w:val="clear" w:color="auto" w:fill="auto"/>
            <w:noWrap/>
            <w:vAlign w:val="bottom"/>
            <w:hideMark/>
          </w:tcPr>
          <w:p w14:paraId="6AB1175A"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Tourmaline</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Oil</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Corporation</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26D9BA14"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Canada</w:t>
            </w:r>
            <w:proofErr w:type="spellEnd"/>
          </w:p>
        </w:tc>
      </w:tr>
      <w:tr w:rsidR="008B0525" w:rsidRPr="008B0525" w14:paraId="64EDB82B"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653DFA"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45</w:t>
            </w:r>
          </w:p>
        </w:tc>
        <w:tc>
          <w:tcPr>
            <w:tcW w:w="5900" w:type="dxa"/>
            <w:tcBorders>
              <w:top w:val="nil"/>
              <w:left w:val="nil"/>
              <w:bottom w:val="single" w:sz="4" w:space="0" w:color="auto"/>
              <w:right w:val="single" w:sz="4" w:space="0" w:color="auto"/>
            </w:tcBorders>
            <w:shd w:val="clear" w:color="auto" w:fill="auto"/>
            <w:noWrap/>
            <w:vAlign w:val="bottom"/>
            <w:hideMark/>
          </w:tcPr>
          <w:p w14:paraId="63077264"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Genesis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Energy</w:t>
            </w:r>
            <w:proofErr w:type="spellEnd"/>
            <w:r w:rsidRPr="008B0525">
              <w:rPr>
                <w:rFonts w:eastAsia="Times New Roman" w:cs="Times New Roman"/>
                <w:color w:val="000000"/>
                <w:sz w:val="20"/>
                <w:szCs w:val="20"/>
                <w:lang w:val="ru-RU" w:eastAsia="ru-RU"/>
              </w:rPr>
              <w:t xml:space="preserve"> LP</w:t>
            </w:r>
          </w:p>
        </w:tc>
        <w:tc>
          <w:tcPr>
            <w:tcW w:w="2440" w:type="dxa"/>
            <w:tcBorders>
              <w:top w:val="nil"/>
              <w:left w:val="nil"/>
              <w:bottom w:val="single" w:sz="4" w:space="0" w:color="auto"/>
              <w:right w:val="single" w:sz="4" w:space="0" w:color="auto"/>
            </w:tcBorders>
            <w:shd w:val="clear" w:color="auto" w:fill="auto"/>
            <w:noWrap/>
            <w:vAlign w:val="bottom"/>
            <w:hideMark/>
          </w:tcPr>
          <w:p w14:paraId="2FBC469D"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United</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States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of</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America</w:t>
            </w:r>
            <w:proofErr w:type="spellEnd"/>
          </w:p>
        </w:tc>
      </w:tr>
      <w:tr w:rsidR="008B0525" w:rsidRPr="008B0525" w14:paraId="28576AC5"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BF403C"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46</w:t>
            </w:r>
          </w:p>
        </w:tc>
        <w:tc>
          <w:tcPr>
            <w:tcW w:w="5900" w:type="dxa"/>
            <w:tcBorders>
              <w:top w:val="nil"/>
              <w:left w:val="nil"/>
              <w:bottom w:val="single" w:sz="4" w:space="0" w:color="auto"/>
              <w:right w:val="single" w:sz="4" w:space="0" w:color="auto"/>
            </w:tcBorders>
            <w:shd w:val="clear" w:color="auto" w:fill="auto"/>
            <w:noWrap/>
            <w:vAlign w:val="bottom"/>
            <w:hideMark/>
          </w:tcPr>
          <w:p w14:paraId="5A1005E0"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YPF SA</w:t>
            </w:r>
          </w:p>
        </w:tc>
        <w:tc>
          <w:tcPr>
            <w:tcW w:w="2440" w:type="dxa"/>
            <w:tcBorders>
              <w:top w:val="nil"/>
              <w:left w:val="nil"/>
              <w:bottom w:val="single" w:sz="4" w:space="0" w:color="auto"/>
              <w:right w:val="single" w:sz="4" w:space="0" w:color="auto"/>
            </w:tcBorders>
            <w:shd w:val="clear" w:color="auto" w:fill="auto"/>
            <w:noWrap/>
            <w:vAlign w:val="bottom"/>
            <w:hideMark/>
          </w:tcPr>
          <w:p w14:paraId="33BE588A"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Argentina</w:t>
            </w:r>
            <w:proofErr w:type="spellEnd"/>
          </w:p>
        </w:tc>
      </w:tr>
      <w:tr w:rsidR="008B0525" w:rsidRPr="008B0525" w14:paraId="4412E28F"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A7C9BB"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47</w:t>
            </w:r>
          </w:p>
        </w:tc>
        <w:tc>
          <w:tcPr>
            <w:tcW w:w="5900" w:type="dxa"/>
            <w:tcBorders>
              <w:top w:val="nil"/>
              <w:left w:val="nil"/>
              <w:bottom w:val="single" w:sz="4" w:space="0" w:color="auto"/>
              <w:right w:val="single" w:sz="4" w:space="0" w:color="auto"/>
            </w:tcBorders>
            <w:shd w:val="clear" w:color="auto" w:fill="auto"/>
            <w:noWrap/>
            <w:vAlign w:val="bottom"/>
            <w:hideMark/>
          </w:tcPr>
          <w:p w14:paraId="0BF2CD53"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Santos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Ltd</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7CBB9A14"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Australia</w:t>
            </w:r>
            <w:proofErr w:type="spellEnd"/>
          </w:p>
        </w:tc>
      </w:tr>
      <w:tr w:rsidR="008B0525" w:rsidRPr="008B0525" w14:paraId="56EB4F3C"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8A5401"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48</w:t>
            </w:r>
          </w:p>
        </w:tc>
        <w:tc>
          <w:tcPr>
            <w:tcW w:w="5900" w:type="dxa"/>
            <w:tcBorders>
              <w:top w:val="nil"/>
              <w:left w:val="nil"/>
              <w:bottom w:val="single" w:sz="4" w:space="0" w:color="auto"/>
              <w:right w:val="single" w:sz="4" w:space="0" w:color="auto"/>
            </w:tcBorders>
            <w:shd w:val="clear" w:color="auto" w:fill="auto"/>
            <w:noWrap/>
            <w:vAlign w:val="bottom"/>
            <w:hideMark/>
          </w:tcPr>
          <w:p w14:paraId="0CC56BDB"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Eni</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SpA</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0CC75A99"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Italy</w:t>
            </w:r>
            <w:proofErr w:type="spellEnd"/>
          </w:p>
        </w:tc>
      </w:tr>
      <w:tr w:rsidR="008B0525" w:rsidRPr="008B0525" w14:paraId="44333F20"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4B9EB8"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49</w:t>
            </w:r>
          </w:p>
        </w:tc>
        <w:tc>
          <w:tcPr>
            <w:tcW w:w="5900" w:type="dxa"/>
            <w:tcBorders>
              <w:top w:val="nil"/>
              <w:left w:val="nil"/>
              <w:bottom w:val="single" w:sz="4" w:space="0" w:color="auto"/>
              <w:right w:val="single" w:sz="4" w:space="0" w:color="auto"/>
            </w:tcBorders>
            <w:shd w:val="clear" w:color="auto" w:fill="auto"/>
            <w:noWrap/>
            <w:vAlign w:val="bottom"/>
            <w:hideMark/>
          </w:tcPr>
          <w:p w14:paraId="1C14BE3B"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Tethys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Petroleum</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Ltd</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62D2988D"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Cayman</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Islands</w:t>
            </w:r>
            <w:proofErr w:type="spellEnd"/>
          </w:p>
        </w:tc>
      </w:tr>
      <w:tr w:rsidR="008B0525" w:rsidRPr="008B0525" w14:paraId="7CD9A0FB"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0989A9"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50</w:t>
            </w:r>
          </w:p>
        </w:tc>
        <w:tc>
          <w:tcPr>
            <w:tcW w:w="5900" w:type="dxa"/>
            <w:tcBorders>
              <w:top w:val="nil"/>
              <w:left w:val="nil"/>
              <w:bottom w:val="single" w:sz="4" w:space="0" w:color="auto"/>
              <w:right w:val="single" w:sz="4" w:space="0" w:color="auto"/>
            </w:tcBorders>
            <w:shd w:val="clear" w:color="auto" w:fill="auto"/>
            <w:noWrap/>
            <w:vAlign w:val="bottom"/>
            <w:hideMark/>
          </w:tcPr>
          <w:p w14:paraId="71F30CD5"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Storm</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Resources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Ltd</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14402BB6"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Canada</w:t>
            </w:r>
            <w:proofErr w:type="spellEnd"/>
          </w:p>
        </w:tc>
      </w:tr>
      <w:tr w:rsidR="008B0525" w:rsidRPr="008B0525" w14:paraId="7C4A17E6"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01C268"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51</w:t>
            </w:r>
          </w:p>
        </w:tc>
        <w:tc>
          <w:tcPr>
            <w:tcW w:w="5900" w:type="dxa"/>
            <w:tcBorders>
              <w:top w:val="nil"/>
              <w:left w:val="nil"/>
              <w:bottom w:val="single" w:sz="4" w:space="0" w:color="auto"/>
              <w:right w:val="single" w:sz="4" w:space="0" w:color="auto"/>
            </w:tcBorders>
            <w:shd w:val="clear" w:color="auto" w:fill="auto"/>
            <w:noWrap/>
            <w:vAlign w:val="bottom"/>
            <w:hideMark/>
          </w:tcPr>
          <w:p w14:paraId="128BE820"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Premier</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Oil</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plc</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1C54CD06"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United</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Kingdom</w:t>
            </w:r>
            <w:proofErr w:type="spellEnd"/>
          </w:p>
        </w:tc>
      </w:tr>
      <w:tr w:rsidR="008B0525" w:rsidRPr="008B0525" w14:paraId="1F4A05D6"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83BFA7"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52</w:t>
            </w:r>
          </w:p>
        </w:tc>
        <w:tc>
          <w:tcPr>
            <w:tcW w:w="5900" w:type="dxa"/>
            <w:tcBorders>
              <w:top w:val="nil"/>
              <w:left w:val="nil"/>
              <w:bottom w:val="single" w:sz="4" w:space="0" w:color="auto"/>
              <w:right w:val="single" w:sz="4" w:space="0" w:color="auto"/>
            </w:tcBorders>
            <w:shd w:val="clear" w:color="auto" w:fill="auto"/>
            <w:noWrap/>
            <w:vAlign w:val="bottom"/>
            <w:hideMark/>
          </w:tcPr>
          <w:p w14:paraId="765C2F20"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EnQuest</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plc</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4988C713"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United</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Kingdom</w:t>
            </w:r>
            <w:proofErr w:type="spellEnd"/>
          </w:p>
        </w:tc>
      </w:tr>
      <w:tr w:rsidR="008B0525" w:rsidRPr="008B0525" w14:paraId="2371A48A"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CEA5BA"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53</w:t>
            </w:r>
          </w:p>
        </w:tc>
        <w:tc>
          <w:tcPr>
            <w:tcW w:w="5900" w:type="dxa"/>
            <w:tcBorders>
              <w:top w:val="nil"/>
              <w:left w:val="nil"/>
              <w:bottom w:val="single" w:sz="4" w:space="0" w:color="auto"/>
              <w:right w:val="single" w:sz="4" w:space="0" w:color="auto"/>
            </w:tcBorders>
            <w:shd w:val="clear" w:color="auto" w:fill="auto"/>
            <w:noWrap/>
            <w:vAlign w:val="bottom"/>
            <w:hideMark/>
          </w:tcPr>
          <w:p w14:paraId="13B8B940"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GeoPark</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Holdings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Ltd</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30A77649"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Bermuda</w:t>
            </w:r>
            <w:proofErr w:type="spellEnd"/>
          </w:p>
        </w:tc>
      </w:tr>
      <w:tr w:rsidR="008B0525" w:rsidRPr="008B0525" w14:paraId="5250DDFD"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C209B0"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54</w:t>
            </w:r>
          </w:p>
        </w:tc>
        <w:tc>
          <w:tcPr>
            <w:tcW w:w="5900" w:type="dxa"/>
            <w:tcBorders>
              <w:top w:val="nil"/>
              <w:left w:val="nil"/>
              <w:bottom w:val="single" w:sz="4" w:space="0" w:color="auto"/>
              <w:right w:val="single" w:sz="4" w:space="0" w:color="auto"/>
            </w:tcBorders>
            <w:shd w:val="clear" w:color="auto" w:fill="auto"/>
            <w:noWrap/>
            <w:vAlign w:val="bottom"/>
            <w:hideMark/>
          </w:tcPr>
          <w:p w14:paraId="03FA90B0"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Pioneer</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Natural</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Resources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Company</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3E8D6B0E"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United</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States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of</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America</w:t>
            </w:r>
            <w:proofErr w:type="spellEnd"/>
          </w:p>
        </w:tc>
      </w:tr>
      <w:tr w:rsidR="008B0525" w:rsidRPr="008B0525" w14:paraId="700D7E97"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610DF4"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55</w:t>
            </w:r>
          </w:p>
        </w:tc>
        <w:tc>
          <w:tcPr>
            <w:tcW w:w="5900" w:type="dxa"/>
            <w:tcBorders>
              <w:top w:val="nil"/>
              <w:left w:val="nil"/>
              <w:bottom w:val="single" w:sz="4" w:space="0" w:color="auto"/>
              <w:right w:val="single" w:sz="4" w:space="0" w:color="auto"/>
            </w:tcBorders>
            <w:shd w:val="clear" w:color="auto" w:fill="auto"/>
            <w:noWrap/>
            <w:vAlign w:val="bottom"/>
            <w:hideMark/>
          </w:tcPr>
          <w:p w14:paraId="3D60F15A"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Parex</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Resources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Inc</w:t>
            </w:r>
            <w:proofErr w:type="spellEnd"/>
            <w:r w:rsidRPr="008B0525">
              <w:rPr>
                <w:rFonts w:eastAsia="Times New Roman" w:cs="Times New Roman"/>
                <w:color w:val="000000"/>
                <w:sz w:val="20"/>
                <w:szCs w:val="20"/>
                <w:lang w:val="ru-RU" w:eastAsia="ru-RU"/>
              </w:rPr>
              <w:t>.</w:t>
            </w:r>
          </w:p>
        </w:tc>
        <w:tc>
          <w:tcPr>
            <w:tcW w:w="2440" w:type="dxa"/>
            <w:tcBorders>
              <w:top w:val="nil"/>
              <w:left w:val="nil"/>
              <w:bottom w:val="single" w:sz="4" w:space="0" w:color="auto"/>
              <w:right w:val="single" w:sz="4" w:space="0" w:color="auto"/>
            </w:tcBorders>
            <w:shd w:val="clear" w:color="auto" w:fill="auto"/>
            <w:noWrap/>
            <w:vAlign w:val="bottom"/>
            <w:hideMark/>
          </w:tcPr>
          <w:p w14:paraId="4B17EDE0"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Canada</w:t>
            </w:r>
            <w:proofErr w:type="spellEnd"/>
          </w:p>
        </w:tc>
      </w:tr>
      <w:tr w:rsidR="008B0525" w:rsidRPr="008B0525" w14:paraId="5316B1D1"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BE6D5A"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56</w:t>
            </w:r>
          </w:p>
        </w:tc>
        <w:tc>
          <w:tcPr>
            <w:tcW w:w="5900" w:type="dxa"/>
            <w:tcBorders>
              <w:top w:val="nil"/>
              <w:left w:val="nil"/>
              <w:bottom w:val="single" w:sz="4" w:space="0" w:color="auto"/>
              <w:right w:val="single" w:sz="4" w:space="0" w:color="auto"/>
            </w:tcBorders>
            <w:shd w:val="clear" w:color="auto" w:fill="auto"/>
            <w:noWrap/>
            <w:vAlign w:val="bottom"/>
            <w:hideMark/>
          </w:tcPr>
          <w:p w14:paraId="3475F155"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Pengrowth</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Energy</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Corporation</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2BB82957"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Canada</w:t>
            </w:r>
            <w:proofErr w:type="spellEnd"/>
          </w:p>
        </w:tc>
      </w:tr>
      <w:tr w:rsidR="008B0525" w:rsidRPr="008B0525" w14:paraId="4615C055"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B07625"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57</w:t>
            </w:r>
          </w:p>
        </w:tc>
        <w:tc>
          <w:tcPr>
            <w:tcW w:w="5900" w:type="dxa"/>
            <w:tcBorders>
              <w:top w:val="nil"/>
              <w:left w:val="nil"/>
              <w:bottom w:val="single" w:sz="4" w:space="0" w:color="auto"/>
              <w:right w:val="single" w:sz="4" w:space="0" w:color="auto"/>
            </w:tcBorders>
            <w:shd w:val="clear" w:color="auto" w:fill="auto"/>
            <w:noWrap/>
            <w:vAlign w:val="bottom"/>
            <w:hideMark/>
          </w:tcPr>
          <w:p w14:paraId="14B12D68"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Genel</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Energy</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plc</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6C279897"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United</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Kingdom</w:t>
            </w:r>
            <w:proofErr w:type="spellEnd"/>
          </w:p>
        </w:tc>
      </w:tr>
      <w:tr w:rsidR="008B0525" w:rsidRPr="008B0525" w14:paraId="2BD63D61"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8050E0"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58</w:t>
            </w:r>
          </w:p>
        </w:tc>
        <w:tc>
          <w:tcPr>
            <w:tcW w:w="5900" w:type="dxa"/>
            <w:tcBorders>
              <w:top w:val="nil"/>
              <w:left w:val="nil"/>
              <w:bottom w:val="single" w:sz="4" w:space="0" w:color="auto"/>
              <w:right w:val="single" w:sz="4" w:space="0" w:color="auto"/>
            </w:tcBorders>
            <w:shd w:val="clear" w:color="auto" w:fill="auto"/>
            <w:noWrap/>
            <w:vAlign w:val="bottom"/>
            <w:hideMark/>
          </w:tcPr>
          <w:p w14:paraId="14AB6C9B"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Maurel</w:t>
            </w:r>
            <w:proofErr w:type="spellEnd"/>
            <w:r w:rsidRPr="008B0525">
              <w:rPr>
                <w:rFonts w:eastAsia="Times New Roman" w:cs="Times New Roman"/>
                <w:color w:val="000000"/>
                <w:sz w:val="20"/>
                <w:szCs w:val="20"/>
                <w:lang w:val="ru-RU" w:eastAsia="ru-RU"/>
              </w:rPr>
              <w:t xml:space="preserve"> &amp; </w:t>
            </w:r>
            <w:proofErr w:type="spellStart"/>
            <w:r w:rsidRPr="008B0525">
              <w:rPr>
                <w:rFonts w:eastAsia="Times New Roman" w:cs="Times New Roman"/>
                <w:color w:val="000000"/>
                <w:sz w:val="20"/>
                <w:szCs w:val="20"/>
                <w:lang w:val="ru-RU" w:eastAsia="ru-RU"/>
              </w:rPr>
              <w:t>Prom</w:t>
            </w:r>
            <w:proofErr w:type="spellEnd"/>
            <w:r w:rsidRPr="008B0525">
              <w:rPr>
                <w:rFonts w:eastAsia="Times New Roman" w:cs="Times New Roman"/>
                <w:color w:val="000000"/>
                <w:sz w:val="20"/>
                <w:szCs w:val="20"/>
                <w:lang w:val="ru-RU" w:eastAsia="ru-RU"/>
              </w:rPr>
              <w:t xml:space="preserve"> SA</w:t>
            </w:r>
          </w:p>
        </w:tc>
        <w:tc>
          <w:tcPr>
            <w:tcW w:w="2440" w:type="dxa"/>
            <w:tcBorders>
              <w:top w:val="nil"/>
              <w:left w:val="nil"/>
              <w:bottom w:val="single" w:sz="4" w:space="0" w:color="auto"/>
              <w:right w:val="single" w:sz="4" w:space="0" w:color="auto"/>
            </w:tcBorders>
            <w:shd w:val="clear" w:color="auto" w:fill="auto"/>
            <w:noWrap/>
            <w:vAlign w:val="bottom"/>
            <w:hideMark/>
          </w:tcPr>
          <w:p w14:paraId="0F7237E0"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France</w:t>
            </w:r>
            <w:proofErr w:type="spellEnd"/>
          </w:p>
        </w:tc>
      </w:tr>
      <w:tr w:rsidR="008B0525" w:rsidRPr="008B0525" w14:paraId="1B736280"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FD8422"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59</w:t>
            </w:r>
          </w:p>
        </w:tc>
        <w:tc>
          <w:tcPr>
            <w:tcW w:w="5900" w:type="dxa"/>
            <w:tcBorders>
              <w:top w:val="nil"/>
              <w:left w:val="nil"/>
              <w:bottom w:val="single" w:sz="4" w:space="0" w:color="auto"/>
              <w:right w:val="single" w:sz="4" w:space="0" w:color="auto"/>
            </w:tcBorders>
            <w:shd w:val="clear" w:color="auto" w:fill="auto"/>
            <w:noWrap/>
            <w:vAlign w:val="bottom"/>
            <w:hideMark/>
          </w:tcPr>
          <w:p w14:paraId="1CC2FAA6"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Western</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Gas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Partners</w:t>
            </w:r>
            <w:proofErr w:type="spellEnd"/>
            <w:r w:rsidRPr="008B0525">
              <w:rPr>
                <w:rFonts w:eastAsia="Times New Roman" w:cs="Times New Roman"/>
                <w:color w:val="000000"/>
                <w:sz w:val="20"/>
                <w:szCs w:val="20"/>
                <w:lang w:val="ru-RU" w:eastAsia="ru-RU"/>
              </w:rPr>
              <w:t xml:space="preserve"> LP</w:t>
            </w:r>
          </w:p>
        </w:tc>
        <w:tc>
          <w:tcPr>
            <w:tcW w:w="2440" w:type="dxa"/>
            <w:tcBorders>
              <w:top w:val="nil"/>
              <w:left w:val="nil"/>
              <w:bottom w:val="single" w:sz="4" w:space="0" w:color="auto"/>
              <w:right w:val="single" w:sz="4" w:space="0" w:color="auto"/>
            </w:tcBorders>
            <w:shd w:val="clear" w:color="auto" w:fill="auto"/>
            <w:noWrap/>
            <w:vAlign w:val="bottom"/>
            <w:hideMark/>
          </w:tcPr>
          <w:p w14:paraId="7F16742A"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United</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States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of</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America</w:t>
            </w:r>
            <w:proofErr w:type="spellEnd"/>
          </w:p>
        </w:tc>
      </w:tr>
      <w:tr w:rsidR="008B0525" w:rsidRPr="008B0525" w14:paraId="4111DD9A"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968A10"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60</w:t>
            </w:r>
          </w:p>
        </w:tc>
        <w:tc>
          <w:tcPr>
            <w:tcW w:w="5900" w:type="dxa"/>
            <w:tcBorders>
              <w:top w:val="nil"/>
              <w:left w:val="nil"/>
              <w:bottom w:val="single" w:sz="4" w:space="0" w:color="auto"/>
              <w:right w:val="single" w:sz="4" w:space="0" w:color="auto"/>
            </w:tcBorders>
            <w:shd w:val="clear" w:color="auto" w:fill="auto"/>
            <w:noWrap/>
            <w:vAlign w:val="bottom"/>
            <w:hideMark/>
          </w:tcPr>
          <w:p w14:paraId="0E3B5F2F"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Peyto</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Exploration</w:t>
            </w:r>
            <w:proofErr w:type="spellEnd"/>
            <w:r w:rsidRPr="008B0525">
              <w:rPr>
                <w:rFonts w:eastAsia="Times New Roman" w:cs="Times New Roman"/>
                <w:color w:val="000000"/>
                <w:sz w:val="20"/>
                <w:szCs w:val="20"/>
                <w:lang w:val="ru-RU" w:eastAsia="ru-RU"/>
              </w:rPr>
              <w:t xml:space="preserve"> &amp; </w:t>
            </w:r>
            <w:proofErr w:type="spellStart"/>
            <w:r w:rsidRPr="008B0525">
              <w:rPr>
                <w:rFonts w:eastAsia="Times New Roman" w:cs="Times New Roman"/>
                <w:color w:val="000000"/>
                <w:sz w:val="20"/>
                <w:szCs w:val="20"/>
                <w:lang w:val="ru-RU" w:eastAsia="ru-RU"/>
              </w:rPr>
              <w:t>Development</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Corporation</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16BF399C"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Canada</w:t>
            </w:r>
            <w:proofErr w:type="spellEnd"/>
          </w:p>
        </w:tc>
      </w:tr>
      <w:tr w:rsidR="008B0525" w:rsidRPr="008B0525" w14:paraId="410D7C88"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6F452B"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61</w:t>
            </w:r>
          </w:p>
        </w:tc>
        <w:tc>
          <w:tcPr>
            <w:tcW w:w="5900" w:type="dxa"/>
            <w:tcBorders>
              <w:top w:val="nil"/>
              <w:left w:val="nil"/>
              <w:bottom w:val="single" w:sz="4" w:space="0" w:color="auto"/>
              <w:right w:val="single" w:sz="4" w:space="0" w:color="auto"/>
            </w:tcBorders>
            <w:shd w:val="clear" w:color="auto" w:fill="auto"/>
            <w:noWrap/>
            <w:vAlign w:val="bottom"/>
            <w:hideMark/>
          </w:tcPr>
          <w:p w14:paraId="78BD75DC"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AltaGas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Ltd</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175F60B3"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Canada</w:t>
            </w:r>
            <w:proofErr w:type="spellEnd"/>
          </w:p>
        </w:tc>
      </w:tr>
      <w:tr w:rsidR="008B0525" w:rsidRPr="008B0525" w14:paraId="65DA3BA6"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6F4E84"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62</w:t>
            </w:r>
          </w:p>
        </w:tc>
        <w:tc>
          <w:tcPr>
            <w:tcW w:w="5900" w:type="dxa"/>
            <w:tcBorders>
              <w:top w:val="nil"/>
              <w:left w:val="nil"/>
              <w:bottom w:val="single" w:sz="4" w:space="0" w:color="auto"/>
              <w:right w:val="single" w:sz="4" w:space="0" w:color="auto"/>
            </w:tcBorders>
            <w:shd w:val="clear" w:color="auto" w:fill="auto"/>
            <w:noWrap/>
            <w:vAlign w:val="bottom"/>
            <w:hideMark/>
          </w:tcPr>
          <w:p w14:paraId="7223E103"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Madalena</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Ventures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Inc</w:t>
            </w:r>
            <w:proofErr w:type="spellEnd"/>
            <w:r w:rsidRPr="008B0525">
              <w:rPr>
                <w:rFonts w:eastAsia="Times New Roman" w:cs="Times New Roman"/>
                <w:color w:val="000000"/>
                <w:sz w:val="20"/>
                <w:szCs w:val="20"/>
                <w:lang w:val="ru-RU" w:eastAsia="ru-RU"/>
              </w:rPr>
              <w:t>.</w:t>
            </w:r>
          </w:p>
        </w:tc>
        <w:tc>
          <w:tcPr>
            <w:tcW w:w="2440" w:type="dxa"/>
            <w:tcBorders>
              <w:top w:val="nil"/>
              <w:left w:val="nil"/>
              <w:bottom w:val="single" w:sz="4" w:space="0" w:color="auto"/>
              <w:right w:val="single" w:sz="4" w:space="0" w:color="auto"/>
            </w:tcBorders>
            <w:shd w:val="clear" w:color="auto" w:fill="auto"/>
            <w:noWrap/>
            <w:vAlign w:val="bottom"/>
            <w:hideMark/>
          </w:tcPr>
          <w:p w14:paraId="657C1FBB"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Canada</w:t>
            </w:r>
            <w:proofErr w:type="spellEnd"/>
          </w:p>
        </w:tc>
      </w:tr>
      <w:tr w:rsidR="008B0525" w:rsidRPr="008B0525" w14:paraId="6FBFB93D"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2F2CAB"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63</w:t>
            </w:r>
          </w:p>
        </w:tc>
        <w:tc>
          <w:tcPr>
            <w:tcW w:w="5900" w:type="dxa"/>
            <w:tcBorders>
              <w:top w:val="nil"/>
              <w:left w:val="nil"/>
              <w:bottom w:val="single" w:sz="4" w:space="0" w:color="auto"/>
              <w:right w:val="single" w:sz="4" w:space="0" w:color="auto"/>
            </w:tcBorders>
            <w:shd w:val="clear" w:color="auto" w:fill="auto"/>
            <w:noWrap/>
            <w:vAlign w:val="bottom"/>
            <w:hideMark/>
          </w:tcPr>
          <w:p w14:paraId="2CD15C09"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 xml:space="preserve">SRC </w:t>
            </w:r>
            <w:proofErr w:type="spellStart"/>
            <w:r w:rsidRPr="008B0525">
              <w:rPr>
                <w:rFonts w:eastAsia="Times New Roman" w:cs="Times New Roman"/>
                <w:color w:val="000000"/>
                <w:sz w:val="20"/>
                <w:szCs w:val="20"/>
                <w:lang w:val="ru-RU" w:eastAsia="ru-RU"/>
              </w:rPr>
              <w:t>Energy</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Inc</w:t>
            </w:r>
            <w:proofErr w:type="spellEnd"/>
            <w:r w:rsidRPr="008B0525">
              <w:rPr>
                <w:rFonts w:eastAsia="Times New Roman" w:cs="Times New Roman"/>
                <w:color w:val="000000"/>
                <w:sz w:val="20"/>
                <w:szCs w:val="20"/>
                <w:lang w:val="ru-RU" w:eastAsia="ru-RU"/>
              </w:rPr>
              <w:t>.</w:t>
            </w:r>
          </w:p>
        </w:tc>
        <w:tc>
          <w:tcPr>
            <w:tcW w:w="2440" w:type="dxa"/>
            <w:tcBorders>
              <w:top w:val="nil"/>
              <w:left w:val="nil"/>
              <w:bottom w:val="single" w:sz="4" w:space="0" w:color="auto"/>
              <w:right w:val="single" w:sz="4" w:space="0" w:color="auto"/>
            </w:tcBorders>
            <w:shd w:val="clear" w:color="auto" w:fill="auto"/>
            <w:noWrap/>
            <w:vAlign w:val="bottom"/>
            <w:hideMark/>
          </w:tcPr>
          <w:p w14:paraId="76C49CC9"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United</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States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of</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America</w:t>
            </w:r>
            <w:proofErr w:type="spellEnd"/>
          </w:p>
        </w:tc>
      </w:tr>
      <w:tr w:rsidR="008B0525" w:rsidRPr="008B0525" w14:paraId="1D15F8C5" w14:textId="77777777" w:rsidTr="008B052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323A7E" w14:textId="77777777" w:rsidR="008B0525" w:rsidRPr="008B0525" w:rsidRDefault="008B0525" w:rsidP="004D2A38">
            <w:pPr>
              <w:tabs>
                <w:tab w:val="left" w:pos="0"/>
              </w:tabs>
              <w:spacing w:after="0" w:line="240" w:lineRule="auto"/>
              <w:ind w:firstLine="0"/>
              <w:contextualSpacing w:val="0"/>
              <w:jc w:val="right"/>
              <w:rPr>
                <w:rFonts w:eastAsia="Times New Roman" w:cs="Times New Roman"/>
                <w:color w:val="000000"/>
                <w:sz w:val="20"/>
                <w:szCs w:val="20"/>
                <w:lang w:val="ru-RU" w:eastAsia="ru-RU"/>
              </w:rPr>
            </w:pPr>
            <w:r w:rsidRPr="008B0525">
              <w:rPr>
                <w:rFonts w:eastAsia="Times New Roman" w:cs="Times New Roman"/>
                <w:color w:val="000000"/>
                <w:sz w:val="20"/>
                <w:szCs w:val="20"/>
                <w:lang w:val="ru-RU" w:eastAsia="ru-RU"/>
              </w:rPr>
              <w:t>64</w:t>
            </w:r>
          </w:p>
        </w:tc>
        <w:tc>
          <w:tcPr>
            <w:tcW w:w="5900" w:type="dxa"/>
            <w:tcBorders>
              <w:top w:val="nil"/>
              <w:left w:val="nil"/>
              <w:bottom w:val="single" w:sz="4" w:space="0" w:color="auto"/>
              <w:right w:val="single" w:sz="4" w:space="0" w:color="auto"/>
            </w:tcBorders>
            <w:shd w:val="clear" w:color="auto" w:fill="auto"/>
            <w:noWrap/>
            <w:vAlign w:val="bottom"/>
            <w:hideMark/>
          </w:tcPr>
          <w:p w14:paraId="06FACBD1"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Continental</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Resources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Inc</w:t>
            </w:r>
            <w:proofErr w:type="spellEnd"/>
            <w:r w:rsidRPr="008B0525">
              <w:rPr>
                <w:rFonts w:eastAsia="Times New Roman" w:cs="Times New Roman"/>
                <w:color w:val="000000"/>
                <w:sz w:val="20"/>
                <w:szCs w:val="20"/>
                <w:lang w:val="ru-RU" w:eastAsia="ru-RU"/>
              </w:rPr>
              <w:t>.</w:t>
            </w:r>
          </w:p>
        </w:tc>
        <w:tc>
          <w:tcPr>
            <w:tcW w:w="2440" w:type="dxa"/>
            <w:tcBorders>
              <w:top w:val="nil"/>
              <w:left w:val="nil"/>
              <w:bottom w:val="single" w:sz="4" w:space="0" w:color="auto"/>
              <w:right w:val="single" w:sz="4" w:space="0" w:color="auto"/>
            </w:tcBorders>
            <w:shd w:val="clear" w:color="auto" w:fill="auto"/>
            <w:noWrap/>
            <w:vAlign w:val="bottom"/>
            <w:hideMark/>
          </w:tcPr>
          <w:p w14:paraId="5E69D4CF" w14:textId="77777777" w:rsidR="008B0525" w:rsidRPr="008B0525" w:rsidRDefault="008B0525" w:rsidP="004D2A38">
            <w:pPr>
              <w:tabs>
                <w:tab w:val="left" w:pos="0"/>
              </w:tabs>
              <w:spacing w:after="0" w:line="240" w:lineRule="auto"/>
              <w:ind w:firstLine="0"/>
              <w:contextualSpacing w:val="0"/>
              <w:jc w:val="left"/>
              <w:rPr>
                <w:rFonts w:eastAsia="Times New Roman" w:cs="Times New Roman"/>
                <w:color w:val="000000"/>
                <w:sz w:val="20"/>
                <w:szCs w:val="20"/>
                <w:lang w:val="ru-RU" w:eastAsia="ru-RU"/>
              </w:rPr>
            </w:pPr>
            <w:proofErr w:type="spellStart"/>
            <w:r w:rsidRPr="008B0525">
              <w:rPr>
                <w:rFonts w:eastAsia="Times New Roman" w:cs="Times New Roman"/>
                <w:color w:val="000000"/>
                <w:sz w:val="20"/>
                <w:szCs w:val="20"/>
                <w:lang w:val="ru-RU" w:eastAsia="ru-RU"/>
              </w:rPr>
              <w:t>United</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States</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of</w:t>
            </w:r>
            <w:proofErr w:type="spellEnd"/>
            <w:r w:rsidRPr="008B0525">
              <w:rPr>
                <w:rFonts w:eastAsia="Times New Roman" w:cs="Times New Roman"/>
                <w:color w:val="000000"/>
                <w:sz w:val="20"/>
                <w:szCs w:val="20"/>
                <w:lang w:val="ru-RU" w:eastAsia="ru-RU"/>
              </w:rPr>
              <w:t xml:space="preserve"> </w:t>
            </w:r>
            <w:proofErr w:type="spellStart"/>
            <w:r w:rsidRPr="008B0525">
              <w:rPr>
                <w:rFonts w:eastAsia="Times New Roman" w:cs="Times New Roman"/>
                <w:color w:val="000000"/>
                <w:sz w:val="20"/>
                <w:szCs w:val="20"/>
                <w:lang w:val="ru-RU" w:eastAsia="ru-RU"/>
              </w:rPr>
              <w:t>America</w:t>
            </w:r>
            <w:proofErr w:type="spellEnd"/>
          </w:p>
        </w:tc>
      </w:tr>
    </w:tbl>
    <w:p w14:paraId="5F97F46C" w14:textId="0BF0AB16" w:rsidR="00CC1D40" w:rsidRDefault="00CC1D40" w:rsidP="004D2A38">
      <w:pPr>
        <w:pStyle w:val="a5"/>
        <w:tabs>
          <w:tab w:val="left" w:pos="0"/>
        </w:tabs>
        <w:ind w:left="0" w:firstLine="0"/>
        <w:rPr>
          <w:b/>
          <w:sz w:val="28"/>
          <w:szCs w:val="28"/>
        </w:rPr>
      </w:pPr>
    </w:p>
    <w:p w14:paraId="2AE02031" w14:textId="77777777" w:rsidR="00CC1D40" w:rsidRDefault="00CC1D40">
      <w:pPr>
        <w:spacing w:after="160" w:line="259" w:lineRule="auto"/>
        <w:ind w:firstLine="0"/>
        <w:contextualSpacing w:val="0"/>
        <w:jc w:val="left"/>
        <w:rPr>
          <w:b/>
          <w:sz w:val="28"/>
          <w:szCs w:val="28"/>
        </w:rPr>
      </w:pPr>
      <w:r>
        <w:rPr>
          <w:b/>
          <w:sz w:val="28"/>
          <w:szCs w:val="28"/>
        </w:rPr>
        <w:br w:type="page"/>
      </w:r>
    </w:p>
    <w:p w14:paraId="4A5C2E10" w14:textId="777F0833" w:rsidR="008F4C7D" w:rsidRDefault="00CC1D40" w:rsidP="00F83847">
      <w:pPr>
        <w:pStyle w:val="1"/>
        <w:spacing w:after="100" w:afterAutospacing="1"/>
        <w:contextualSpacing w:val="0"/>
        <w:jc w:val="right"/>
      </w:pPr>
      <w:bookmarkStart w:id="45" w:name="_Toc514964144"/>
      <w:r w:rsidRPr="00151547">
        <w:lastRenderedPageBreak/>
        <w:t xml:space="preserve">Appendix </w:t>
      </w:r>
      <w:r>
        <w:t>2</w:t>
      </w:r>
      <w:r w:rsidR="000F2D0F">
        <w:t xml:space="preserve">. </w:t>
      </w:r>
      <w:r w:rsidR="008F4C7D">
        <w:t>Working capital structure regression analysis results</w:t>
      </w:r>
      <w:bookmarkEnd w:id="45"/>
    </w:p>
    <w:p w14:paraId="0CADB011" w14:textId="205C793B" w:rsidR="006E6887" w:rsidRDefault="006E6887" w:rsidP="006E6887">
      <w:pPr>
        <w:pStyle w:val="a0"/>
        <w:ind w:left="0"/>
      </w:pPr>
      <w:r>
        <w:t>Regression analysis results for T+1</w:t>
      </w:r>
    </w:p>
    <w:p w14:paraId="16A392CB" w14:textId="463D2CD3" w:rsidR="006E6887" w:rsidRDefault="00733CE0" w:rsidP="00733CE0">
      <w:pPr>
        <w:ind w:firstLine="0"/>
        <w:jc w:val="center"/>
      </w:pPr>
      <w:r w:rsidRPr="00BB3688">
        <w:rPr>
          <w:noProof/>
        </w:rPr>
        <w:drawing>
          <wp:inline distT="0" distB="0" distL="0" distR="0" wp14:anchorId="79E56C80" wp14:editId="792AE82F">
            <wp:extent cx="6152515" cy="4443730"/>
            <wp:effectExtent l="0" t="0" r="635" b="0"/>
            <wp:docPr id="6" name="Рисунок 6" descr="C:\Users\User\Desktop\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2515" cy="4443730"/>
                    </a:xfrm>
                    <a:prstGeom prst="rect">
                      <a:avLst/>
                    </a:prstGeom>
                    <a:noFill/>
                    <a:ln>
                      <a:noFill/>
                    </a:ln>
                  </pic:spPr>
                </pic:pic>
              </a:graphicData>
            </a:graphic>
          </wp:inline>
        </w:drawing>
      </w:r>
    </w:p>
    <w:p w14:paraId="49910F18" w14:textId="3D1D96AC" w:rsidR="00733CE0" w:rsidRDefault="00733CE0" w:rsidP="00733CE0"/>
    <w:p w14:paraId="332A0B8E" w14:textId="4362E33C" w:rsidR="00733CE0" w:rsidRDefault="00733CE0" w:rsidP="00733CE0"/>
    <w:p w14:paraId="43B45049" w14:textId="33D86076" w:rsidR="00733CE0" w:rsidRDefault="00733CE0" w:rsidP="00733CE0"/>
    <w:p w14:paraId="0EF95CB9" w14:textId="0B3F7002" w:rsidR="00733CE0" w:rsidRDefault="00733CE0" w:rsidP="00733CE0"/>
    <w:p w14:paraId="1BB8A8A3" w14:textId="00238FD0" w:rsidR="00733CE0" w:rsidRDefault="00733CE0" w:rsidP="00733CE0"/>
    <w:p w14:paraId="6F50CCDE" w14:textId="7D68D883" w:rsidR="00733CE0" w:rsidRDefault="00733CE0" w:rsidP="00733CE0"/>
    <w:p w14:paraId="3A47129A" w14:textId="75037BE6" w:rsidR="00733CE0" w:rsidRDefault="00733CE0" w:rsidP="00733CE0"/>
    <w:p w14:paraId="21B5203E" w14:textId="323912DB" w:rsidR="00733CE0" w:rsidRDefault="00733CE0" w:rsidP="00733CE0"/>
    <w:p w14:paraId="5295291C" w14:textId="0AD87BF9" w:rsidR="00733CE0" w:rsidRDefault="00733CE0" w:rsidP="00733CE0"/>
    <w:p w14:paraId="2E18A3B9" w14:textId="40595CCA" w:rsidR="00733CE0" w:rsidRDefault="00733CE0" w:rsidP="00733CE0"/>
    <w:p w14:paraId="3F4990C4" w14:textId="67294F6F" w:rsidR="00733CE0" w:rsidRDefault="00733CE0" w:rsidP="00733CE0"/>
    <w:p w14:paraId="36D93349" w14:textId="77777777" w:rsidR="000F2D0F" w:rsidRDefault="000F2D0F" w:rsidP="00733CE0"/>
    <w:p w14:paraId="3D34A296" w14:textId="3204BB7A" w:rsidR="00733CE0" w:rsidRDefault="00733CE0" w:rsidP="00733CE0">
      <w:pPr>
        <w:pStyle w:val="a0"/>
        <w:ind w:left="0"/>
      </w:pPr>
      <w:r>
        <w:lastRenderedPageBreak/>
        <w:t>Regression analysis results for T+3</w:t>
      </w:r>
    </w:p>
    <w:p w14:paraId="33ED7D55" w14:textId="70B9E44A" w:rsidR="00733CE0" w:rsidRDefault="00733CE0" w:rsidP="00733CE0">
      <w:pPr>
        <w:ind w:firstLine="0"/>
        <w:jc w:val="center"/>
      </w:pPr>
      <w:r>
        <w:rPr>
          <w:noProof/>
        </w:rPr>
        <w:drawing>
          <wp:inline distT="0" distB="0" distL="0" distR="0" wp14:anchorId="261D3690" wp14:editId="6789841C">
            <wp:extent cx="6152515" cy="4514722"/>
            <wp:effectExtent l="0" t="0" r="635" b="635"/>
            <wp:docPr id="7" name="Рисунок 7" descr="C:\Users\User\Desktop\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2515" cy="4514722"/>
                    </a:xfrm>
                    <a:prstGeom prst="rect">
                      <a:avLst/>
                    </a:prstGeom>
                    <a:noFill/>
                    <a:ln>
                      <a:noFill/>
                    </a:ln>
                  </pic:spPr>
                </pic:pic>
              </a:graphicData>
            </a:graphic>
          </wp:inline>
        </w:drawing>
      </w:r>
    </w:p>
    <w:p w14:paraId="2677E29F" w14:textId="203C03DA" w:rsidR="00733CE0" w:rsidRDefault="00733CE0" w:rsidP="00733CE0">
      <w:pPr>
        <w:ind w:firstLine="0"/>
        <w:jc w:val="center"/>
      </w:pPr>
    </w:p>
    <w:p w14:paraId="396C8063" w14:textId="57E78085" w:rsidR="00733CE0" w:rsidRDefault="00733CE0" w:rsidP="00733CE0">
      <w:pPr>
        <w:ind w:firstLine="0"/>
        <w:jc w:val="center"/>
      </w:pPr>
    </w:p>
    <w:p w14:paraId="673A42AF" w14:textId="6284214C" w:rsidR="00733CE0" w:rsidRDefault="00733CE0" w:rsidP="00733CE0">
      <w:pPr>
        <w:ind w:firstLine="0"/>
        <w:jc w:val="center"/>
      </w:pPr>
    </w:p>
    <w:p w14:paraId="01FE5E58" w14:textId="018B4A4B" w:rsidR="00733CE0" w:rsidRDefault="00733CE0" w:rsidP="00733CE0">
      <w:pPr>
        <w:ind w:firstLine="0"/>
        <w:jc w:val="center"/>
      </w:pPr>
    </w:p>
    <w:p w14:paraId="57ADC42F" w14:textId="0FF67F30" w:rsidR="00733CE0" w:rsidRDefault="00733CE0" w:rsidP="00733CE0">
      <w:pPr>
        <w:ind w:firstLine="0"/>
        <w:jc w:val="center"/>
      </w:pPr>
    </w:p>
    <w:p w14:paraId="7E7A159F" w14:textId="30455354" w:rsidR="00733CE0" w:rsidRDefault="00733CE0" w:rsidP="00733CE0">
      <w:pPr>
        <w:ind w:firstLine="0"/>
        <w:jc w:val="center"/>
      </w:pPr>
    </w:p>
    <w:p w14:paraId="6E9A83F2" w14:textId="2E3FE6DD" w:rsidR="00733CE0" w:rsidRDefault="00733CE0" w:rsidP="00733CE0">
      <w:pPr>
        <w:ind w:firstLine="0"/>
        <w:jc w:val="center"/>
      </w:pPr>
    </w:p>
    <w:p w14:paraId="64886800" w14:textId="0BE982F2" w:rsidR="00733CE0" w:rsidRDefault="00733CE0" w:rsidP="00733CE0">
      <w:pPr>
        <w:ind w:firstLine="0"/>
        <w:jc w:val="center"/>
      </w:pPr>
    </w:p>
    <w:p w14:paraId="185143D3" w14:textId="2F4C8DC4" w:rsidR="00733CE0" w:rsidRDefault="00733CE0" w:rsidP="00733CE0">
      <w:pPr>
        <w:ind w:firstLine="0"/>
        <w:jc w:val="center"/>
      </w:pPr>
    </w:p>
    <w:p w14:paraId="26E751D3" w14:textId="2B497860" w:rsidR="00733CE0" w:rsidRDefault="00733CE0" w:rsidP="00733CE0">
      <w:pPr>
        <w:ind w:firstLine="0"/>
        <w:jc w:val="center"/>
      </w:pPr>
    </w:p>
    <w:p w14:paraId="3C9BC847" w14:textId="67B2F82F" w:rsidR="00733CE0" w:rsidRDefault="00733CE0" w:rsidP="00733CE0">
      <w:pPr>
        <w:ind w:firstLine="0"/>
        <w:jc w:val="center"/>
      </w:pPr>
    </w:p>
    <w:p w14:paraId="57E80814" w14:textId="536576E1" w:rsidR="00733CE0" w:rsidRDefault="00733CE0" w:rsidP="00733CE0">
      <w:pPr>
        <w:ind w:firstLine="0"/>
        <w:jc w:val="center"/>
      </w:pPr>
    </w:p>
    <w:p w14:paraId="768E8946" w14:textId="6074F413" w:rsidR="00733CE0" w:rsidRDefault="00733CE0" w:rsidP="00733CE0">
      <w:pPr>
        <w:ind w:firstLine="0"/>
        <w:jc w:val="center"/>
      </w:pPr>
    </w:p>
    <w:p w14:paraId="01C47551" w14:textId="1EE0A452" w:rsidR="00733CE0" w:rsidRDefault="00733CE0" w:rsidP="00733CE0">
      <w:pPr>
        <w:ind w:firstLine="0"/>
        <w:jc w:val="center"/>
      </w:pPr>
    </w:p>
    <w:p w14:paraId="41A438DF" w14:textId="5A8612B3" w:rsidR="00733CE0" w:rsidRDefault="00733CE0" w:rsidP="00733CE0">
      <w:pPr>
        <w:pStyle w:val="a0"/>
        <w:ind w:left="0"/>
      </w:pPr>
      <w:r>
        <w:lastRenderedPageBreak/>
        <w:t>Regression analysis results for T+5</w:t>
      </w:r>
    </w:p>
    <w:p w14:paraId="568BB78C" w14:textId="3EFB502C" w:rsidR="00733CE0" w:rsidRPr="00733CE0" w:rsidRDefault="00733CE0" w:rsidP="00C460D3">
      <w:pPr>
        <w:ind w:firstLine="0"/>
        <w:jc w:val="center"/>
      </w:pPr>
      <w:r w:rsidRPr="00BB524F">
        <w:rPr>
          <w:noProof/>
        </w:rPr>
        <w:drawing>
          <wp:inline distT="0" distB="0" distL="0" distR="0" wp14:anchorId="4A3F8066" wp14:editId="2844A5F3">
            <wp:extent cx="5814204" cy="4265990"/>
            <wp:effectExtent l="0" t="0" r="0" b="1270"/>
            <wp:docPr id="10" name="Рисунок 10" descr="C:\Users\User\Desktop\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T+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0330" cy="4270485"/>
                    </a:xfrm>
                    <a:prstGeom prst="rect">
                      <a:avLst/>
                    </a:prstGeom>
                    <a:noFill/>
                    <a:ln>
                      <a:noFill/>
                    </a:ln>
                  </pic:spPr>
                </pic:pic>
              </a:graphicData>
            </a:graphic>
          </wp:inline>
        </w:drawing>
      </w:r>
    </w:p>
    <w:p w14:paraId="37037608" w14:textId="77777777" w:rsidR="00733CE0" w:rsidRPr="006E6887" w:rsidRDefault="00733CE0" w:rsidP="00733CE0">
      <w:pPr>
        <w:ind w:firstLine="0"/>
        <w:jc w:val="center"/>
      </w:pPr>
    </w:p>
    <w:p w14:paraId="1E3AD57A" w14:textId="77777777" w:rsidR="008F4C7D" w:rsidRPr="008F4C7D" w:rsidRDefault="008F4C7D" w:rsidP="008F4C7D"/>
    <w:p w14:paraId="33BB228C" w14:textId="77777777" w:rsidR="008F4C7D" w:rsidRDefault="008F4C7D">
      <w:pPr>
        <w:spacing w:after="160" w:line="259" w:lineRule="auto"/>
        <w:ind w:firstLine="0"/>
        <w:contextualSpacing w:val="0"/>
        <w:jc w:val="left"/>
        <w:rPr>
          <w:rFonts w:eastAsiaTheme="majorEastAsia" w:cstheme="majorBidi"/>
          <w:b/>
          <w:sz w:val="28"/>
          <w:szCs w:val="32"/>
        </w:rPr>
      </w:pPr>
      <w:r>
        <w:br w:type="page"/>
      </w:r>
    </w:p>
    <w:p w14:paraId="76C283BD" w14:textId="7C135018" w:rsidR="00CC1D40" w:rsidRDefault="00C460D3" w:rsidP="00F83847">
      <w:pPr>
        <w:pStyle w:val="1"/>
        <w:spacing w:after="100" w:afterAutospacing="1"/>
        <w:contextualSpacing w:val="0"/>
        <w:jc w:val="right"/>
      </w:pPr>
      <w:bookmarkStart w:id="46" w:name="_Toc514964145"/>
      <w:r w:rsidRPr="00151547">
        <w:lastRenderedPageBreak/>
        <w:t xml:space="preserve">Appendix </w:t>
      </w:r>
      <w:r>
        <w:t>3</w:t>
      </w:r>
      <w:r w:rsidR="000F2D0F">
        <w:t xml:space="preserve">. </w:t>
      </w:r>
      <w:r w:rsidR="00CC1D40">
        <w:t>Working capital deficit regression results</w:t>
      </w:r>
      <w:bookmarkEnd w:id="46"/>
    </w:p>
    <w:p w14:paraId="79A6D58F" w14:textId="0A2544BE" w:rsidR="00C460D3" w:rsidRDefault="00C460D3" w:rsidP="00C460D3">
      <w:pPr>
        <w:pStyle w:val="a0"/>
        <w:ind w:left="0"/>
      </w:pPr>
      <w:r>
        <w:t>Regression analysis results for target working capital</w:t>
      </w:r>
    </w:p>
    <w:p w14:paraId="52CAECF0" w14:textId="77732502" w:rsidR="00C460D3" w:rsidRDefault="00C460D3" w:rsidP="00C460D3">
      <w:pPr>
        <w:ind w:firstLine="0"/>
      </w:pPr>
      <w:r w:rsidRPr="00C460D3">
        <w:rPr>
          <w:noProof/>
        </w:rPr>
        <w:drawing>
          <wp:inline distT="0" distB="0" distL="0" distR="0" wp14:anchorId="7F7A7F7C" wp14:editId="2DCD9E41">
            <wp:extent cx="6340010" cy="3217653"/>
            <wp:effectExtent l="0" t="0" r="3810" b="1905"/>
            <wp:docPr id="8" name="Рисунок 8" descr="C:\Users\User\Desktop\T_W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_W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1062" cy="3218187"/>
                    </a:xfrm>
                    <a:prstGeom prst="rect">
                      <a:avLst/>
                    </a:prstGeom>
                    <a:noFill/>
                    <a:ln>
                      <a:noFill/>
                    </a:ln>
                  </pic:spPr>
                </pic:pic>
              </a:graphicData>
            </a:graphic>
          </wp:inline>
        </w:drawing>
      </w:r>
    </w:p>
    <w:p w14:paraId="6AB63D73" w14:textId="63341E04" w:rsidR="00C460D3" w:rsidRDefault="00C460D3" w:rsidP="00C460D3">
      <w:pPr>
        <w:pStyle w:val="a0"/>
        <w:ind w:left="0"/>
      </w:pPr>
      <w:r>
        <w:t>Regression analysis results for Working capital deficit T+1</w:t>
      </w:r>
    </w:p>
    <w:p w14:paraId="61705E63" w14:textId="1E877B80" w:rsidR="00C460D3" w:rsidRPr="00C460D3" w:rsidRDefault="00C460D3" w:rsidP="00C460D3">
      <w:pPr>
        <w:ind w:firstLine="0"/>
      </w:pPr>
      <w:r w:rsidRPr="001E1A5D">
        <w:rPr>
          <w:noProof/>
          <w:lang w:val="ru-RU" w:eastAsia="ru-RU"/>
        </w:rPr>
        <w:drawing>
          <wp:inline distT="0" distB="0" distL="0" distR="0" wp14:anchorId="4E99A9DA" wp14:editId="7815ED8E">
            <wp:extent cx="6066155" cy="3746500"/>
            <wp:effectExtent l="0" t="0" r="0" b="6350"/>
            <wp:docPr id="15" name="Рисунок 15" descr="C:\Users\User\Desktop\T+1 W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T+1 WC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6155" cy="3746500"/>
                    </a:xfrm>
                    <a:prstGeom prst="rect">
                      <a:avLst/>
                    </a:prstGeom>
                    <a:noFill/>
                    <a:ln>
                      <a:noFill/>
                    </a:ln>
                  </pic:spPr>
                </pic:pic>
              </a:graphicData>
            </a:graphic>
          </wp:inline>
        </w:drawing>
      </w:r>
    </w:p>
    <w:p w14:paraId="7215D8B9" w14:textId="77777777" w:rsidR="00C460D3" w:rsidRPr="00C460D3" w:rsidRDefault="00C460D3" w:rsidP="00C460D3"/>
    <w:p w14:paraId="2097B174" w14:textId="184D0D05" w:rsidR="00C460D3" w:rsidRDefault="00C460D3" w:rsidP="00C460D3">
      <w:pPr>
        <w:pStyle w:val="a0"/>
        <w:ind w:left="0"/>
      </w:pPr>
      <w:r>
        <w:lastRenderedPageBreak/>
        <w:t>Regression analysis results for Working capital deficit T+3</w:t>
      </w:r>
    </w:p>
    <w:p w14:paraId="154BFF22" w14:textId="080139C0" w:rsidR="008108EB" w:rsidRPr="008108EB" w:rsidRDefault="008108EB" w:rsidP="008108EB">
      <w:pPr>
        <w:ind w:firstLine="0"/>
        <w:jc w:val="left"/>
      </w:pPr>
      <w:r w:rsidRPr="001E1A5D">
        <w:rPr>
          <w:noProof/>
          <w:lang w:val="ru-RU" w:eastAsia="ru-RU"/>
        </w:rPr>
        <w:drawing>
          <wp:inline distT="0" distB="0" distL="0" distR="0" wp14:anchorId="32113EA3" wp14:editId="1C08F690">
            <wp:extent cx="5901461" cy="3674853"/>
            <wp:effectExtent l="0" t="0" r="4445" b="1905"/>
            <wp:docPr id="17" name="Рисунок 17" descr="C:\Users\User\Desktop\T+3 W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T+3 WC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8391" cy="3679169"/>
                    </a:xfrm>
                    <a:prstGeom prst="rect">
                      <a:avLst/>
                    </a:prstGeom>
                    <a:noFill/>
                    <a:ln>
                      <a:noFill/>
                    </a:ln>
                  </pic:spPr>
                </pic:pic>
              </a:graphicData>
            </a:graphic>
          </wp:inline>
        </w:drawing>
      </w:r>
    </w:p>
    <w:p w14:paraId="7CDA37CA" w14:textId="37694C42" w:rsidR="00C460D3" w:rsidRDefault="00C460D3" w:rsidP="00C460D3">
      <w:pPr>
        <w:pStyle w:val="a0"/>
        <w:ind w:left="0"/>
      </w:pPr>
      <w:r>
        <w:t>Regression analysis results for Working capital deficit T+5</w:t>
      </w:r>
    </w:p>
    <w:p w14:paraId="60A1BB69" w14:textId="4E2CB5F4" w:rsidR="008108EB" w:rsidRDefault="008108EB" w:rsidP="008108EB">
      <w:pPr>
        <w:ind w:firstLine="0"/>
        <w:jc w:val="left"/>
      </w:pPr>
      <w:bookmarkStart w:id="47" w:name="_GoBack"/>
      <w:r w:rsidRPr="00D40659">
        <w:rPr>
          <w:noProof/>
          <w:lang w:val="ru-RU" w:eastAsia="ru-RU"/>
        </w:rPr>
        <w:drawing>
          <wp:inline distT="0" distB="0" distL="0" distR="0" wp14:anchorId="30BFB0E1" wp14:editId="44F17584">
            <wp:extent cx="6066790" cy="3832225"/>
            <wp:effectExtent l="0" t="0" r="0" b="0"/>
            <wp:docPr id="13" name="Рисунок 13" descr="C:\Users\User\Desktop\T+5 W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T+5 WC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66790" cy="3832225"/>
                    </a:xfrm>
                    <a:prstGeom prst="rect">
                      <a:avLst/>
                    </a:prstGeom>
                    <a:noFill/>
                    <a:ln>
                      <a:noFill/>
                    </a:ln>
                  </pic:spPr>
                </pic:pic>
              </a:graphicData>
            </a:graphic>
          </wp:inline>
        </w:drawing>
      </w:r>
      <w:bookmarkEnd w:id="47"/>
    </w:p>
    <w:sectPr w:rsidR="008108EB" w:rsidSect="005D2A0E">
      <w:footerReference w:type="default" r:id="rId25"/>
      <w:footerReference w:type="first" r:id="rId26"/>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41857B" w14:textId="77777777" w:rsidR="00201CD3" w:rsidRDefault="00201CD3" w:rsidP="00EE2777">
      <w:pPr>
        <w:spacing w:after="0" w:line="240" w:lineRule="auto"/>
      </w:pPr>
      <w:r>
        <w:separator/>
      </w:r>
    </w:p>
  </w:endnote>
  <w:endnote w:type="continuationSeparator" w:id="0">
    <w:p w14:paraId="3966A2AB" w14:textId="77777777" w:rsidR="00201CD3" w:rsidRDefault="00201CD3" w:rsidP="00EE2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5095228"/>
      <w:docPartObj>
        <w:docPartGallery w:val="Page Numbers (Bottom of Page)"/>
        <w:docPartUnique/>
      </w:docPartObj>
    </w:sdtPr>
    <w:sdtContent>
      <w:p w14:paraId="43328987" w14:textId="29A9471A" w:rsidR="00F83847" w:rsidRDefault="00F83847">
        <w:pPr>
          <w:pStyle w:val="ac"/>
          <w:jc w:val="right"/>
        </w:pPr>
        <w:r>
          <w:fldChar w:fldCharType="begin"/>
        </w:r>
        <w:r>
          <w:instrText>PAGE   \* MERGEFORMAT</w:instrText>
        </w:r>
        <w:r>
          <w:fldChar w:fldCharType="separate"/>
        </w:r>
        <w:r w:rsidR="00154E78" w:rsidRPr="00154E78">
          <w:rPr>
            <w:noProof/>
            <w:lang w:val="ru-RU"/>
          </w:rPr>
          <w:t>57</w:t>
        </w:r>
        <w:r>
          <w:fldChar w:fldCharType="end"/>
        </w:r>
      </w:p>
    </w:sdtContent>
  </w:sdt>
  <w:p w14:paraId="2C559680" w14:textId="77777777" w:rsidR="00F83847" w:rsidRDefault="00F83847">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A9677" w14:textId="0FF12DB3" w:rsidR="00F83847" w:rsidRDefault="00F83847" w:rsidP="005D2A0E">
    <w:pPr>
      <w:pStyle w:val="ac"/>
      <w:jc w:val="center"/>
    </w:pPr>
  </w:p>
  <w:p w14:paraId="4CC04CA7" w14:textId="77777777" w:rsidR="00F83847" w:rsidRDefault="00F8384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D1CA8C" w14:textId="77777777" w:rsidR="00201CD3" w:rsidRDefault="00201CD3" w:rsidP="00EE2777">
      <w:pPr>
        <w:spacing w:after="0" w:line="240" w:lineRule="auto"/>
      </w:pPr>
      <w:r>
        <w:separator/>
      </w:r>
    </w:p>
  </w:footnote>
  <w:footnote w:type="continuationSeparator" w:id="0">
    <w:p w14:paraId="73C5A01D" w14:textId="77777777" w:rsidR="00201CD3" w:rsidRDefault="00201CD3" w:rsidP="00EE2777">
      <w:pPr>
        <w:spacing w:after="0" w:line="240" w:lineRule="auto"/>
      </w:pPr>
      <w:r>
        <w:continuationSeparator/>
      </w:r>
    </w:p>
  </w:footnote>
  <w:footnote w:id="1">
    <w:p w14:paraId="73EF04C4" w14:textId="637401F6" w:rsidR="00F83847" w:rsidRDefault="00F83847" w:rsidP="00D162AE">
      <w:pPr>
        <w:pStyle w:val="af8"/>
      </w:pPr>
      <w:r>
        <w:rPr>
          <w:rStyle w:val="afa"/>
        </w:rPr>
        <w:footnoteRef/>
      </w:r>
      <w:r>
        <w:t xml:space="preserve"> Net Trade Cycle is the number of days in sales that the firm has to finance through its working capital. Net Trade Cycle = (inventory + accounts receivable - accounts payable) *365/sales (Shin and </w:t>
      </w:r>
      <w:proofErr w:type="spellStart"/>
      <w:r>
        <w:t>Soenen</w:t>
      </w:r>
      <w:proofErr w:type="spellEnd"/>
      <w:r>
        <w:t>, 1998).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C70A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845D67"/>
    <w:multiLevelType w:val="hybridMultilevel"/>
    <w:tmpl w:val="8B026C5C"/>
    <w:lvl w:ilvl="0" w:tplc="6728F2CC">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C629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CFF14D7"/>
    <w:multiLevelType w:val="hybridMultilevel"/>
    <w:tmpl w:val="F7E49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4404F9"/>
    <w:multiLevelType w:val="hybridMultilevel"/>
    <w:tmpl w:val="CF8E0B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AB73F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1131A40"/>
    <w:multiLevelType w:val="multilevel"/>
    <w:tmpl w:val="83BE844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278A0CC8"/>
    <w:multiLevelType w:val="hybridMultilevel"/>
    <w:tmpl w:val="B1B61308"/>
    <w:lvl w:ilvl="0" w:tplc="28D61E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A24698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BBD325B"/>
    <w:multiLevelType w:val="hybridMultilevel"/>
    <w:tmpl w:val="8F4AAA34"/>
    <w:lvl w:ilvl="0" w:tplc="21D655DE">
      <w:start w:val="4"/>
      <w:numFmt w:val="bullet"/>
      <w:lvlText w:val=""/>
      <w:lvlJc w:val="left"/>
      <w:pPr>
        <w:ind w:left="720" w:hanging="360"/>
      </w:pPr>
      <w:rPr>
        <w:rFonts w:ascii="Wingdings" w:eastAsiaTheme="minorHAnsi" w:hAnsi="Wingding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2BE55B1"/>
    <w:multiLevelType w:val="multilevel"/>
    <w:tmpl w:val="6CE612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10A43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8D39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A057D43"/>
    <w:multiLevelType w:val="hybridMultilevel"/>
    <w:tmpl w:val="AD26124E"/>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6B951400"/>
    <w:multiLevelType w:val="multilevel"/>
    <w:tmpl w:val="40AEA3A2"/>
    <w:lvl w:ilvl="0">
      <w:start w:val="1"/>
      <w:numFmt w:val="decimal"/>
      <w:pStyle w:val="a"/>
      <w:suff w:val="space"/>
      <w:lvlText w:val="Figure %1."/>
      <w:lvlJc w:val="left"/>
      <w:pPr>
        <w:ind w:left="0" w:firstLine="0"/>
      </w:pPr>
      <w:rPr>
        <w:rFonts w:hint="default"/>
        <w:b w:val="0"/>
        <w:sz w:val="20"/>
        <w:szCs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F4C7F0E"/>
    <w:multiLevelType w:val="multilevel"/>
    <w:tmpl w:val="946C7832"/>
    <w:lvl w:ilvl="0">
      <w:start w:val="1"/>
      <w:numFmt w:val="decimal"/>
      <w:pStyle w:val="1"/>
      <w:lvlText w:val="%1"/>
      <w:lvlJc w:val="left"/>
      <w:pPr>
        <w:ind w:left="432" w:hanging="432"/>
      </w:pPr>
      <w:rPr>
        <w:vanish/>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6" w15:restartNumberingAfterBreak="0">
    <w:nsid w:val="73CB78A4"/>
    <w:multiLevelType w:val="hybridMultilevel"/>
    <w:tmpl w:val="8AD0CDE6"/>
    <w:lvl w:ilvl="0" w:tplc="040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7EA107B"/>
    <w:multiLevelType w:val="hybridMultilevel"/>
    <w:tmpl w:val="F71CA0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8D96903"/>
    <w:multiLevelType w:val="hybridMultilevel"/>
    <w:tmpl w:val="0224564E"/>
    <w:lvl w:ilvl="0" w:tplc="8A7A1362">
      <w:start w:val="1"/>
      <w:numFmt w:val="decimal"/>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19" w15:restartNumberingAfterBreak="0">
    <w:nsid w:val="7D074EC5"/>
    <w:multiLevelType w:val="multilevel"/>
    <w:tmpl w:val="225A459E"/>
    <w:lvl w:ilvl="0">
      <w:start w:val="1"/>
      <w:numFmt w:val="decimal"/>
      <w:pStyle w:val="a0"/>
      <w:suff w:val="space"/>
      <w:lvlText w:val="Table %1."/>
      <w:lvlJc w:val="left"/>
      <w:pPr>
        <w:ind w:left="723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
  </w:num>
  <w:num w:numId="2">
    <w:abstractNumId w:val="0"/>
  </w:num>
  <w:num w:numId="3">
    <w:abstractNumId w:val="10"/>
  </w:num>
  <w:num w:numId="4">
    <w:abstractNumId w:val="11"/>
  </w:num>
  <w:num w:numId="5">
    <w:abstractNumId w:val="5"/>
  </w:num>
  <w:num w:numId="6">
    <w:abstractNumId w:val="18"/>
  </w:num>
  <w:num w:numId="7">
    <w:abstractNumId w:val="6"/>
  </w:num>
  <w:num w:numId="8">
    <w:abstractNumId w:val="8"/>
  </w:num>
  <w:num w:numId="9">
    <w:abstractNumId w:val="12"/>
  </w:num>
  <w:num w:numId="10">
    <w:abstractNumId w:val="2"/>
  </w:num>
  <w:num w:numId="11">
    <w:abstractNumId w:val="15"/>
  </w:num>
  <w:num w:numId="12">
    <w:abstractNumId w:val="3"/>
  </w:num>
  <w:num w:numId="13">
    <w:abstractNumId w:val="13"/>
  </w:num>
  <w:num w:numId="14">
    <w:abstractNumId w:val="1"/>
  </w:num>
  <w:num w:numId="15">
    <w:abstractNumId w:val="15"/>
  </w:num>
  <w:num w:numId="16">
    <w:abstractNumId w:val="19"/>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9"/>
  </w:num>
  <w:num w:numId="20">
    <w:abstractNumId w:val="16"/>
  </w:num>
  <w:num w:numId="21">
    <w:abstractNumId w:val="7"/>
  </w:num>
  <w:num w:numId="22">
    <w:abstractNumId w:val="14"/>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47F"/>
    <w:rsid w:val="000115D7"/>
    <w:rsid w:val="00016AA6"/>
    <w:rsid w:val="0002262D"/>
    <w:rsid w:val="00033F17"/>
    <w:rsid w:val="0003522B"/>
    <w:rsid w:val="00052803"/>
    <w:rsid w:val="000536FA"/>
    <w:rsid w:val="000578A6"/>
    <w:rsid w:val="00065573"/>
    <w:rsid w:val="00066FA7"/>
    <w:rsid w:val="00070207"/>
    <w:rsid w:val="00071953"/>
    <w:rsid w:val="00073975"/>
    <w:rsid w:val="0007416E"/>
    <w:rsid w:val="000A0902"/>
    <w:rsid w:val="000A5CF1"/>
    <w:rsid w:val="000B0843"/>
    <w:rsid w:val="000B4CED"/>
    <w:rsid w:val="000C6FB6"/>
    <w:rsid w:val="000D1E93"/>
    <w:rsid w:val="000D3765"/>
    <w:rsid w:val="000D4248"/>
    <w:rsid w:val="000D6255"/>
    <w:rsid w:val="000E4994"/>
    <w:rsid w:val="000E6C6F"/>
    <w:rsid w:val="000E7BD3"/>
    <w:rsid w:val="000F1D81"/>
    <w:rsid w:val="000F2D0F"/>
    <w:rsid w:val="000F3D6B"/>
    <w:rsid w:val="000F662A"/>
    <w:rsid w:val="0010317C"/>
    <w:rsid w:val="0010609A"/>
    <w:rsid w:val="001129BB"/>
    <w:rsid w:val="001147AE"/>
    <w:rsid w:val="001164D3"/>
    <w:rsid w:val="00122570"/>
    <w:rsid w:val="00126A24"/>
    <w:rsid w:val="001303B8"/>
    <w:rsid w:val="0013067E"/>
    <w:rsid w:val="00131CB5"/>
    <w:rsid w:val="00133055"/>
    <w:rsid w:val="001361A8"/>
    <w:rsid w:val="00142913"/>
    <w:rsid w:val="001463A7"/>
    <w:rsid w:val="00147F8F"/>
    <w:rsid w:val="00151547"/>
    <w:rsid w:val="00154E78"/>
    <w:rsid w:val="001569AD"/>
    <w:rsid w:val="00156FEE"/>
    <w:rsid w:val="00157122"/>
    <w:rsid w:val="00161BEE"/>
    <w:rsid w:val="001620B5"/>
    <w:rsid w:val="00163E0E"/>
    <w:rsid w:val="0016469C"/>
    <w:rsid w:val="00175B09"/>
    <w:rsid w:val="00176667"/>
    <w:rsid w:val="001772A2"/>
    <w:rsid w:val="00182B43"/>
    <w:rsid w:val="00182D22"/>
    <w:rsid w:val="00182E12"/>
    <w:rsid w:val="00184390"/>
    <w:rsid w:val="001A0B79"/>
    <w:rsid w:val="001A7C79"/>
    <w:rsid w:val="001C190B"/>
    <w:rsid w:val="001C2903"/>
    <w:rsid w:val="001C763D"/>
    <w:rsid w:val="001C7F96"/>
    <w:rsid w:val="001D140F"/>
    <w:rsid w:val="001D44F3"/>
    <w:rsid w:val="001D62D4"/>
    <w:rsid w:val="001E0025"/>
    <w:rsid w:val="001E3AD0"/>
    <w:rsid w:val="001F5E09"/>
    <w:rsid w:val="001F60D3"/>
    <w:rsid w:val="00201CD3"/>
    <w:rsid w:val="002046E4"/>
    <w:rsid w:val="00207C4C"/>
    <w:rsid w:val="00212211"/>
    <w:rsid w:val="00226A94"/>
    <w:rsid w:val="00227606"/>
    <w:rsid w:val="00231030"/>
    <w:rsid w:val="002336EC"/>
    <w:rsid w:val="00243D12"/>
    <w:rsid w:val="00246EC0"/>
    <w:rsid w:val="00252D59"/>
    <w:rsid w:val="00254E56"/>
    <w:rsid w:val="00262E00"/>
    <w:rsid w:val="00263BC7"/>
    <w:rsid w:val="002739F9"/>
    <w:rsid w:val="002765E7"/>
    <w:rsid w:val="0028128F"/>
    <w:rsid w:val="0028712B"/>
    <w:rsid w:val="00291B5F"/>
    <w:rsid w:val="00291F4B"/>
    <w:rsid w:val="00292320"/>
    <w:rsid w:val="00294E3D"/>
    <w:rsid w:val="00294EB8"/>
    <w:rsid w:val="002A4C5D"/>
    <w:rsid w:val="002A4E8A"/>
    <w:rsid w:val="002B0F06"/>
    <w:rsid w:val="002B16E1"/>
    <w:rsid w:val="002C12B4"/>
    <w:rsid w:val="002C3E9B"/>
    <w:rsid w:val="002C41EB"/>
    <w:rsid w:val="002D14E4"/>
    <w:rsid w:val="002D5267"/>
    <w:rsid w:val="002E1CA7"/>
    <w:rsid w:val="002F294A"/>
    <w:rsid w:val="002F595D"/>
    <w:rsid w:val="002F6B09"/>
    <w:rsid w:val="0031101A"/>
    <w:rsid w:val="00312CE6"/>
    <w:rsid w:val="00313D9C"/>
    <w:rsid w:val="0031447D"/>
    <w:rsid w:val="0031571D"/>
    <w:rsid w:val="00320DF7"/>
    <w:rsid w:val="003222B5"/>
    <w:rsid w:val="00323E29"/>
    <w:rsid w:val="00331F3D"/>
    <w:rsid w:val="00332FBF"/>
    <w:rsid w:val="00336AC9"/>
    <w:rsid w:val="00346584"/>
    <w:rsid w:val="00347569"/>
    <w:rsid w:val="00350631"/>
    <w:rsid w:val="00352441"/>
    <w:rsid w:val="00361335"/>
    <w:rsid w:val="00361599"/>
    <w:rsid w:val="00361D23"/>
    <w:rsid w:val="003640BD"/>
    <w:rsid w:val="003648CB"/>
    <w:rsid w:val="003655A5"/>
    <w:rsid w:val="00365EA1"/>
    <w:rsid w:val="0036609A"/>
    <w:rsid w:val="003715BF"/>
    <w:rsid w:val="0037586F"/>
    <w:rsid w:val="00380452"/>
    <w:rsid w:val="0038276C"/>
    <w:rsid w:val="0038719E"/>
    <w:rsid w:val="00387292"/>
    <w:rsid w:val="00393212"/>
    <w:rsid w:val="00393653"/>
    <w:rsid w:val="00394002"/>
    <w:rsid w:val="00394B65"/>
    <w:rsid w:val="00397279"/>
    <w:rsid w:val="003A3797"/>
    <w:rsid w:val="003A796E"/>
    <w:rsid w:val="003B1D4F"/>
    <w:rsid w:val="003B3911"/>
    <w:rsid w:val="003B49EB"/>
    <w:rsid w:val="003B5393"/>
    <w:rsid w:val="003C07EF"/>
    <w:rsid w:val="003C3847"/>
    <w:rsid w:val="003D063B"/>
    <w:rsid w:val="003D59FB"/>
    <w:rsid w:val="003E022B"/>
    <w:rsid w:val="003E6FFF"/>
    <w:rsid w:val="003F244D"/>
    <w:rsid w:val="003F2D33"/>
    <w:rsid w:val="003F4299"/>
    <w:rsid w:val="003F4F93"/>
    <w:rsid w:val="003F7BDD"/>
    <w:rsid w:val="0040035B"/>
    <w:rsid w:val="00400B61"/>
    <w:rsid w:val="0040118E"/>
    <w:rsid w:val="004035FE"/>
    <w:rsid w:val="00412833"/>
    <w:rsid w:val="00415B58"/>
    <w:rsid w:val="00415E2B"/>
    <w:rsid w:val="00416EB3"/>
    <w:rsid w:val="004175CE"/>
    <w:rsid w:val="00423A18"/>
    <w:rsid w:val="00426340"/>
    <w:rsid w:val="00433A41"/>
    <w:rsid w:val="0044163F"/>
    <w:rsid w:val="00444271"/>
    <w:rsid w:val="00445B19"/>
    <w:rsid w:val="00445FE4"/>
    <w:rsid w:val="00456F55"/>
    <w:rsid w:val="0045726F"/>
    <w:rsid w:val="00460E4E"/>
    <w:rsid w:val="0046336F"/>
    <w:rsid w:val="00463F4A"/>
    <w:rsid w:val="00474749"/>
    <w:rsid w:val="00480E10"/>
    <w:rsid w:val="004814AC"/>
    <w:rsid w:val="0048516D"/>
    <w:rsid w:val="00485F0E"/>
    <w:rsid w:val="00491169"/>
    <w:rsid w:val="0049175F"/>
    <w:rsid w:val="00491E07"/>
    <w:rsid w:val="00492915"/>
    <w:rsid w:val="00494614"/>
    <w:rsid w:val="00494841"/>
    <w:rsid w:val="004963E0"/>
    <w:rsid w:val="004A2835"/>
    <w:rsid w:val="004A736D"/>
    <w:rsid w:val="004A7592"/>
    <w:rsid w:val="004B71BD"/>
    <w:rsid w:val="004C4E89"/>
    <w:rsid w:val="004C77CA"/>
    <w:rsid w:val="004D2A38"/>
    <w:rsid w:val="004D362C"/>
    <w:rsid w:val="004D6504"/>
    <w:rsid w:val="004E1933"/>
    <w:rsid w:val="004E2F05"/>
    <w:rsid w:val="004E4759"/>
    <w:rsid w:val="004F7DF6"/>
    <w:rsid w:val="005005CB"/>
    <w:rsid w:val="00500F13"/>
    <w:rsid w:val="005012EB"/>
    <w:rsid w:val="0050173D"/>
    <w:rsid w:val="00503920"/>
    <w:rsid w:val="00503972"/>
    <w:rsid w:val="005043E2"/>
    <w:rsid w:val="005073CF"/>
    <w:rsid w:val="005106CD"/>
    <w:rsid w:val="00511284"/>
    <w:rsid w:val="00514766"/>
    <w:rsid w:val="00520802"/>
    <w:rsid w:val="005223FD"/>
    <w:rsid w:val="005230D6"/>
    <w:rsid w:val="0052505B"/>
    <w:rsid w:val="005257C4"/>
    <w:rsid w:val="00530E84"/>
    <w:rsid w:val="00532A50"/>
    <w:rsid w:val="00541F0C"/>
    <w:rsid w:val="00542D93"/>
    <w:rsid w:val="00543307"/>
    <w:rsid w:val="00545C68"/>
    <w:rsid w:val="0055387F"/>
    <w:rsid w:val="00553B11"/>
    <w:rsid w:val="005650E5"/>
    <w:rsid w:val="00577495"/>
    <w:rsid w:val="00585C17"/>
    <w:rsid w:val="0059041E"/>
    <w:rsid w:val="005904DC"/>
    <w:rsid w:val="00592319"/>
    <w:rsid w:val="005A0D18"/>
    <w:rsid w:val="005B2B99"/>
    <w:rsid w:val="005B3F34"/>
    <w:rsid w:val="005B671D"/>
    <w:rsid w:val="005B6F53"/>
    <w:rsid w:val="005C2845"/>
    <w:rsid w:val="005D0A2D"/>
    <w:rsid w:val="005D2A0E"/>
    <w:rsid w:val="005D34C2"/>
    <w:rsid w:val="005D48D7"/>
    <w:rsid w:val="006023A9"/>
    <w:rsid w:val="00603D98"/>
    <w:rsid w:val="00606FC0"/>
    <w:rsid w:val="00616A02"/>
    <w:rsid w:val="0062379E"/>
    <w:rsid w:val="0062466A"/>
    <w:rsid w:val="00626B3E"/>
    <w:rsid w:val="00632BCD"/>
    <w:rsid w:val="0063674E"/>
    <w:rsid w:val="00640CD8"/>
    <w:rsid w:val="00641A85"/>
    <w:rsid w:val="0065189C"/>
    <w:rsid w:val="0065247A"/>
    <w:rsid w:val="00653FDE"/>
    <w:rsid w:val="00660013"/>
    <w:rsid w:val="00662974"/>
    <w:rsid w:val="00663C5D"/>
    <w:rsid w:val="0067196C"/>
    <w:rsid w:val="0067330F"/>
    <w:rsid w:val="0067472C"/>
    <w:rsid w:val="006759D1"/>
    <w:rsid w:val="00675D0B"/>
    <w:rsid w:val="00680648"/>
    <w:rsid w:val="00682314"/>
    <w:rsid w:val="00686EBB"/>
    <w:rsid w:val="00691EBE"/>
    <w:rsid w:val="00692873"/>
    <w:rsid w:val="0069494A"/>
    <w:rsid w:val="0069788C"/>
    <w:rsid w:val="00697E0B"/>
    <w:rsid w:val="006A637E"/>
    <w:rsid w:val="006A7905"/>
    <w:rsid w:val="006B2522"/>
    <w:rsid w:val="006D311A"/>
    <w:rsid w:val="006D3AD5"/>
    <w:rsid w:val="006E6887"/>
    <w:rsid w:val="006F18B5"/>
    <w:rsid w:val="0070488E"/>
    <w:rsid w:val="00704E25"/>
    <w:rsid w:val="00712289"/>
    <w:rsid w:val="007122C4"/>
    <w:rsid w:val="00713768"/>
    <w:rsid w:val="00715AB6"/>
    <w:rsid w:val="00716DE4"/>
    <w:rsid w:val="00731B6C"/>
    <w:rsid w:val="00733CE0"/>
    <w:rsid w:val="00737186"/>
    <w:rsid w:val="007420CF"/>
    <w:rsid w:val="0074297A"/>
    <w:rsid w:val="00750E0B"/>
    <w:rsid w:val="0075442D"/>
    <w:rsid w:val="00755D3D"/>
    <w:rsid w:val="00757F40"/>
    <w:rsid w:val="00766977"/>
    <w:rsid w:val="0076771F"/>
    <w:rsid w:val="007713FD"/>
    <w:rsid w:val="007774B6"/>
    <w:rsid w:val="007841D0"/>
    <w:rsid w:val="00785E9B"/>
    <w:rsid w:val="00787699"/>
    <w:rsid w:val="00790385"/>
    <w:rsid w:val="0079562D"/>
    <w:rsid w:val="00795E64"/>
    <w:rsid w:val="00796386"/>
    <w:rsid w:val="0079715F"/>
    <w:rsid w:val="007A35BA"/>
    <w:rsid w:val="007A4A56"/>
    <w:rsid w:val="007A7EF7"/>
    <w:rsid w:val="007B7BA1"/>
    <w:rsid w:val="007C58BC"/>
    <w:rsid w:val="007D7CDE"/>
    <w:rsid w:val="007E4152"/>
    <w:rsid w:val="007F342B"/>
    <w:rsid w:val="0080437B"/>
    <w:rsid w:val="008053AD"/>
    <w:rsid w:val="0080654D"/>
    <w:rsid w:val="00807200"/>
    <w:rsid w:val="008108EB"/>
    <w:rsid w:val="00810C4B"/>
    <w:rsid w:val="00810DE8"/>
    <w:rsid w:val="00814CA9"/>
    <w:rsid w:val="00814F6C"/>
    <w:rsid w:val="00821BE1"/>
    <w:rsid w:val="00821EF8"/>
    <w:rsid w:val="00822ED4"/>
    <w:rsid w:val="00826B17"/>
    <w:rsid w:val="00827E31"/>
    <w:rsid w:val="00835614"/>
    <w:rsid w:val="00840E4E"/>
    <w:rsid w:val="00840ECF"/>
    <w:rsid w:val="0084369D"/>
    <w:rsid w:val="00845236"/>
    <w:rsid w:val="0085101B"/>
    <w:rsid w:val="0085491F"/>
    <w:rsid w:val="00861248"/>
    <w:rsid w:val="00863AE1"/>
    <w:rsid w:val="00873A54"/>
    <w:rsid w:val="00875837"/>
    <w:rsid w:val="00883D50"/>
    <w:rsid w:val="0089308B"/>
    <w:rsid w:val="008935FB"/>
    <w:rsid w:val="00893C6A"/>
    <w:rsid w:val="00894A8B"/>
    <w:rsid w:val="00895D56"/>
    <w:rsid w:val="00897316"/>
    <w:rsid w:val="008A21EB"/>
    <w:rsid w:val="008B0525"/>
    <w:rsid w:val="008B13D1"/>
    <w:rsid w:val="008B3C2E"/>
    <w:rsid w:val="008C359C"/>
    <w:rsid w:val="008C5F63"/>
    <w:rsid w:val="008D2C0A"/>
    <w:rsid w:val="008D4868"/>
    <w:rsid w:val="008D77F6"/>
    <w:rsid w:val="008E0093"/>
    <w:rsid w:val="008E1BB6"/>
    <w:rsid w:val="008E22DB"/>
    <w:rsid w:val="008E603B"/>
    <w:rsid w:val="008E65ED"/>
    <w:rsid w:val="008F0553"/>
    <w:rsid w:val="008F0D05"/>
    <w:rsid w:val="008F3DF2"/>
    <w:rsid w:val="008F4C7D"/>
    <w:rsid w:val="00904B2D"/>
    <w:rsid w:val="00904DEE"/>
    <w:rsid w:val="00913002"/>
    <w:rsid w:val="009224A4"/>
    <w:rsid w:val="00940BC8"/>
    <w:rsid w:val="00942F1D"/>
    <w:rsid w:val="00956973"/>
    <w:rsid w:val="009579FD"/>
    <w:rsid w:val="00965CA5"/>
    <w:rsid w:val="009666AB"/>
    <w:rsid w:val="00970748"/>
    <w:rsid w:val="00971232"/>
    <w:rsid w:val="00971A38"/>
    <w:rsid w:val="00971B8F"/>
    <w:rsid w:val="00972E20"/>
    <w:rsid w:val="0098538A"/>
    <w:rsid w:val="00993AA5"/>
    <w:rsid w:val="00996C9C"/>
    <w:rsid w:val="00996E9E"/>
    <w:rsid w:val="009A5013"/>
    <w:rsid w:val="009C0286"/>
    <w:rsid w:val="009C0E9A"/>
    <w:rsid w:val="009C2731"/>
    <w:rsid w:val="009D1C2B"/>
    <w:rsid w:val="009D6824"/>
    <w:rsid w:val="009D6C7F"/>
    <w:rsid w:val="009D70C1"/>
    <w:rsid w:val="009F034A"/>
    <w:rsid w:val="009F3401"/>
    <w:rsid w:val="009F6819"/>
    <w:rsid w:val="00A01EE3"/>
    <w:rsid w:val="00A034B1"/>
    <w:rsid w:val="00A1031C"/>
    <w:rsid w:val="00A141DA"/>
    <w:rsid w:val="00A171A6"/>
    <w:rsid w:val="00A21BEA"/>
    <w:rsid w:val="00A22E7A"/>
    <w:rsid w:val="00A23FD5"/>
    <w:rsid w:val="00A249DF"/>
    <w:rsid w:val="00A3047A"/>
    <w:rsid w:val="00A311D1"/>
    <w:rsid w:val="00A40D5A"/>
    <w:rsid w:val="00A44DBF"/>
    <w:rsid w:val="00A60529"/>
    <w:rsid w:val="00A64102"/>
    <w:rsid w:val="00A7075E"/>
    <w:rsid w:val="00A7488F"/>
    <w:rsid w:val="00A80189"/>
    <w:rsid w:val="00A80BAC"/>
    <w:rsid w:val="00A812E0"/>
    <w:rsid w:val="00A81F87"/>
    <w:rsid w:val="00A90429"/>
    <w:rsid w:val="00A94322"/>
    <w:rsid w:val="00AA0793"/>
    <w:rsid w:val="00AA09B5"/>
    <w:rsid w:val="00AA1FA9"/>
    <w:rsid w:val="00AA6EED"/>
    <w:rsid w:val="00AA72D6"/>
    <w:rsid w:val="00AB1C6E"/>
    <w:rsid w:val="00AB43DA"/>
    <w:rsid w:val="00AB7D15"/>
    <w:rsid w:val="00AB7F1C"/>
    <w:rsid w:val="00AC085B"/>
    <w:rsid w:val="00AC0D68"/>
    <w:rsid w:val="00AC5F30"/>
    <w:rsid w:val="00AC6189"/>
    <w:rsid w:val="00AD143E"/>
    <w:rsid w:val="00AD3EC0"/>
    <w:rsid w:val="00AD4260"/>
    <w:rsid w:val="00AE0A6F"/>
    <w:rsid w:val="00AE1269"/>
    <w:rsid w:val="00AE147D"/>
    <w:rsid w:val="00AE7B79"/>
    <w:rsid w:val="00AF0663"/>
    <w:rsid w:val="00AF2C07"/>
    <w:rsid w:val="00AF5161"/>
    <w:rsid w:val="00AF64A0"/>
    <w:rsid w:val="00B00C89"/>
    <w:rsid w:val="00B05FDA"/>
    <w:rsid w:val="00B070B8"/>
    <w:rsid w:val="00B11065"/>
    <w:rsid w:val="00B1389D"/>
    <w:rsid w:val="00B15C88"/>
    <w:rsid w:val="00B2699D"/>
    <w:rsid w:val="00B30DC9"/>
    <w:rsid w:val="00B32F1F"/>
    <w:rsid w:val="00B33B83"/>
    <w:rsid w:val="00B353FA"/>
    <w:rsid w:val="00B36003"/>
    <w:rsid w:val="00B36F82"/>
    <w:rsid w:val="00B42221"/>
    <w:rsid w:val="00B4547F"/>
    <w:rsid w:val="00B4608E"/>
    <w:rsid w:val="00B52CEB"/>
    <w:rsid w:val="00B658B3"/>
    <w:rsid w:val="00B6611C"/>
    <w:rsid w:val="00B664E3"/>
    <w:rsid w:val="00B71324"/>
    <w:rsid w:val="00B72436"/>
    <w:rsid w:val="00B7414F"/>
    <w:rsid w:val="00B771A6"/>
    <w:rsid w:val="00B817A6"/>
    <w:rsid w:val="00B91D71"/>
    <w:rsid w:val="00B93C72"/>
    <w:rsid w:val="00B97F7F"/>
    <w:rsid w:val="00BA13ED"/>
    <w:rsid w:val="00BB265D"/>
    <w:rsid w:val="00BB2B9F"/>
    <w:rsid w:val="00BB3B42"/>
    <w:rsid w:val="00BB4714"/>
    <w:rsid w:val="00BB77CE"/>
    <w:rsid w:val="00BC205B"/>
    <w:rsid w:val="00BD0230"/>
    <w:rsid w:val="00BD2073"/>
    <w:rsid w:val="00BE5EAA"/>
    <w:rsid w:val="00BE634E"/>
    <w:rsid w:val="00BE7673"/>
    <w:rsid w:val="00BF5D8B"/>
    <w:rsid w:val="00BF6A26"/>
    <w:rsid w:val="00C0655B"/>
    <w:rsid w:val="00C16006"/>
    <w:rsid w:val="00C16B50"/>
    <w:rsid w:val="00C17039"/>
    <w:rsid w:val="00C24DD1"/>
    <w:rsid w:val="00C3181F"/>
    <w:rsid w:val="00C343FC"/>
    <w:rsid w:val="00C36F32"/>
    <w:rsid w:val="00C37BA3"/>
    <w:rsid w:val="00C404E6"/>
    <w:rsid w:val="00C40F64"/>
    <w:rsid w:val="00C4265A"/>
    <w:rsid w:val="00C42ED5"/>
    <w:rsid w:val="00C43001"/>
    <w:rsid w:val="00C43CAC"/>
    <w:rsid w:val="00C460D3"/>
    <w:rsid w:val="00C507BA"/>
    <w:rsid w:val="00C515B1"/>
    <w:rsid w:val="00C51EA0"/>
    <w:rsid w:val="00C52C44"/>
    <w:rsid w:val="00C52C8F"/>
    <w:rsid w:val="00C53D06"/>
    <w:rsid w:val="00C560C7"/>
    <w:rsid w:val="00C62424"/>
    <w:rsid w:val="00C67E88"/>
    <w:rsid w:val="00C7131C"/>
    <w:rsid w:val="00C75368"/>
    <w:rsid w:val="00C80AC9"/>
    <w:rsid w:val="00C90244"/>
    <w:rsid w:val="00C92486"/>
    <w:rsid w:val="00C9587A"/>
    <w:rsid w:val="00C95F80"/>
    <w:rsid w:val="00C964A7"/>
    <w:rsid w:val="00CA0487"/>
    <w:rsid w:val="00CA24C6"/>
    <w:rsid w:val="00CA54AA"/>
    <w:rsid w:val="00CA6FF6"/>
    <w:rsid w:val="00CB3B6C"/>
    <w:rsid w:val="00CB5964"/>
    <w:rsid w:val="00CB5FE3"/>
    <w:rsid w:val="00CC0BB2"/>
    <w:rsid w:val="00CC1D40"/>
    <w:rsid w:val="00CC1F62"/>
    <w:rsid w:val="00CC57A9"/>
    <w:rsid w:val="00CD51E6"/>
    <w:rsid w:val="00CE2D06"/>
    <w:rsid w:val="00CF017F"/>
    <w:rsid w:val="00CF76D3"/>
    <w:rsid w:val="00D0028C"/>
    <w:rsid w:val="00D019D2"/>
    <w:rsid w:val="00D04C0E"/>
    <w:rsid w:val="00D04D50"/>
    <w:rsid w:val="00D05045"/>
    <w:rsid w:val="00D055BE"/>
    <w:rsid w:val="00D162AE"/>
    <w:rsid w:val="00D20B80"/>
    <w:rsid w:val="00D274BA"/>
    <w:rsid w:val="00D302D9"/>
    <w:rsid w:val="00D31787"/>
    <w:rsid w:val="00D32102"/>
    <w:rsid w:val="00D35654"/>
    <w:rsid w:val="00D41EC7"/>
    <w:rsid w:val="00D460BA"/>
    <w:rsid w:val="00D46FB4"/>
    <w:rsid w:val="00D47601"/>
    <w:rsid w:val="00D4777A"/>
    <w:rsid w:val="00D50743"/>
    <w:rsid w:val="00D52607"/>
    <w:rsid w:val="00D529A2"/>
    <w:rsid w:val="00D52D11"/>
    <w:rsid w:val="00D534EC"/>
    <w:rsid w:val="00D53E51"/>
    <w:rsid w:val="00D54547"/>
    <w:rsid w:val="00D5650C"/>
    <w:rsid w:val="00D61E4D"/>
    <w:rsid w:val="00D63313"/>
    <w:rsid w:val="00D63958"/>
    <w:rsid w:val="00D66A0A"/>
    <w:rsid w:val="00D7131E"/>
    <w:rsid w:val="00D71443"/>
    <w:rsid w:val="00D85491"/>
    <w:rsid w:val="00D86AD6"/>
    <w:rsid w:val="00D922EF"/>
    <w:rsid w:val="00D97DD1"/>
    <w:rsid w:val="00DA08C2"/>
    <w:rsid w:val="00DA21B2"/>
    <w:rsid w:val="00DA2BDB"/>
    <w:rsid w:val="00DA6421"/>
    <w:rsid w:val="00DB0258"/>
    <w:rsid w:val="00DB0B16"/>
    <w:rsid w:val="00DB3EDF"/>
    <w:rsid w:val="00DB4006"/>
    <w:rsid w:val="00DB6B79"/>
    <w:rsid w:val="00DC276C"/>
    <w:rsid w:val="00DE0EC4"/>
    <w:rsid w:val="00DE1DF2"/>
    <w:rsid w:val="00DE363B"/>
    <w:rsid w:val="00DE4104"/>
    <w:rsid w:val="00DF574C"/>
    <w:rsid w:val="00DF7219"/>
    <w:rsid w:val="00DF76CD"/>
    <w:rsid w:val="00E06201"/>
    <w:rsid w:val="00E155A5"/>
    <w:rsid w:val="00E21322"/>
    <w:rsid w:val="00E249F5"/>
    <w:rsid w:val="00E24BE8"/>
    <w:rsid w:val="00E256DB"/>
    <w:rsid w:val="00E257E7"/>
    <w:rsid w:val="00E273D2"/>
    <w:rsid w:val="00E33A35"/>
    <w:rsid w:val="00E346F5"/>
    <w:rsid w:val="00E367CC"/>
    <w:rsid w:val="00E41F5E"/>
    <w:rsid w:val="00E45024"/>
    <w:rsid w:val="00E45E66"/>
    <w:rsid w:val="00E466CF"/>
    <w:rsid w:val="00E565C5"/>
    <w:rsid w:val="00E57A3E"/>
    <w:rsid w:val="00E61125"/>
    <w:rsid w:val="00E671C9"/>
    <w:rsid w:val="00E769EC"/>
    <w:rsid w:val="00E80807"/>
    <w:rsid w:val="00E8571B"/>
    <w:rsid w:val="00E85824"/>
    <w:rsid w:val="00E86BBF"/>
    <w:rsid w:val="00E91FD2"/>
    <w:rsid w:val="00E93D7C"/>
    <w:rsid w:val="00E971EF"/>
    <w:rsid w:val="00EA0593"/>
    <w:rsid w:val="00EA2D22"/>
    <w:rsid w:val="00EB1D3C"/>
    <w:rsid w:val="00EB28E3"/>
    <w:rsid w:val="00EB7239"/>
    <w:rsid w:val="00EC1A2F"/>
    <w:rsid w:val="00EC26B8"/>
    <w:rsid w:val="00EC519A"/>
    <w:rsid w:val="00EC53C2"/>
    <w:rsid w:val="00EC6B12"/>
    <w:rsid w:val="00ED4A3A"/>
    <w:rsid w:val="00ED52F0"/>
    <w:rsid w:val="00ED7914"/>
    <w:rsid w:val="00EE063F"/>
    <w:rsid w:val="00EE0769"/>
    <w:rsid w:val="00EE2777"/>
    <w:rsid w:val="00EE40B9"/>
    <w:rsid w:val="00EF4D83"/>
    <w:rsid w:val="00F12000"/>
    <w:rsid w:val="00F13516"/>
    <w:rsid w:val="00F21B0B"/>
    <w:rsid w:val="00F233CD"/>
    <w:rsid w:val="00F24C9B"/>
    <w:rsid w:val="00F270F6"/>
    <w:rsid w:val="00F3381D"/>
    <w:rsid w:val="00F33A8C"/>
    <w:rsid w:val="00F35BCB"/>
    <w:rsid w:val="00F36BDE"/>
    <w:rsid w:val="00F40BDC"/>
    <w:rsid w:val="00F515E6"/>
    <w:rsid w:val="00F525DE"/>
    <w:rsid w:val="00F5529B"/>
    <w:rsid w:val="00F57DB5"/>
    <w:rsid w:val="00F6230D"/>
    <w:rsid w:val="00F65060"/>
    <w:rsid w:val="00F7052C"/>
    <w:rsid w:val="00F711BB"/>
    <w:rsid w:val="00F74C7C"/>
    <w:rsid w:val="00F76A78"/>
    <w:rsid w:val="00F83847"/>
    <w:rsid w:val="00F90004"/>
    <w:rsid w:val="00F9205A"/>
    <w:rsid w:val="00FA59F1"/>
    <w:rsid w:val="00FB1493"/>
    <w:rsid w:val="00FB2090"/>
    <w:rsid w:val="00FB7084"/>
    <w:rsid w:val="00FC0CC3"/>
    <w:rsid w:val="00FC12E1"/>
    <w:rsid w:val="00FC49C8"/>
    <w:rsid w:val="00FC5EC0"/>
    <w:rsid w:val="00FC6599"/>
    <w:rsid w:val="00FD0250"/>
    <w:rsid w:val="00FD029E"/>
    <w:rsid w:val="00FD25FA"/>
    <w:rsid w:val="00FD2676"/>
    <w:rsid w:val="00FD3742"/>
    <w:rsid w:val="00FD4D42"/>
    <w:rsid w:val="00FE1A7E"/>
    <w:rsid w:val="00FE2E86"/>
    <w:rsid w:val="00FF4058"/>
    <w:rsid w:val="00FF489F"/>
    <w:rsid w:val="00FF57C4"/>
    <w:rsid w:val="00FF5C45"/>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EBD46"/>
  <w15:chartTrackingRefBased/>
  <w15:docId w15:val="{F2EAD3A9-CACE-4906-893B-6988C4DBA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663C5D"/>
    <w:pPr>
      <w:spacing w:after="120" w:line="360" w:lineRule="auto"/>
      <w:ind w:firstLine="709"/>
      <w:contextualSpacing/>
      <w:jc w:val="both"/>
    </w:pPr>
    <w:rPr>
      <w:rFonts w:ascii="Times New Roman" w:hAnsi="Times New Roman"/>
      <w:sz w:val="24"/>
    </w:rPr>
  </w:style>
  <w:style w:type="paragraph" w:styleId="1">
    <w:name w:val="heading 1"/>
    <w:basedOn w:val="a1"/>
    <w:next w:val="a1"/>
    <w:link w:val="10"/>
    <w:uiPriority w:val="9"/>
    <w:qFormat/>
    <w:rsid w:val="00F7052C"/>
    <w:pPr>
      <w:keepNext/>
      <w:keepLines/>
      <w:numPr>
        <w:numId w:val="11"/>
      </w:numPr>
      <w:spacing w:after="0"/>
      <w:ind w:left="0" w:firstLine="0"/>
      <w:jc w:val="left"/>
      <w:outlineLvl w:val="0"/>
    </w:pPr>
    <w:rPr>
      <w:rFonts w:eastAsiaTheme="majorEastAsia" w:cstheme="majorBidi"/>
      <w:b/>
      <w:sz w:val="28"/>
      <w:szCs w:val="32"/>
    </w:rPr>
  </w:style>
  <w:style w:type="paragraph" w:styleId="2">
    <w:name w:val="heading 2"/>
    <w:basedOn w:val="a1"/>
    <w:next w:val="a1"/>
    <w:link w:val="20"/>
    <w:uiPriority w:val="9"/>
    <w:unhideWhenUsed/>
    <w:qFormat/>
    <w:rsid w:val="00663C5D"/>
    <w:pPr>
      <w:keepNext/>
      <w:keepLines/>
      <w:numPr>
        <w:ilvl w:val="1"/>
        <w:numId w:val="11"/>
      </w:numPr>
      <w:jc w:val="left"/>
      <w:outlineLvl w:val="1"/>
    </w:pPr>
    <w:rPr>
      <w:rFonts w:eastAsiaTheme="majorEastAsia" w:cstheme="majorBidi"/>
      <w:b/>
      <w:szCs w:val="26"/>
    </w:rPr>
  </w:style>
  <w:style w:type="paragraph" w:styleId="3">
    <w:name w:val="heading 3"/>
    <w:basedOn w:val="a1"/>
    <w:next w:val="a1"/>
    <w:link w:val="30"/>
    <w:uiPriority w:val="9"/>
    <w:semiHidden/>
    <w:unhideWhenUsed/>
    <w:qFormat/>
    <w:rsid w:val="00EE2777"/>
    <w:pPr>
      <w:keepNext/>
      <w:keepLines/>
      <w:numPr>
        <w:ilvl w:val="2"/>
        <w:numId w:val="11"/>
      </w:numPr>
      <w:spacing w:before="40" w:after="0"/>
      <w:outlineLvl w:val="2"/>
    </w:pPr>
    <w:rPr>
      <w:rFonts w:asciiTheme="majorHAnsi" w:eastAsiaTheme="majorEastAsia" w:hAnsiTheme="majorHAnsi" w:cstheme="majorBidi"/>
      <w:color w:val="1F3763" w:themeColor="accent1" w:themeShade="7F"/>
      <w:szCs w:val="24"/>
    </w:rPr>
  </w:style>
  <w:style w:type="paragraph" w:styleId="4">
    <w:name w:val="heading 4"/>
    <w:basedOn w:val="a1"/>
    <w:next w:val="a1"/>
    <w:link w:val="40"/>
    <w:uiPriority w:val="9"/>
    <w:semiHidden/>
    <w:unhideWhenUsed/>
    <w:qFormat/>
    <w:rsid w:val="00EE2777"/>
    <w:pPr>
      <w:keepNext/>
      <w:keepLines/>
      <w:numPr>
        <w:ilvl w:val="3"/>
        <w:numId w:val="1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1"/>
    <w:next w:val="a1"/>
    <w:link w:val="50"/>
    <w:uiPriority w:val="9"/>
    <w:semiHidden/>
    <w:unhideWhenUsed/>
    <w:qFormat/>
    <w:rsid w:val="00EE2777"/>
    <w:pPr>
      <w:keepNext/>
      <w:keepLines/>
      <w:numPr>
        <w:ilvl w:val="4"/>
        <w:numId w:val="1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1"/>
    <w:next w:val="a1"/>
    <w:link w:val="60"/>
    <w:uiPriority w:val="9"/>
    <w:semiHidden/>
    <w:unhideWhenUsed/>
    <w:qFormat/>
    <w:rsid w:val="00EE2777"/>
    <w:pPr>
      <w:keepNext/>
      <w:keepLines/>
      <w:numPr>
        <w:ilvl w:val="5"/>
        <w:numId w:val="1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1"/>
    <w:next w:val="a1"/>
    <w:link w:val="70"/>
    <w:uiPriority w:val="9"/>
    <w:semiHidden/>
    <w:unhideWhenUsed/>
    <w:qFormat/>
    <w:rsid w:val="00EE2777"/>
    <w:pPr>
      <w:keepNext/>
      <w:keepLines/>
      <w:numPr>
        <w:ilvl w:val="6"/>
        <w:numId w:val="1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1"/>
    <w:next w:val="a1"/>
    <w:link w:val="80"/>
    <w:uiPriority w:val="9"/>
    <w:semiHidden/>
    <w:unhideWhenUsed/>
    <w:qFormat/>
    <w:rsid w:val="00EE2777"/>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EE2777"/>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F7052C"/>
    <w:rPr>
      <w:rFonts w:ascii="Times New Roman" w:eastAsiaTheme="majorEastAsia" w:hAnsi="Times New Roman" w:cstheme="majorBidi"/>
      <w:b/>
      <w:sz w:val="28"/>
      <w:szCs w:val="32"/>
    </w:rPr>
  </w:style>
  <w:style w:type="character" w:customStyle="1" w:styleId="20">
    <w:name w:val="Заголовок 2 Знак"/>
    <w:basedOn w:val="a2"/>
    <w:link w:val="2"/>
    <w:uiPriority w:val="9"/>
    <w:rsid w:val="00663C5D"/>
    <w:rPr>
      <w:rFonts w:ascii="Times New Roman" w:eastAsiaTheme="majorEastAsia" w:hAnsi="Times New Roman" w:cstheme="majorBidi"/>
      <w:b/>
      <w:sz w:val="24"/>
      <w:szCs w:val="26"/>
    </w:rPr>
  </w:style>
  <w:style w:type="paragraph" w:styleId="a5">
    <w:name w:val="List Paragraph"/>
    <w:basedOn w:val="a1"/>
    <w:uiPriority w:val="34"/>
    <w:qFormat/>
    <w:rsid w:val="00663C5D"/>
    <w:pPr>
      <w:ind w:left="720"/>
    </w:pPr>
  </w:style>
  <w:style w:type="paragraph" w:styleId="a6">
    <w:name w:val="Title"/>
    <w:aliases w:val="Graph titles"/>
    <w:basedOn w:val="a1"/>
    <w:next w:val="a1"/>
    <w:link w:val="a7"/>
    <w:uiPriority w:val="10"/>
    <w:rsid w:val="00663C5D"/>
    <w:pPr>
      <w:spacing w:line="240" w:lineRule="auto"/>
      <w:ind w:firstLine="0"/>
      <w:jc w:val="center"/>
    </w:pPr>
    <w:rPr>
      <w:rFonts w:eastAsiaTheme="majorEastAsia" w:cstheme="majorBidi"/>
      <w:spacing w:val="-10"/>
      <w:kern w:val="28"/>
      <w:sz w:val="20"/>
      <w:szCs w:val="56"/>
    </w:rPr>
  </w:style>
  <w:style w:type="character" w:customStyle="1" w:styleId="a7">
    <w:name w:val="Заголовок Знак"/>
    <w:aliases w:val="Graph titles Знак"/>
    <w:basedOn w:val="a2"/>
    <w:link w:val="a6"/>
    <w:uiPriority w:val="10"/>
    <w:rsid w:val="00663C5D"/>
    <w:rPr>
      <w:rFonts w:ascii="Times New Roman" w:eastAsiaTheme="majorEastAsia" w:hAnsi="Times New Roman" w:cstheme="majorBidi"/>
      <w:spacing w:val="-10"/>
      <w:kern w:val="28"/>
      <w:sz w:val="20"/>
      <w:szCs w:val="56"/>
    </w:rPr>
  </w:style>
  <w:style w:type="character" w:customStyle="1" w:styleId="30">
    <w:name w:val="Заголовок 3 Знак"/>
    <w:basedOn w:val="a2"/>
    <w:link w:val="3"/>
    <w:uiPriority w:val="9"/>
    <w:semiHidden/>
    <w:rsid w:val="00EE2777"/>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2"/>
    <w:link w:val="4"/>
    <w:uiPriority w:val="9"/>
    <w:semiHidden/>
    <w:rsid w:val="00EE2777"/>
    <w:rPr>
      <w:rFonts w:asciiTheme="majorHAnsi" w:eastAsiaTheme="majorEastAsia" w:hAnsiTheme="majorHAnsi" w:cstheme="majorBidi"/>
      <w:i/>
      <w:iCs/>
      <w:color w:val="2F5496" w:themeColor="accent1" w:themeShade="BF"/>
      <w:sz w:val="24"/>
    </w:rPr>
  </w:style>
  <w:style w:type="character" w:customStyle="1" w:styleId="50">
    <w:name w:val="Заголовок 5 Знак"/>
    <w:basedOn w:val="a2"/>
    <w:link w:val="5"/>
    <w:uiPriority w:val="9"/>
    <w:semiHidden/>
    <w:rsid w:val="00EE2777"/>
    <w:rPr>
      <w:rFonts w:asciiTheme="majorHAnsi" w:eastAsiaTheme="majorEastAsia" w:hAnsiTheme="majorHAnsi" w:cstheme="majorBidi"/>
      <w:color w:val="2F5496" w:themeColor="accent1" w:themeShade="BF"/>
      <w:sz w:val="24"/>
    </w:rPr>
  </w:style>
  <w:style w:type="character" w:customStyle="1" w:styleId="60">
    <w:name w:val="Заголовок 6 Знак"/>
    <w:basedOn w:val="a2"/>
    <w:link w:val="6"/>
    <w:uiPriority w:val="9"/>
    <w:semiHidden/>
    <w:rsid w:val="00EE2777"/>
    <w:rPr>
      <w:rFonts w:asciiTheme="majorHAnsi" w:eastAsiaTheme="majorEastAsia" w:hAnsiTheme="majorHAnsi" w:cstheme="majorBidi"/>
      <w:color w:val="1F3763" w:themeColor="accent1" w:themeShade="7F"/>
      <w:sz w:val="24"/>
    </w:rPr>
  </w:style>
  <w:style w:type="character" w:customStyle="1" w:styleId="70">
    <w:name w:val="Заголовок 7 Знак"/>
    <w:basedOn w:val="a2"/>
    <w:link w:val="7"/>
    <w:uiPriority w:val="9"/>
    <w:semiHidden/>
    <w:rsid w:val="00EE2777"/>
    <w:rPr>
      <w:rFonts w:asciiTheme="majorHAnsi" w:eastAsiaTheme="majorEastAsia" w:hAnsiTheme="majorHAnsi" w:cstheme="majorBidi"/>
      <w:i/>
      <w:iCs/>
      <w:color w:val="1F3763" w:themeColor="accent1" w:themeShade="7F"/>
      <w:sz w:val="24"/>
    </w:rPr>
  </w:style>
  <w:style w:type="character" w:customStyle="1" w:styleId="80">
    <w:name w:val="Заголовок 8 Знак"/>
    <w:basedOn w:val="a2"/>
    <w:link w:val="8"/>
    <w:uiPriority w:val="9"/>
    <w:semiHidden/>
    <w:rsid w:val="00EE2777"/>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uiPriority w:val="9"/>
    <w:semiHidden/>
    <w:rsid w:val="00EE2777"/>
    <w:rPr>
      <w:rFonts w:asciiTheme="majorHAnsi" w:eastAsiaTheme="majorEastAsia" w:hAnsiTheme="majorHAnsi" w:cstheme="majorBidi"/>
      <w:i/>
      <w:iCs/>
      <w:color w:val="272727" w:themeColor="text1" w:themeTint="D8"/>
      <w:sz w:val="21"/>
      <w:szCs w:val="21"/>
    </w:rPr>
  </w:style>
  <w:style w:type="paragraph" w:styleId="a8">
    <w:name w:val="TOC Heading"/>
    <w:basedOn w:val="1"/>
    <w:next w:val="a1"/>
    <w:uiPriority w:val="39"/>
    <w:unhideWhenUsed/>
    <w:qFormat/>
    <w:rsid w:val="00EE2777"/>
    <w:pPr>
      <w:numPr>
        <w:numId w:val="0"/>
      </w:numPr>
      <w:spacing w:before="240" w:line="259" w:lineRule="auto"/>
      <w:contextualSpacing w:val="0"/>
      <w:outlineLvl w:val="9"/>
    </w:pPr>
    <w:rPr>
      <w:rFonts w:asciiTheme="majorHAnsi" w:hAnsiTheme="majorHAnsi"/>
      <w:b w:val="0"/>
      <w:color w:val="2F5496" w:themeColor="accent1" w:themeShade="BF"/>
      <w:sz w:val="32"/>
    </w:rPr>
  </w:style>
  <w:style w:type="paragraph" w:styleId="11">
    <w:name w:val="toc 1"/>
    <w:basedOn w:val="a1"/>
    <w:next w:val="a1"/>
    <w:autoRedefine/>
    <w:uiPriority w:val="39"/>
    <w:unhideWhenUsed/>
    <w:rsid w:val="00EE2777"/>
    <w:pPr>
      <w:spacing w:after="100"/>
    </w:pPr>
  </w:style>
  <w:style w:type="paragraph" w:styleId="21">
    <w:name w:val="toc 2"/>
    <w:basedOn w:val="a1"/>
    <w:next w:val="a1"/>
    <w:autoRedefine/>
    <w:uiPriority w:val="39"/>
    <w:unhideWhenUsed/>
    <w:rsid w:val="00EE2777"/>
    <w:pPr>
      <w:spacing w:after="100"/>
      <w:ind w:left="240"/>
    </w:pPr>
  </w:style>
  <w:style w:type="character" w:styleId="a9">
    <w:name w:val="Hyperlink"/>
    <w:basedOn w:val="a2"/>
    <w:uiPriority w:val="99"/>
    <w:unhideWhenUsed/>
    <w:rsid w:val="00EE2777"/>
    <w:rPr>
      <w:color w:val="0563C1" w:themeColor="hyperlink"/>
      <w:u w:val="single"/>
    </w:rPr>
  </w:style>
  <w:style w:type="paragraph" w:styleId="aa">
    <w:name w:val="header"/>
    <w:basedOn w:val="a1"/>
    <w:link w:val="ab"/>
    <w:uiPriority w:val="99"/>
    <w:unhideWhenUsed/>
    <w:rsid w:val="00EE2777"/>
    <w:pPr>
      <w:tabs>
        <w:tab w:val="center" w:pos="4844"/>
        <w:tab w:val="right" w:pos="9689"/>
      </w:tabs>
      <w:spacing w:after="0" w:line="240" w:lineRule="auto"/>
    </w:pPr>
  </w:style>
  <w:style w:type="character" w:customStyle="1" w:styleId="ab">
    <w:name w:val="Верхний колонтитул Знак"/>
    <w:basedOn w:val="a2"/>
    <w:link w:val="aa"/>
    <w:uiPriority w:val="99"/>
    <w:rsid w:val="00EE2777"/>
    <w:rPr>
      <w:rFonts w:ascii="Times New Roman" w:hAnsi="Times New Roman"/>
      <w:sz w:val="24"/>
    </w:rPr>
  </w:style>
  <w:style w:type="paragraph" w:styleId="ac">
    <w:name w:val="footer"/>
    <w:basedOn w:val="a1"/>
    <w:link w:val="ad"/>
    <w:uiPriority w:val="99"/>
    <w:unhideWhenUsed/>
    <w:rsid w:val="00EE2777"/>
    <w:pPr>
      <w:tabs>
        <w:tab w:val="center" w:pos="4844"/>
        <w:tab w:val="right" w:pos="9689"/>
      </w:tabs>
      <w:spacing w:after="0" w:line="240" w:lineRule="auto"/>
    </w:pPr>
  </w:style>
  <w:style w:type="character" w:customStyle="1" w:styleId="ad">
    <w:name w:val="Нижний колонтитул Знак"/>
    <w:basedOn w:val="a2"/>
    <w:link w:val="ac"/>
    <w:uiPriority w:val="99"/>
    <w:rsid w:val="00EE2777"/>
    <w:rPr>
      <w:rFonts w:ascii="Times New Roman" w:hAnsi="Times New Roman"/>
      <w:sz w:val="24"/>
    </w:rPr>
  </w:style>
  <w:style w:type="character" w:customStyle="1" w:styleId="12">
    <w:name w:val="Неразрешенное упоминание1"/>
    <w:basedOn w:val="a2"/>
    <w:uiPriority w:val="99"/>
    <w:semiHidden/>
    <w:unhideWhenUsed/>
    <w:rsid w:val="006759D1"/>
    <w:rPr>
      <w:color w:val="808080"/>
      <w:shd w:val="clear" w:color="auto" w:fill="E6E6E6"/>
    </w:rPr>
  </w:style>
  <w:style w:type="character" w:styleId="ae">
    <w:name w:val="FollowedHyperlink"/>
    <w:basedOn w:val="a2"/>
    <w:uiPriority w:val="99"/>
    <w:semiHidden/>
    <w:unhideWhenUsed/>
    <w:rsid w:val="007A7EF7"/>
    <w:rPr>
      <w:color w:val="954F72" w:themeColor="followedHyperlink"/>
      <w:u w:val="single"/>
    </w:rPr>
  </w:style>
  <w:style w:type="character" w:customStyle="1" w:styleId="text">
    <w:name w:val="text"/>
    <w:basedOn w:val="a2"/>
    <w:rsid w:val="00294EB8"/>
  </w:style>
  <w:style w:type="character" w:customStyle="1" w:styleId="author-ref">
    <w:name w:val="author-ref"/>
    <w:basedOn w:val="a2"/>
    <w:rsid w:val="00294EB8"/>
  </w:style>
  <w:style w:type="table" w:styleId="af">
    <w:name w:val="Table Grid"/>
    <w:basedOn w:val="a3"/>
    <w:uiPriority w:val="39"/>
    <w:rsid w:val="0074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Заголовок таблиц"/>
    <w:basedOn w:val="a1"/>
    <w:next w:val="a1"/>
    <w:qFormat/>
    <w:rsid w:val="001E0025"/>
    <w:pPr>
      <w:numPr>
        <w:numId w:val="16"/>
      </w:numPr>
      <w:spacing w:after="0"/>
      <w:contextualSpacing w:val="0"/>
      <w:jc w:val="right"/>
    </w:pPr>
    <w:rPr>
      <w:sz w:val="20"/>
    </w:rPr>
  </w:style>
  <w:style w:type="paragraph" w:customStyle="1" w:styleId="a">
    <w:name w:val="Заголовок рисунков"/>
    <w:basedOn w:val="a1"/>
    <w:next w:val="a1"/>
    <w:qFormat/>
    <w:rsid w:val="00C80AC9"/>
    <w:pPr>
      <w:numPr>
        <w:numId w:val="18"/>
      </w:numPr>
      <w:spacing w:line="240" w:lineRule="auto"/>
      <w:jc w:val="center"/>
    </w:pPr>
    <w:rPr>
      <w:sz w:val="20"/>
    </w:rPr>
  </w:style>
  <w:style w:type="table" w:styleId="22">
    <w:name w:val="Plain Table 2"/>
    <w:basedOn w:val="a3"/>
    <w:uiPriority w:val="42"/>
    <w:rsid w:val="00C80AC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0">
    <w:name w:val="annotation reference"/>
    <w:basedOn w:val="a2"/>
    <w:uiPriority w:val="99"/>
    <w:semiHidden/>
    <w:unhideWhenUsed/>
    <w:rsid w:val="00AB7F1C"/>
    <w:rPr>
      <w:sz w:val="16"/>
      <w:szCs w:val="16"/>
    </w:rPr>
  </w:style>
  <w:style w:type="paragraph" w:styleId="af1">
    <w:name w:val="annotation text"/>
    <w:basedOn w:val="a1"/>
    <w:link w:val="af2"/>
    <w:uiPriority w:val="99"/>
    <w:semiHidden/>
    <w:unhideWhenUsed/>
    <w:rsid w:val="00AB7F1C"/>
    <w:pPr>
      <w:spacing w:line="240" w:lineRule="auto"/>
    </w:pPr>
    <w:rPr>
      <w:sz w:val="20"/>
      <w:szCs w:val="20"/>
    </w:rPr>
  </w:style>
  <w:style w:type="character" w:customStyle="1" w:styleId="af2">
    <w:name w:val="Текст примечания Знак"/>
    <w:basedOn w:val="a2"/>
    <w:link w:val="af1"/>
    <w:uiPriority w:val="99"/>
    <w:semiHidden/>
    <w:rsid w:val="00AB7F1C"/>
    <w:rPr>
      <w:rFonts w:ascii="Times New Roman" w:hAnsi="Times New Roman"/>
      <w:sz w:val="20"/>
      <w:szCs w:val="20"/>
    </w:rPr>
  </w:style>
  <w:style w:type="paragraph" w:styleId="af3">
    <w:name w:val="annotation subject"/>
    <w:basedOn w:val="af1"/>
    <w:next w:val="af1"/>
    <w:link w:val="af4"/>
    <w:uiPriority w:val="99"/>
    <w:semiHidden/>
    <w:unhideWhenUsed/>
    <w:rsid w:val="00AB7F1C"/>
    <w:rPr>
      <w:b/>
      <w:bCs/>
    </w:rPr>
  </w:style>
  <w:style w:type="character" w:customStyle="1" w:styleId="af4">
    <w:name w:val="Тема примечания Знак"/>
    <w:basedOn w:val="af2"/>
    <w:link w:val="af3"/>
    <w:uiPriority w:val="99"/>
    <w:semiHidden/>
    <w:rsid w:val="00AB7F1C"/>
    <w:rPr>
      <w:rFonts w:ascii="Times New Roman" w:hAnsi="Times New Roman"/>
      <w:b/>
      <w:bCs/>
      <w:sz w:val="20"/>
      <w:szCs w:val="20"/>
    </w:rPr>
  </w:style>
  <w:style w:type="paragraph" w:styleId="af5">
    <w:name w:val="Balloon Text"/>
    <w:basedOn w:val="a1"/>
    <w:link w:val="af6"/>
    <w:uiPriority w:val="99"/>
    <w:semiHidden/>
    <w:unhideWhenUsed/>
    <w:rsid w:val="00AB7F1C"/>
    <w:pPr>
      <w:spacing w:after="0" w:line="240" w:lineRule="auto"/>
    </w:pPr>
    <w:rPr>
      <w:rFonts w:ascii="Segoe UI" w:hAnsi="Segoe UI" w:cs="Segoe UI"/>
      <w:sz w:val="18"/>
      <w:szCs w:val="18"/>
    </w:rPr>
  </w:style>
  <w:style w:type="character" w:customStyle="1" w:styleId="af6">
    <w:name w:val="Текст выноски Знак"/>
    <w:basedOn w:val="a2"/>
    <w:link w:val="af5"/>
    <w:uiPriority w:val="99"/>
    <w:semiHidden/>
    <w:rsid w:val="00AB7F1C"/>
    <w:rPr>
      <w:rFonts w:ascii="Segoe UI" w:hAnsi="Segoe UI" w:cs="Segoe UI"/>
      <w:sz w:val="18"/>
      <w:szCs w:val="18"/>
    </w:rPr>
  </w:style>
  <w:style w:type="character" w:styleId="af7">
    <w:name w:val="Placeholder Text"/>
    <w:basedOn w:val="a2"/>
    <w:uiPriority w:val="99"/>
    <w:semiHidden/>
    <w:rsid w:val="008053AD"/>
    <w:rPr>
      <w:color w:val="808080"/>
    </w:rPr>
  </w:style>
  <w:style w:type="paragraph" w:styleId="af8">
    <w:name w:val="footnote text"/>
    <w:basedOn w:val="a1"/>
    <w:link w:val="af9"/>
    <w:uiPriority w:val="99"/>
    <w:semiHidden/>
    <w:unhideWhenUsed/>
    <w:rsid w:val="00543307"/>
    <w:pPr>
      <w:spacing w:after="0" w:line="240" w:lineRule="auto"/>
    </w:pPr>
    <w:rPr>
      <w:sz w:val="20"/>
      <w:szCs w:val="20"/>
    </w:rPr>
  </w:style>
  <w:style w:type="character" w:customStyle="1" w:styleId="af9">
    <w:name w:val="Текст сноски Знак"/>
    <w:basedOn w:val="a2"/>
    <w:link w:val="af8"/>
    <w:uiPriority w:val="99"/>
    <w:semiHidden/>
    <w:rsid w:val="00543307"/>
    <w:rPr>
      <w:rFonts w:ascii="Times New Roman" w:hAnsi="Times New Roman"/>
      <w:sz w:val="20"/>
      <w:szCs w:val="20"/>
    </w:rPr>
  </w:style>
  <w:style w:type="character" w:styleId="afa">
    <w:name w:val="footnote reference"/>
    <w:basedOn w:val="a2"/>
    <w:uiPriority w:val="99"/>
    <w:semiHidden/>
    <w:unhideWhenUsed/>
    <w:rsid w:val="005433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345297">
      <w:bodyDiv w:val="1"/>
      <w:marLeft w:val="0"/>
      <w:marRight w:val="0"/>
      <w:marTop w:val="0"/>
      <w:marBottom w:val="0"/>
      <w:divBdr>
        <w:top w:val="none" w:sz="0" w:space="0" w:color="auto"/>
        <w:left w:val="none" w:sz="0" w:space="0" w:color="auto"/>
        <w:bottom w:val="none" w:sz="0" w:space="0" w:color="auto"/>
        <w:right w:val="none" w:sz="0" w:space="0" w:color="auto"/>
      </w:divBdr>
    </w:div>
    <w:div w:id="227150945">
      <w:bodyDiv w:val="1"/>
      <w:marLeft w:val="0"/>
      <w:marRight w:val="0"/>
      <w:marTop w:val="0"/>
      <w:marBottom w:val="0"/>
      <w:divBdr>
        <w:top w:val="none" w:sz="0" w:space="0" w:color="auto"/>
        <w:left w:val="none" w:sz="0" w:space="0" w:color="auto"/>
        <w:bottom w:val="none" w:sz="0" w:space="0" w:color="auto"/>
        <w:right w:val="none" w:sz="0" w:space="0" w:color="auto"/>
      </w:divBdr>
    </w:div>
    <w:div w:id="335615653">
      <w:bodyDiv w:val="1"/>
      <w:marLeft w:val="0"/>
      <w:marRight w:val="0"/>
      <w:marTop w:val="0"/>
      <w:marBottom w:val="0"/>
      <w:divBdr>
        <w:top w:val="none" w:sz="0" w:space="0" w:color="auto"/>
        <w:left w:val="none" w:sz="0" w:space="0" w:color="auto"/>
        <w:bottom w:val="none" w:sz="0" w:space="0" w:color="auto"/>
        <w:right w:val="none" w:sz="0" w:space="0" w:color="auto"/>
      </w:divBdr>
    </w:div>
    <w:div w:id="377172629">
      <w:bodyDiv w:val="1"/>
      <w:marLeft w:val="0"/>
      <w:marRight w:val="0"/>
      <w:marTop w:val="0"/>
      <w:marBottom w:val="0"/>
      <w:divBdr>
        <w:top w:val="none" w:sz="0" w:space="0" w:color="auto"/>
        <w:left w:val="none" w:sz="0" w:space="0" w:color="auto"/>
        <w:bottom w:val="none" w:sz="0" w:space="0" w:color="auto"/>
        <w:right w:val="none" w:sz="0" w:space="0" w:color="auto"/>
      </w:divBdr>
    </w:div>
    <w:div w:id="458499057">
      <w:bodyDiv w:val="1"/>
      <w:marLeft w:val="0"/>
      <w:marRight w:val="0"/>
      <w:marTop w:val="0"/>
      <w:marBottom w:val="0"/>
      <w:divBdr>
        <w:top w:val="none" w:sz="0" w:space="0" w:color="auto"/>
        <w:left w:val="none" w:sz="0" w:space="0" w:color="auto"/>
        <w:bottom w:val="none" w:sz="0" w:space="0" w:color="auto"/>
        <w:right w:val="none" w:sz="0" w:space="0" w:color="auto"/>
      </w:divBdr>
    </w:div>
    <w:div w:id="537938396">
      <w:bodyDiv w:val="1"/>
      <w:marLeft w:val="0"/>
      <w:marRight w:val="0"/>
      <w:marTop w:val="0"/>
      <w:marBottom w:val="0"/>
      <w:divBdr>
        <w:top w:val="none" w:sz="0" w:space="0" w:color="auto"/>
        <w:left w:val="none" w:sz="0" w:space="0" w:color="auto"/>
        <w:bottom w:val="none" w:sz="0" w:space="0" w:color="auto"/>
        <w:right w:val="none" w:sz="0" w:space="0" w:color="auto"/>
      </w:divBdr>
    </w:div>
    <w:div w:id="539243440">
      <w:bodyDiv w:val="1"/>
      <w:marLeft w:val="0"/>
      <w:marRight w:val="0"/>
      <w:marTop w:val="0"/>
      <w:marBottom w:val="0"/>
      <w:divBdr>
        <w:top w:val="none" w:sz="0" w:space="0" w:color="auto"/>
        <w:left w:val="none" w:sz="0" w:space="0" w:color="auto"/>
        <w:bottom w:val="none" w:sz="0" w:space="0" w:color="auto"/>
        <w:right w:val="none" w:sz="0" w:space="0" w:color="auto"/>
      </w:divBdr>
    </w:div>
    <w:div w:id="609432464">
      <w:bodyDiv w:val="1"/>
      <w:marLeft w:val="0"/>
      <w:marRight w:val="0"/>
      <w:marTop w:val="0"/>
      <w:marBottom w:val="0"/>
      <w:divBdr>
        <w:top w:val="none" w:sz="0" w:space="0" w:color="auto"/>
        <w:left w:val="none" w:sz="0" w:space="0" w:color="auto"/>
        <w:bottom w:val="none" w:sz="0" w:space="0" w:color="auto"/>
        <w:right w:val="none" w:sz="0" w:space="0" w:color="auto"/>
      </w:divBdr>
    </w:div>
    <w:div w:id="617415319">
      <w:bodyDiv w:val="1"/>
      <w:marLeft w:val="0"/>
      <w:marRight w:val="0"/>
      <w:marTop w:val="0"/>
      <w:marBottom w:val="0"/>
      <w:divBdr>
        <w:top w:val="none" w:sz="0" w:space="0" w:color="auto"/>
        <w:left w:val="none" w:sz="0" w:space="0" w:color="auto"/>
        <w:bottom w:val="none" w:sz="0" w:space="0" w:color="auto"/>
        <w:right w:val="none" w:sz="0" w:space="0" w:color="auto"/>
      </w:divBdr>
    </w:div>
    <w:div w:id="671034212">
      <w:bodyDiv w:val="1"/>
      <w:marLeft w:val="0"/>
      <w:marRight w:val="0"/>
      <w:marTop w:val="0"/>
      <w:marBottom w:val="0"/>
      <w:divBdr>
        <w:top w:val="none" w:sz="0" w:space="0" w:color="auto"/>
        <w:left w:val="none" w:sz="0" w:space="0" w:color="auto"/>
        <w:bottom w:val="none" w:sz="0" w:space="0" w:color="auto"/>
        <w:right w:val="none" w:sz="0" w:space="0" w:color="auto"/>
      </w:divBdr>
    </w:div>
    <w:div w:id="725181450">
      <w:bodyDiv w:val="1"/>
      <w:marLeft w:val="0"/>
      <w:marRight w:val="0"/>
      <w:marTop w:val="0"/>
      <w:marBottom w:val="0"/>
      <w:divBdr>
        <w:top w:val="none" w:sz="0" w:space="0" w:color="auto"/>
        <w:left w:val="none" w:sz="0" w:space="0" w:color="auto"/>
        <w:bottom w:val="none" w:sz="0" w:space="0" w:color="auto"/>
        <w:right w:val="none" w:sz="0" w:space="0" w:color="auto"/>
      </w:divBdr>
    </w:div>
    <w:div w:id="753625470">
      <w:bodyDiv w:val="1"/>
      <w:marLeft w:val="0"/>
      <w:marRight w:val="0"/>
      <w:marTop w:val="0"/>
      <w:marBottom w:val="0"/>
      <w:divBdr>
        <w:top w:val="none" w:sz="0" w:space="0" w:color="auto"/>
        <w:left w:val="none" w:sz="0" w:space="0" w:color="auto"/>
        <w:bottom w:val="none" w:sz="0" w:space="0" w:color="auto"/>
        <w:right w:val="none" w:sz="0" w:space="0" w:color="auto"/>
      </w:divBdr>
    </w:div>
    <w:div w:id="768507398">
      <w:bodyDiv w:val="1"/>
      <w:marLeft w:val="0"/>
      <w:marRight w:val="0"/>
      <w:marTop w:val="0"/>
      <w:marBottom w:val="0"/>
      <w:divBdr>
        <w:top w:val="none" w:sz="0" w:space="0" w:color="auto"/>
        <w:left w:val="none" w:sz="0" w:space="0" w:color="auto"/>
        <w:bottom w:val="none" w:sz="0" w:space="0" w:color="auto"/>
        <w:right w:val="none" w:sz="0" w:space="0" w:color="auto"/>
      </w:divBdr>
    </w:div>
    <w:div w:id="789671064">
      <w:bodyDiv w:val="1"/>
      <w:marLeft w:val="0"/>
      <w:marRight w:val="0"/>
      <w:marTop w:val="0"/>
      <w:marBottom w:val="0"/>
      <w:divBdr>
        <w:top w:val="none" w:sz="0" w:space="0" w:color="auto"/>
        <w:left w:val="none" w:sz="0" w:space="0" w:color="auto"/>
        <w:bottom w:val="none" w:sz="0" w:space="0" w:color="auto"/>
        <w:right w:val="none" w:sz="0" w:space="0" w:color="auto"/>
      </w:divBdr>
    </w:div>
    <w:div w:id="858736385">
      <w:bodyDiv w:val="1"/>
      <w:marLeft w:val="0"/>
      <w:marRight w:val="0"/>
      <w:marTop w:val="0"/>
      <w:marBottom w:val="0"/>
      <w:divBdr>
        <w:top w:val="none" w:sz="0" w:space="0" w:color="auto"/>
        <w:left w:val="none" w:sz="0" w:space="0" w:color="auto"/>
        <w:bottom w:val="none" w:sz="0" w:space="0" w:color="auto"/>
        <w:right w:val="none" w:sz="0" w:space="0" w:color="auto"/>
      </w:divBdr>
    </w:div>
    <w:div w:id="1001813788">
      <w:bodyDiv w:val="1"/>
      <w:marLeft w:val="0"/>
      <w:marRight w:val="0"/>
      <w:marTop w:val="0"/>
      <w:marBottom w:val="0"/>
      <w:divBdr>
        <w:top w:val="none" w:sz="0" w:space="0" w:color="auto"/>
        <w:left w:val="none" w:sz="0" w:space="0" w:color="auto"/>
        <w:bottom w:val="none" w:sz="0" w:space="0" w:color="auto"/>
        <w:right w:val="none" w:sz="0" w:space="0" w:color="auto"/>
      </w:divBdr>
    </w:div>
    <w:div w:id="1008019028">
      <w:bodyDiv w:val="1"/>
      <w:marLeft w:val="0"/>
      <w:marRight w:val="0"/>
      <w:marTop w:val="0"/>
      <w:marBottom w:val="0"/>
      <w:divBdr>
        <w:top w:val="none" w:sz="0" w:space="0" w:color="auto"/>
        <w:left w:val="none" w:sz="0" w:space="0" w:color="auto"/>
        <w:bottom w:val="none" w:sz="0" w:space="0" w:color="auto"/>
        <w:right w:val="none" w:sz="0" w:space="0" w:color="auto"/>
      </w:divBdr>
    </w:div>
    <w:div w:id="1124231411">
      <w:bodyDiv w:val="1"/>
      <w:marLeft w:val="0"/>
      <w:marRight w:val="0"/>
      <w:marTop w:val="0"/>
      <w:marBottom w:val="0"/>
      <w:divBdr>
        <w:top w:val="none" w:sz="0" w:space="0" w:color="auto"/>
        <w:left w:val="none" w:sz="0" w:space="0" w:color="auto"/>
        <w:bottom w:val="none" w:sz="0" w:space="0" w:color="auto"/>
        <w:right w:val="none" w:sz="0" w:space="0" w:color="auto"/>
      </w:divBdr>
    </w:div>
    <w:div w:id="1154952689">
      <w:bodyDiv w:val="1"/>
      <w:marLeft w:val="0"/>
      <w:marRight w:val="0"/>
      <w:marTop w:val="0"/>
      <w:marBottom w:val="0"/>
      <w:divBdr>
        <w:top w:val="none" w:sz="0" w:space="0" w:color="auto"/>
        <w:left w:val="none" w:sz="0" w:space="0" w:color="auto"/>
        <w:bottom w:val="none" w:sz="0" w:space="0" w:color="auto"/>
        <w:right w:val="none" w:sz="0" w:space="0" w:color="auto"/>
      </w:divBdr>
    </w:div>
    <w:div w:id="1272056848">
      <w:bodyDiv w:val="1"/>
      <w:marLeft w:val="0"/>
      <w:marRight w:val="0"/>
      <w:marTop w:val="0"/>
      <w:marBottom w:val="0"/>
      <w:divBdr>
        <w:top w:val="none" w:sz="0" w:space="0" w:color="auto"/>
        <w:left w:val="none" w:sz="0" w:space="0" w:color="auto"/>
        <w:bottom w:val="none" w:sz="0" w:space="0" w:color="auto"/>
        <w:right w:val="none" w:sz="0" w:space="0" w:color="auto"/>
      </w:divBdr>
    </w:div>
    <w:div w:id="1330713844">
      <w:bodyDiv w:val="1"/>
      <w:marLeft w:val="0"/>
      <w:marRight w:val="0"/>
      <w:marTop w:val="0"/>
      <w:marBottom w:val="0"/>
      <w:divBdr>
        <w:top w:val="none" w:sz="0" w:space="0" w:color="auto"/>
        <w:left w:val="none" w:sz="0" w:space="0" w:color="auto"/>
        <w:bottom w:val="none" w:sz="0" w:space="0" w:color="auto"/>
        <w:right w:val="none" w:sz="0" w:space="0" w:color="auto"/>
      </w:divBdr>
    </w:div>
    <w:div w:id="1349866965">
      <w:bodyDiv w:val="1"/>
      <w:marLeft w:val="0"/>
      <w:marRight w:val="0"/>
      <w:marTop w:val="0"/>
      <w:marBottom w:val="0"/>
      <w:divBdr>
        <w:top w:val="none" w:sz="0" w:space="0" w:color="auto"/>
        <w:left w:val="none" w:sz="0" w:space="0" w:color="auto"/>
        <w:bottom w:val="none" w:sz="0" w:space="0" w:color="auto"/>
        <w:right w:val="none" w:sz="0" w:space="0" w:color="auto"/>
      </w:divBdr>
    </w:div>
    <w:div w:id="1384334300">
      <w:bodyDiv w:val="1"/>
      <w:marLeft w:val="0"/>
      <w:marRight w:val="0"/>
      <w:marTop w:val="0"/>
      <w:marBottom w:val="0"/>
      <w:divBdr>
        <w:top w:val="none" w:sz="0" w:space="0" w:color="auto"/>
        <w:left w:val="none" w:sz="0" w:space="0" w:color="auto"/>
        <w:bottom w:val="none" w:sz="0" w:space="0" w:color="auto"/>
        <w:right w:val="none" w:sz="0" w:space="0" w:color="auto"/>
      </w:divBdr>
    </w:div>
    <w:div w:id="1434785940">
      <w:bodyDiv w:val="1"/>
      <w:marLeft w:val="0"/>
      <w:marRight w:val="0"/>
      <w:marTop w:val="0"/>
      <w:marBottom w:val="0"/>
      <w:divBdr>
        <w:top w:val="none" w:sz="0" w:space="0" w:color="auto"/>
        <w:left w:val="none" w:sz="0" w:space="0" w:color="auto"/>
        <w:bottom w:val="none" w:sz="0" w:space="0" w:color="auto"/>
        <w:right w:val="none" w:sz="0" w:space="0" w:color="auto"/>
      </w:divBdr>
    </w:div>
    <w:div w:id="1517496735">
      <w:bodyDiv w:val="1"/>
      <w:marLeft w:val="0"/>
      <w:marRight w:val="0"/>
      <w:marTop w:val="0"/>
      <w:marBottom w:val="0"/>
      <w:divBdr>
        <w:top w:val="none" w:sz="0" w:space="0" w:color="auto"/>
        <w:left w:val="none" w:sz="0" w:space="0" w:color="auto"/>
        <w:bottom w:val="none" w:sz="0" w:space="0" w:color="auto"/>
        <w:right w:val="none" w:sz="0" w:space="0" w:color="auto"/>
      </w:divBdr>
    </w:div>
    <w:div w:id="1545558759">
      <w:bodyDiv w:val="1"/>
      <w:marLeft w:val="0"/>
      <w:marRight w:val="0"/>
      <w:marTop w:val="0"/>
      <w:marBottom w:val="0"/>
      <w:divBdr>
        <w:top w:val="none" w:sz="0" w:space="0" w:color="auto"/>
        <w:left w:val="none" w:sz="0" w:space="0" w:color="auto"/>
        <w:bottom w:val="none" w:sz="0" w:space="0" w:color="auto"/>
        <w:right w:val="none" w:sz="0" w:space="0" w:color="auto"/>
      </w:divBdr>
    </w:div>
    <w:div w:id="1629121886">
      <w:bodyDiv w:val="1"/>
      <w:marLeft w:val="0"/>
      <w:marRight w:val="0"/>
      <w:marTop w:val="0"/>
      <w:marBottom w:val="0"/>
      <w:divBdr>
        <w:top w:val="none" w:sz="0" w:space="0" w:color="auto"/>
        <w:left w:val="none" w:sz="0" w:space="0" w:color="auto"/>
        <w:bottom w:val="none" w:sz="0" w:space="0" w:color="auto"/>
        <w:right w:val="none" w:sz="0" w:space="0" w:color="auto"/>
      </w:divBdr>
    </w:div>
    <w:div w:id="1682976259">
      <w:bodyDiv w:val="1"/>
      <w:marLeft w:val="0"/>
      <w:marRight w:val="0"/>
      <w:marTop w:val="0"/>
      <w:marBottom w:val="0"/>
      <w:divBdr>
        <w:top w:val="none" w:sz="0" w:space="0" w:color="auto"/>
        <w:left w:val="none" w:sz="0" w:space="0" w:color="auto"/>
        <w:bottom w:val="none" w:sz="0" w:space="0" w:color="auto"/>
        <w:right w:val="none" w:sz="0" w:space="0" w:color="auto"/>
      </w:divBdr>
    </w:div>
    <w:div w:id="1694334357">
      <w:bodyDiv w:val="1"/>
      <w:marLeft w:val="0"/>
      <w:marRight w:val="0"/>
      <w:marTop w:val="0"/>
      <w:marBottom w:val="0"/>
      <w:divBdr>
        <w:top w:val="none" w:sz="0" w:space="0" w:color="auto"/>
        <w:left w:val="none" w:sz="0" w:space="0" w:color="auto"/>
        <w:bottom w:val="none" w:sz="0" w:space="0" w:color="auto"/>
        <w:right w:val="none" w:sz="0" w:space="0" w:color="auto"/>
      </w:divBdr>
    </w:div>
    <w:div w:id="1913000458">
      <w:bodyDiv w:val="1"/>
      <w:marLeft w:val="0"/>
      <w:marRight w:val="0"/>
      <w:marTop w:val="0"/>
      <w:marBottom w:val="0"/>
      <w:divBdr>
        <w:top w:val="none" w:sz="0" w:space="0" w:color="auto"/>
        <w:left w:val="none" w:sz="0" w:space="0" w:color="auto"/>
        <w:bottom w:val="none" w:sz="0" w:space="0" w:color="auto"/>
        <w:right w:val="none" w:sz="0" w:space="0" w:color="auto"/>
      </w:divBdr>
    </w:div>
    <w:div w:id="198503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E:\Dropbox\Dropbox\&#1059;&#1095;&#1077;&#1073;&#1072;%20&#1042;&#1064;&#1052;\&#1058;&#1077;&#1079;&#1080;&#1089;\Data\SME_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Dropbox\Dropbox\&#1059;&#1095;&#1077;&#1073;&#1072;%20&#1042;&#1064;&#1052;\&#1058;&#1077;&#1079;&#1080;&#1089;\Data\SME_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i="1"/>
              <a:t>Acquirer country of origin</a:t>
            </a:r>
            <a:endParaRPr lang="ru-RU" sz="1200" i="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4ADA-4599-8F79-CFAA8B8BC739}"/>
              </c:ext>
            </c:extLst>
          </c:dPt>
          <c:dPt>
            <c:idx val="1"/>
            <c:bubble3D val="0"/>
            <c:spPr>
              <a:solidFill>
                <a:schemeClr val="accent2"/>
              </a:solidFill>
              <a:ln w="19050">
                <a:noFill/>
              </a:ln>
              <a:effectLst/>
            </c:spPr>
            <c:extLst>
              <c:ext xmlns:c16="http://schemas.microsoft.com/office/drawing/2014/chart" uri="{C3380CC4-5D6E-409C-BE32-E72D297353CC}">
                <c16:uniqueId val="{00000003-4ADA-4599-8F79-CFAA8B8BC739}"/>
              </c:ext>
            </c:extLst>
          </c:dPt>
          <c:dPt>
            <c:idx val="2"/>
            <c:bubble3D val="0"/>
            <c:spPr>
              <a:solidFill>
                <a:schemeClr val="accent3"/>
              </a:solidFill>
              <a:ln w="19050">
                <a:noFill/>
              </a:ln>
              <a:effectLst/>
            </c:spPr>
            <c:extLst>
              <c:ext xmlns:c16="http://schemas.microsoft.com/office/drawing/2014/chart" uri="{C3380CC4-5D6E-409C-BE32-E72D297353CC}">
                <c16:uniqueId val="{00000005-4ADA-4599-8F79-CFAA8B8BC739}"/>
              </c:ext>
            </c:extLst>
          </c:dPt>
          <c:dPt>
            <c:idx val="3"/>
            <c:bubble3D val="0"/>
            <c:spPr>
              <a:solidFill>
                <a:schemeClr val="accent4"/>
              </a:solidFill>
              <a:ln w="19050">
                <a:noFill/>
              </a:ln>
              <a:effectLst/>
            </c:spPr>
            <c:extLst>
              <c:ext xmlns:c16="http://schemas.microsoft.com/office/drawing/2014/chart" uri="{C3380CC4-5D6E-409C-BE32-E72D297353CC}">
                <c16:uniqueId val="{00000007-4ADA-4599-8F79-CFAA8B8BC739}"/>
              </c:ext>
            </c:extLst>
          </c:dPt>
          <c:dPt>
            <c:idx val="4"/>
            <c:bubble3D val="0"/>
            <c:spPr>
              <a:solidFill>
                <a:schemeClr val="accent5"/>
              </a:solidFill>
              <a:ln w="19050">
                <a:noFill/>
              </a:ln>
              <a:effectLst/>
            </c:spPr>
            <c:extLst>
              <c:ext xmlns:c16="http://schemas.microsoft.com/office/drawing/2014/chart" uri="{C3380CC4-5D6E-409C-BE32-E72D297353CC}">
                <c16:uniqueId val="{00000009-4ADA-4599-8F79-CFAA8B8BC739}"/>
              </c:ext>
            </c:extLst>
          </c:dPt>
          <c:dPt>
            <c:idx val="5"/>
            <c:bubble3D val="0"/>
            <c:spPr>
              <a:solidFill>
                <a:schemeClr val="accent6"/>
              </a:solidFill>
              <a:ln w="19050">
                <a:noFill/>
              </a:ln>
              <a:effectLst/>
            </c:spPr>
            <c:extLst>
              <c:ext xmlns:c16="http://schemas.microsoft.com/office/drawing/2014/chart" uri="{C3380CC4-5D6E-409C-BE32-E72D297353CC}">
                <c16:uniqueId val="{0000000B-4ADA-4599-8F79-CFAA8B8BC739}"/>
              </c:ext>
            </c:extLst>
          </c:dPt>
          <c:dLbls>
            <c:dLbl>
              <c:idx val="0"/>
              <c:layout>
                <c:manualLayout>
                  <c:x val="-1.0059113859577329E-2"/>
                  <c:y val="1.5098675626072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DA-4599-8F79-CFAA8B8BC739}"/>
                </c:ext>
              </c:extLst>
            </c:dLbl>
            <c:dLbl>
              <c:idx val="1"/>
              <c:layout>
                <c:manualLayout>
                  <c:x val="-2.9685994818021769E-2"/>
                  <c:y val="1.03887843910118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DA-4599-8F79-CFAA8B8BC739}"/>
                </c:ext>
              </c:extLst>
            </c:dLbl>
            <c:dLbl>
              <c:idx val="2"/>
              <c:layout>
                <c:manualLayout>
                  <c:x val="1.9377055351942687E-3"/>
                  <c:y val="-1.5323278720318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DA-4599-8F79-CFAA8B8BC739}"/>
                </c:ext>
              </c:extLst>
            </c:dLbl>
            <c:dLbl>
              <c:idx val="3"/>
              <c:layout>
                <c:manualLayout>
                  <c:x val="2.3079456999546024E-2"/>
                  <c:y val="-7.44862293347327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ADA-4599-8F79-CFAA8B8BC739}"/>
                </c:ext>
              </c:extLst>
            </c:dLbl>
            <c:dLbl>
              <c:idx val="4"/>
              <c:layout>
                <c:manualLayout>
                  <c:x val="1.5532439958809936E-2"/>
                  <c:y val="-3.618605407301668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ADA-4599-8F79-CFAA8B8BC739}"/>
                </c:ext>
              </c:extLst>
            </c:dLbl>
            <c:dLbl>
              <c:idx val="5"/>
              <c:layout>
                <c:manualLayout>
                  <c:x val="1.3620339818187858E-2"/>
                  <c:y val="1.8013168158554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ADA-4599-8F79-CFAA8B8BC7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Лист1!$F$2:$F$7</c:f>
              <c:strCache>
                <c:ptCount val="6"/>
                <c:pt idx="0">
                  <c:v>United States of America</c:v>
                </c:pt>
                <c:pt idx="1">
                  <c:v>Canada</c:v>
                </c:pt>
                <c:pt idx="2">
                  <c:v>United Kingdom</c:v>
                </c:pt>
                <c:pt idx="3">
                  <c:v>Russian Federation</c:v>
                </c:pt>
                <c:pt idx="4">
                  <c:v>Australia</c:v>
                </c:pt>
                <c:pt idx="5">
                  <c:v>Other</c:v>
                </c:pt>
              </c:strCache>
            </c:strRef>
          </c:cat>
          <c:val>
            <c:numRef>
              <c:f>Лист1!$G$2:$G$7</c:f>
              <c:numCache>
                <c:formatCode>General</c:formatCode>
                <c:ptCount val="6"/>
                <c:pt idx="0">
                  <c:v>16</c:v>
                </c:pt>
                <c:pt idx="1">
                  <c:v>15</c:v>
                </c:pt>
                <c:pt idx="2">
                  <c:v>7</c:v>
                </c:pt>
                <c:pt idx="3">
                  <c:v>5</c:v>
                </c:pt>
                <c:pt idx="4">
                  <c:v>4</c:v>
                </c:pt>
                <c:pt idx="5">
                  <c:v>17</c:v>
                </c:pt>
              </c:numCache>
            </c:numRef>
          </c:val>
          <c:extLst>
            <c:ext xmlns:c16="http://schemas.microsoft.com/office/drawing/2014/chart" uri="{C3380CC4-5D6E-409C-BE32-E72D297353CC}">
              <c16:uniqueId val="{0000000C-4ADA-4599-8F79-CFAA8B8BC73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200" i="1"/>
              <a:t>Target country of origin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4AFB-47A3-B9DD-480F928B35B2}"/>
              </c:ext>
            </c:extLst>
          </c:dPt>
          <c:dPt>
            <c:idx val="1"/>
            <c:bubble3D val="0"/>
            <c:spPr>
              <a:solidFill>
                <a:schemeClr val="accent2"/>
              </a:solidFill>
              <a:ln w="19050">
                <a:noFill/>
              </a:ln>
              <a:effectLst/>
            </c:spPr>
            <c:extLst>
              <c:ext xmlns:c16="http://schemas.microsoft.com/office/drawing/2014/chart" uri="{C3380CC4-5D6E-409C-BE32-E72D297353CC}">
                <c16:uniqueId val="{00000003-4AFB-47A3-B9DD-480F928B35B2}"/>
              </c:ext>
            </c:extLst>
          </c:dPt>
          <c:dPt>
            <c:idx val="2"/>
            <c:bubble3D val="0"/>
            <c:spPr>
              <a:solidFill>
                <a:schemeClr val="accent3"/>
              </a:solidFill>
              <a:ln w="19050">
                <a:noFill/>
              </a:ln>
              <a:effectLst/>
            </c:spPr>
            <c:extLst>
              <c:ext xmlns:c16="http://schemas.microsoft.com/office/drawing/2014/chart" uri="{C3380CC4-5D6E-409C-BE32-E72D297353CC}">
                <c16:uniqueId val="{00000005-4AFB-47A3-B9DD-480F928B35B2}"/>
              </c:ext>
            </c:extLst>
          </c:dPt>
          <c:dPt>
            <c:idx val="3"/>
            <c:bubble3D val="0"/>
            <c:spPr>
              <a:solidFill>
                <a:schemeClr val="accent4"/>
              </a:solidFill>
              <a:ln w="19050">
                <a:noFill/>
              </a:ln>
              <a:effectLst/>
            </c:spPr>
            <c:extLst>
              <c:ext xmlns:c16="http://schemas.microsoft.com/office/drawing/2014/chart" uri="{C3380CC4-5D6E-409C-BE32-E72D297353CC}">
                <c16:uniqueId val="{00000007-4AFB-47A3-B9DD-480F928B35B2}"/>
              </c:ext>
            </c:extLst>
          </c:dPt>
          <c:dPt>
            <c:idx val="4"/>
            <c:bubble3D val="0"/>
            <c:spPr>
              <a:solidFill>
                <a:schemeClr val="accent5"/>
              </a:solidFill>
              <a:ln w="19050">
                <a:noFill/>
              </a:ln>
              <a:effectLst/>
            </c:spPr>
            <c:extLst>
              <c:ext xmlns:c16="http://schemas.microsoft.com/office/drawing/2014/chart" uri="{C3380CC4-5D6E-409C-BE32-E72D297353CC}">
                <c16:uniqueId val="{00000009-4AFB-47A3-B9DD-480F928B35B2}"/>
              </c:ext>
            </c:extLst>
          </c:dPt>
          <c:dPt>
            <c:idx val="5"/>
            <c:bubble3D val="0"/>
            <c:spPr>
              <a:solidFill>
                <a:schemeClr val="accent6"/>
              </a:solidFill>
              <a:ln w="19050">
                <a:noFill/>
              </a:ln>
              <a:effectLst/>
            </c:spPr>
            <c:extLst>
              <c:ext xmlns:c16="http://schemas.microsoft.com/office/drawing/2014/chart" uri="{C3380CC4-5D6E-409C-BE32-E72D297353CC}">
                <c16:uniqueId val="{0000000B-4AFB-47A3-B9DD-480F928B35B2}"/>
              </c:ext>
            </c:extLst>
          </c:dPt>
          <c:dLbls>
            <c:dLbl>
              <c:idx val="0"/>
              <c:layout>
                <c:manualLayout>
                  <c:x val="-2.3977892526968556E-2"/>
                  <c:y val="1.9848496300109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FB-47A3-B9DD-480F928B35B2}"/>
                </c:ext>
              </c:extLst>
            </c:dLbl>
            <c:dLbl>
              <c:idx val="1"/>
              <c:layout>
                <c:manualLayout>
                  <c:x val="-2.5192558441963502E-3"/>
                  <c:y val="-3.3741801987060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FB-47A3-B9DD-480F928B35B2}"/>
                </c:ext>
              </c:extLst>
            </c:dLbl>
            <c:dLbl>
              <c:idx val="2"/>
              <c:layout>
                <c:manualLayout>
                  <c:x val="8.5299844708144699E-3"/>
                  <c:y val="-1.7909066406935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FB-47A3-B9DD-480F928B35B2}"/>
                </c:ext>
              </c:extLst>
            </c:dLbl>
            <c:dLbl>
              <c:idx val="3"/>
              <c:layout>
                <c:manualLayout>
                  <c:x val="3.162316304261361E-2"/>
                  <c:y val="-9.8101640386916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AFB-47A3-B9DD-480F928B35B2}"/>
                </c:ext>
              </c:extLst>
            </c:dLbl>
            <c:dLbl>
              <c:idx val="5"/>
              <c:layout>
                <c:manualLayout>
                  <c:x val="3.6777192503104107E-2"/>
                  <c:y val="-1.65104665041918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AFB-47A3-B9DD-480F928B35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Лист1!$J$2:$J$7</c:f>
              <c:strCache>
                <c:ptCount val="6"/>
                <c:pt idx="0">
                  <c:v>Canada</c:v>
                </c:pt>
                <c:pt idx="1">
                  <c:v>United States of America</c:v>
                </c:pt>
                <c:pt idx="2">
                  <c:v>Russian Federation</c:v>
                </c:pt>
                <c:pt idx="3">
                  <c:v>Australia</c:v>
                </c:pt>
                <c:pt idx="4">
                  <c:v>United Kingdom</c:v>
                </c:pt>
                <c:pt idx="5">
                  <c:v>Other</c:v>
                </c:pt>
              </c:strCache>
            </c:strRef>
          </c:cat>
          <c:val>
            <c:numRef>
              <c:f>Лист1!$K$2:$K$7</c:f>
              <c:numCache>
                <c:formatCode>General</c:formatCode>
                <c:ptCount val="6"/>
                <c:pt idx="0">
                  <c:v>31</c:v>
                </c:pt>
                <c:pt idx="1">
                  <c:v>30</c:v>
                </c:pt>
                <c:pt idx="2">
                  <c:v>13</c:v>
                </c:pt>
                <c:pt idx="3">
                  <c:v>8</c:v>
                </c:pt>
                <c:pt idx="4">
                  <c:v>4</c:v>
                </c:pt>
                <c:pt idx="5">
                  <c:v>64</c:v>
                </c:pt>
              </c:numCache>
            </c:numRef>
          </c:val>
          <c:extLst>
            <c:ext xmlns:c16="http://schemas.microsoft.com/office/drawing/2014/chart" uri="{C3380CC4-5D6E-409C-BE32-E72D297353CC}">
              <c16:uniqueId val="{0000000C-4AFB-47A3-B9DD-480F928B35B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EC638-D67C-4D90-9F1D-927F52E73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1</Pages>
  <Words>16911</Words>
  <Characters>96398</Characters>
  <Application>Microsoft Office Word</Application>
  <DocSecurity>0</DocSecurity>
  <Lines>803</Lines>
  <Paragraphs>226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Елизаров Никита Николаевич ММ - 2011</dc:creator>
  <cp:keywords/>
  <dc:description/>
  <cp:lastModifiedBy>User</cp:lastModifiedBy>
  <cp:revision>51</cp:revision>
  <cp:lastPrinted>2018-05-24T19:28:00Z</cp:lastPrinted>
  <dcterms:created xsi:type="dcterms:W3CDTF">2018-05-24T00:12:00Z</dcterms:created>
  <dcterms:modified xsi:type="dcterms:W3CDTF">2018-05-24T19:29:00Z</dcterms:modified>
</cp:coreProperties>
</file>