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7A" w:rsidRPr="003C767A" w:rsidRDefault="003C767A" w:rsidP="003C767A">
      <w:pPr>
        <w:jc w:val="center"/>
        <w:rPr>
          <w:rFonts w:cs="Times New Roman"/>
          <w:b/>
          <w:color w:val="111111"/>
          <w:szCs w:val="28"/>
          <w:shd w:val="clear" w:color="auto" w:fill="FFFFFF"/>
        </w:rPr>
      </w:pPr>
      <w:r w:rsidRPr="003C767A">
        <w:rPr>
          <w:rFonts w:cs="Times New Roman"/>
          <w:b/>
          <w:color w:val="111111"/>
          <w:szCs w:val="28"/>
          <w:shd w:val="clear" w:color="auto" w:fill="FFFFFF"/>
        </w:rPr>
        <w:t xml:space="preserve">РЕЦЕНЗИЯ на выпускную квалификационную работу обучающегося СПбГУ Давыдовой Алины Алексеевны по теме «Анализ дифференцировки минорных популяций </w:t>
      </w:r>
      <w:proofErr w:type="spellStart"/>
      <w:r w:rsidRPr="003C767A">
        <w:rPr>
          <w:rFonts w:cs="Times New Roman"/>
          <w:b/>
          <w:color w:val="111111"/>
          <w:szCs w:val="28"/>
          <w:shd w:val="clear" w:color="auto" w:fill="FFFFFF"/>
        </w:rPr>
        <w:t>тимоцитов</w:t>
      </w:r>
      <w:proofErr w:type="spellEnd"/>
      <w:r w:rsidRPr="003C767A">
        <w:rPr>
          <w:rFonts w:cs="Times New Roman"/>
          <w:b/>
          <w:color w:val="111111"/>
          <w:szCs w:val="28"/>
          <w:shd w:val="clear" w:color="auto" w:fill="FFFFFF"/>
        </w:rPr>
        <w:t>»</w:t>
      </w:r>
    </w:p>
    <w:p w:rsidR="003C767A" w:rsidRDefault="003C767A" w:rsidP="003C767A">
      <w:pPr>
        <w:jc w:val="both"/>
        <w:rPr>
          <w:rFonts w:cs="Times New Roman"/>
          <w:color w:val="111111"/>
          <w:szCs w:val="28"/>
          <w:shd w:val="clear" w:color="auto" w:fill="FFFFFF"/>
        </w:rPr>
      </w:pPr>
      <w:r w:rsidRPr="003C767A">
        <w:rPr>
          <w:rFonts w:cs="Times New Roman"/>
          <w:color w:val="111111"/>
          <w:szCs w:val="28"/>
          <w:shd w:val="clear" w:color="auto" w:fill="FFFFFF"/>
        </w:rPr>
        <w:t xml:space="preserve">Дипломная работа Давыдовой А.А. посвящена теоретическому изучению путей дифференцировки минорных популяций </w:t>
      </w:r>
      <w:proofErr w:type="spellStart"/>
      <w:r w:rsidRPr="003C767A">
        <w:rPr>
          <w:rFonts w:cs="Times New Roman"/>
          <w:color w:val="111111"/>
          <w:szCs w:val="28"/>
          <w:shd w:val="clear" w:color="auto" w:fill="FFFFFF"/>
        </w:rPr>
        <w:t>тимоцитов</w:t>
      </w:r>
      <w:proofErr w:type="spellEnd"/>
      <w:r w:rsidRPr="003C767A">
        <w:rPr>
          <w:rFonts w:cs="Times New Roman"/>
          <w:color w:val="111111"/>
          <w:szCs w:val="28"/>
          <w:shd w:val="clear" w:color="auto" w:fill="FFFFFF"/>
        </w:rPr>
        <w:t xml:space="preserve">. В работе обобщена информация, полученная при анализе 190 источников литературы, в том числе 6 на русском языке и 184 на иностранных языках. Подробно изложены современные представления о путях дифференцировки Т-лимфоцитов в тимусе, подчеркнуты спорные и недостаточно изученные аспекты. Выделены и подробно охарактеризованы возможные альтернативные популяции клеток, образующиеся в процессе </w:t>
      </w:r>
      <w:proofErr w:type="spellStart"/>
      <w:r w:rsidRPr="003C767A">
        <w:rPr>
          <w:rFonts w:cs="Times New Roman"/>
          <w:color w:val="111111"/>
          <w:szCs w:val="28"/>
          <w:shd w:val="clear" w:color="auto" w:fill="FFFFFF"/>
        </w:rPr>
        <w:t>тимопоэза</w:t>
      </w:r>
      <w:proofErr w:type="spellEnd"/>
      <w:r w:rsidRPr="003C767A">
        <w:rPr>
          <w:rFonts w:cs="Times New Roman"/>
          <w:color w:val="111111"/>
          <w:szCs w:val="28"/>
          <w:shd w:val="clear" w:color="auto" w:fill="FFFFFF"/>
        </w:rPr>
        <w:t xml:space="preserve">. Материал работы представлен на 78 страницах, содержит 17 иллюстраций, состоит из введения, пяти глав, обсуждения и выводов. </w:t>
      </w:r>
      <w:proofErr w:type="gramStart"/>
      <w:r w:rsidRPr="003C767A">
        <w:rPr>
          <w:rFonts w:cs="Times New Roman"/>
          <w:color w:val="111111"/>
          <w:szCs w:val="28"/>
          <w:shd w:val="clear" w:color="auto" w:fill="FFFFFF"/>
        </w:rPr>
        <w:t>В</w:t>
      </w:r>
      <w:proofErr w:type="gramEnd"/>
      <w:r w:rsidRPr="003C767A">
        <w:rPr>
          <w:rFonts w:cs="Times New Roman"/>
          <w:color w:val="111111"/>
          <w:szCs w:val="28"/>
          <w:shd w:val="clear" w:color="auto" w:fill="FFFFFF"/>
        </w:rPr>
        <w:t xml:space="preserve"> введении рассматривается актуальность выбранной темы, формулируется цель работы - провести обзор и анализ литературы, посвященной процессам, происходящим в тимусе с точки зрения формирования альтернативных клеточных популяций, отличных от CD4+ и CD8+ клеток. Ставятся следующие задачи: 1. Анализ популяции DN2 как одной из ключевых точек, в которой возможно переключение на альтернативный клеточный путь; 2. Анализ NK-клеток как одного из возможных боковых путей дифференцировки DN2 клеток; 3. Анализ тучных клеток одного из возможных боковых путей дифференцировки DN2 клеток; 4. Анализ T-регуляторных лимфоцитов как модификации SP клеток. В первой главе автор проводит краткий анализ созревания и дифференцировки Т-лимфоцитов, делает обзор основных популяций </w:t>
      </w:r>
      <w:proofErr w:type="spellStart"/>
      <w:r w:rsidRPr="003C767A">
        <w:rPr>
          <w:rFonts w:cs="Times New Roman"/>
          <w:color w:val="111111"/>
          <w:szCs w:val="28"/>
          <w:shd w:val="clear" w:color="auto" w:fill="FFFFFF"/>
        </w:rPr>
        <w:t>тимоцитов</w:t>
      </w:r>
      <w:proofErr w:type="spellEnd"/>
      <w:r w:rsidRPr="003C767A">
        <w:rPr>
          <w:rFonts w:cs="Times New Roman"/>
          <w:color w:val="111111"/>
          <w:szCs w:val="28"/>
          <w:shd w:val="clear" w:color="auto" w:fill="FFFFFF"/>
        </w:rPr>
        <w:t xml:space="preserve">. Вторая глава посвящена изучению популяции DN2 клеток, как возможного предшественника Т-клеток, NK-клеток, макрофагов, DC, гранулоцитов. Уделено внимание трудностям, связанным с фенотипической характеристикой DN2 клеток, и выделением их как отдельной </w:t>
      </w:r>
      <w:proofErr w:type="spellStart"/>
      <w:r w:rsidRPr="003C767A">
        <w:rPr>
          <w:rFonts w:cs="Times New Roman"/>
          <w:color w:val="111111"/>
          <w:szCs w:val="28"/>
          <w:shd w:val="clear" w:color="auto" w:fill="FFFFFF"/>
        </w:rPr>
        <w:t>субпопуляции</w:t>
      </w:r>
      <w:proofErr w:type="spellEnd"/>
      <w:r w:rsidRPr="003C767A">
        <w:rPr>
          <w:rFonts w:cs="Times New Roman"/>
          <w:color w:val="111111"/>
          <w:szCs w:val="28"/>
          <w:shd w:val="clear" w:color="auto" w:fill="FFFFFF"/>
        </w:rPr>
        <w:t xml:space="preserve">. В трех </w:t>
      </w:r>
      <w:proofErr w:type="gramStart"/>
      <w:r w:rsidRPr="003C767A">
        <w:rPr>
          <w:rFonts w:cs="Times New Roman"/>
          <w:color w:val="111111"/>
          <w:szCs w:val="28"/>
          <w:shd w:val="clear" w:color="auto" w:fill="FFFFFF"/>
        </w:rPr>
        <w:t>последующий</w:t>
      </w:r>
      <w:proofErr w:type="gramEnd"/>
      <w:r w:rsidRPr="003C767A">
        <w:rPr>
          <w:rFonts w:cs="Times New Roman"/>
          <w:color w:val="111111"/>
          <w:szCs w:val="28"/>
          <w:shd w:val="clear" w:color="auto" w:fill="FFFFFF"/>
        </w:rPr>
        <w:t xml:space="preserve"> главах дана подробная характеристика NK-клеток, тучных клеток и T-регуляторных лимфоцитов. В том числе, рассматриваются особенности </w:t>
      </w:r>
      <w:proofErr w:type="spellStart"/>
      <w:r w:rsidRPr="003C767A">
        <w:rPr>
          <w:rFonts w:cs="Times New Roman"/>
          <w:color w:val="111111"/>
          <w:szCs w:val="28"/>
          <w:shd w:val="clear" w:color="auto" w:fill="FFFFFF"/>
        </w:rPr>
        <w:t>фенотипирования</w:t>
      </w:r>
      <w:proofErr w:type="spellEnd"/>
      <w:r w:rsidRPr="003C767A">
        <w:rPr>
          <w:rFonts w:cs="Times New Roman"/>
          <w:color w:val="111111"/>
          <w:szCs w:val="28"/>
          <w:shd w:val="clear" w:color="auto" w:fill="FFFFFF"/>
        </w:rPr>
        <w:t xml:space="preserve"> и дифференцировки данных клеточных популяций, функции и возможные пути развития в процессе </w:t>
      </w:r>
      <w:proofErr w:type="spellStart"/>
      <w:r w:rsidRPr="003C767A">
        <w:rPr>
          <w:rFonts w:cs="Times New Roman"/>
          <w:color w:val="111111"/>
          <w:szCs w:val="28"/>
          <w:shd w:val="clear" w:color="auto" w:fill="FFFFFF"/>
        </w:rPr>
        <w:t>тимопоэза</w:t>
      </w:r>
      <w:proofErr w:type="spellEnd"/>
      <w:r w:rsidRPr="003C767A">
        <w:rPr>
          <w:rFonts w:cs="Times New Roman"/>
          <w:color w:val="111111"/>
          <w:szCs w:val="28"/>
          <w:shd w:val="clear" w:color="auto" w:fill="FFFFFF"/>
        </w:rPr>
        <w:t xml:space="preserve">. В заключительной части работы автор обобщает </w:t>
      </w:r>
      <w:proofErr w:type="gramStart"/>
      <w:r w:rsidRPr="003C767A">
        <w:rPr>
          <w:rFonts w:cs="Times New Roman"/>
          <w:color w:val="111111"/>
          <w:szCs w:val="28"/>
          <w:shd w:val="clear" w:color="auto" w:fill="FFFFFF"/>
        </w:rPr>
        <w:t>информацию, полученную на основании изученной литературы и делает</w:t>
      </w:r>
      <w:proofErr w:type="gramEnd"/>
      <w:r w:rsidRPr="003C767A">
        <w:rPr>
          <w:rFonts w:cs="Times New Roman"/>
          <w:color w:val="111111"/>
          <w:szCs w:val="28"/>
          <w:shd w:val="clear" w:color="auto" w:fill="FFFFFF"/>
        </w:rPr>
        <w:t xml:space="preserve"> следующие выводы: 1. Тимус – одно из вероятных мест формирования NK- и тучных клеток. Кроме того, есть несколько точек созревания, где развитие может пойти по NK-клеточной линии; 2. При неудачном прохождении магистрального пути дифференцировки клетка не </w:t>
      </w:r>
      <w:r w:rsidRPr="003C767A">
        <w:rPr>
          <w:rFonts w:cs="Times New Roman"/>
          <w:color w:val="111111"/>
          <w:szCs w:val="28"/>
          <w:shd w:val="clear" w:color="auto" w:fill="FFFFFF"/>
        </w:rPr>
        <w:lastRenderedPageBreak/>
        <w:t xml:space="preserve">всегда уходит в </w:t>
      </w:r>
      <w:proofErr w:type="spellStart"/>
      <w:r w:rsidRPr="003C767A">
        <w:rPr>
          <w:rFonts w:cs="Times New Roman"/>
          <w:color w:val="111111"/>
          <w:szCs w:val="28"/>
          <w:shd w:val="clear" w:color="auto" w:fill="FFFFFF"/>
        </w:rPr>
        <w:t>апоптоз</w:t>
      </w:r>
      <w:proofErr w:type="spellEnd"/>
      <w:r w:rsidRPr="003C767A">
        <w:rPr>
          <w:rFonts w:cs="Times New Roman"/>
          <w:color w:val="111111"/>
          <w:szCs w:val="28"/>
          <w:shd w:val="clear" w:color="auto" w:fill="FFFFFF"/>
        </w:rPr>
        <w:t xml:space="preserve">: она сохраняет потенциал некоторых клеточных линий и, следовательно, возможность развития по альтернативному пути. В целом, содержание ВКР соответствует заявленной в названии теме. Автор изучил и проанализировал значительное количество источников литературы, в том числе опубликованных </w:t>
      </w:r>
      <w:proofErr w:type="gramStart"/>
      <w:r w:rsidRPr="003C767A">
        <w:rPr>
          <w:rFonts w:cs="Times New Roman"/>
          <w:color w:val="111111"/>
          <w:szCs w:val="28"/>
          <w:shd w:val="clear" w:color="auto" w:fill="FFFFFF"/>
        </w:rPr>
        <w:t>за</w:t>
      </w:r>
      <w:proofErr w:type="gramEnd"/>
      <w:r w:rsidRPr="003C767A">
        <w:rPr>
          <w:rFonts w:cs="Times New Roman"/>
          <w:color w:val="111111"/>
          <w:szCs w:val="28"/>
          <w:shd w:val="clear" w:color="auto" w:fill="FFFFFF"/>
        </w:rPr>
        <w:t xml:space="preserve"> последние 2 года. Дано подробное обоснование выводов. Однако, на мой взгляд, представленные выводы в полной мере не отражают сформулированные в начале работы задачи. Также актуальность выбранной темы требует более подробного изложения. В </w:t>
      </w:r>
      <w:proofErr w:type="gramStart"/>
      <w:r w:rsidRPr="003C767A">
        <w:rPr>
          <w:rFonts w:cs="Times New Roman"/>
          <w:color w:val="111111"/>
          <w:szCs w:val="28"/>
          <w:shd w:val="clear" w:color="auto" w:fill="FFFFFF"/>
        </w:rPr>
        <w:t>связи</w:t>
      </w:r>
      <w:proofErr w:type="gramEnd"/>
      <w:r w:rsidRPr="003C767A">
        <w:rPr>
          <w:rFonts w:cs="Times New Roman"/>
          <w:color w:val="111111"/>
          <w:szCs w:val="28"/>
          <w:shd w:val="clear" w:color="auto" w:fill="FFFFFF"/>
        </w:rPr>
        <w:t xml:space="preserve"> с чем возникает вопрос, какие, по мнению автора ВКР, практические последствия может иметь наличие альтернативных путей дифференцировки </w:t>
      </w:r>
      <w:proofErr w:type="spellStart"/>
      <w:r w:rsidRPr="003C767A">
        <w:rPr>
          <w:rFonts w:cs="Times New Roman"/>
          <w:color w:val="111111"/>
          <w:szCs w:val="28"/>
          <w:shd w:val="clear" w:color="auto" w:fill="FFFFFF"/>
        </w:rPr>
        <w:t>тимоцитов</w:t>
      </w:r>
      <w:proofErr w:type="spellEnd"/>
      <w:r w:rsidRPr="003C767A">
        <w:rPr>
          <w:rFonts w:cs="Times New Roman"/>
          <w:color w:val="111111"/>
          <w:szCs w:val="28"/>
          <w:shd w:val="clear" w:color="auto" w:fill="FFFFFF"/>
        </w:rPr>
        <w:t>? Следует отметить, что те</w:t>
      </w:r>
      <w:proofErr w:type="gramStart"/>
      <w:r w:rsidRPr="003C767A">
        <w:rPr>
          <w:rFonts w:cs="Times New Roman"/>
          <w:color w:val="111111"/>
          <w:szCs w:val="28"/>
          <w:shd w:val="clear" w:color="auto" w:fill="FFFFFF"/>
        </w:rPr>
        <w:t>кст пр</w:t>
      </w:r>
      <w:proofErr w:type="gramEnd"/>
      <w:r w:rsidRPr="003C767A">
        <w:rPr>
          <w:rFonts w:cs="Times New Roman"/>
          <w:color w:val="111111"/>
          <w:szCs w:val="28"/>
          <w:shd w:val="clear" w:color="auto" w:fill="FFFFFF"/>
        </w:rPr>
        <w:t>оиллюстрирован большим количеством рисунков, что является достоинством работы. Однако</w:t>
      </w:r>
      <w:proofErr w:type="gramStart"/>
      <w:r w:rsidRPr="003C767A">
        <w:rPr>
          <w:rFonts w:cs="Times New Roman"/>
          <w:color w:val="111111"/>
          <w:szCs w:val="28"/>
          <w:shd w:val="clear" w:color="auto" w:fill="FFFFFF"/>
        </w:rPr>
        <w:t>,</w:t>
      </w:r>
      <w:proofErr w:type="gramEnd"/>
      <w:r w:rsidRPr="003C767A">
        <w:rPr>
          <w:rFonts w:cs="Times New Roman"/>
          <w:color w:val="111111"/>
          <w:szCs w:val="28"/>
          <w:shd w:val="clear" w:color="auto" w:fill="FFFFFF"/>
        </w:rPr>
        <w:t xml:space="preserve"> отсутствуют оригинальные авторские иллюстрации, и не везде приведен перевод подписей на русский язык. Работа оформлена аккуратно и имеет четкую структуру. К сожалению, автору не удалось избежать в полной мере научного жаргона и калькированного перевода с английского языка. Кроме того, текст содержит ряд обидных опечаток. Возникшие при рецензировании замечания не позволяют оценить ВКР на «отлично», однако объем исследования и подробность анализа современных источников литературы позволяют заключить, что выпускная квалификационная работа Давыдовой А.А. «Анализ дифференцировки минорных популяций </w:t>
      </w:r>
      <w:proofErr w:type="spellStart"/>
      <w:r w:rsidRPr="003C767A">
        <w:rPr>
          <w:rFonts w:cs="Times New Roman"/>
          <w:color w:val="111111"/>
          <w:szCs w:val="28"/>
          <w:shd w:val="clear" w:color="auto" w:fill="FFFFFF"/>
        </w:rPr>
        <w:t>тимоцитов</w:t>
      </w:r>
      <w:proofErr w:type="spellEnd"/>
      <w:r w:rsidRPr="003C767A">
        <w:rPr>
          <w:rFonts w:cs="Times New Roman"/>
          <w:color w:val="111111"/>
          <w:szCs w:val="28"/>
          <w:shd w:val="clear" w:color="auto" w:fill="FFFFFF"/>
        </w:rPr>
        <w:t>» соответствует требованиям, предъявляемым к реферативным магистерским диссертациям, и, заслуживает оценки «хорошо».</w:t>
      </w:r>
    </w:p>
    <w:p w:rsidR="00623591" w:rsidRPr="003C767A" w:rsidRDefault="00623591" w:rsidP="003C767A">
      <w:pPr>
        <w:jc w:val="both"/>
        <w:rPr>
          <w:rFonts w:cs="Times New Roman"/>
          <w:color w:val="111111"/>
          <w:szCs w:val="28"/>
          <w:shd w:val="clear" w:color="auto" w:fill="FFFFFF"/>
        </w:rPr>
      </w:pPr>
    </w:p>
    <w:p w:rsidR="003C767A" w:rsidRDefault="003C767A" w:rsidP="00623591">
      <w:pPr>
        <w:jc w:val="both"/>
        <w:rPr>
          <w:rFonts w:cs="Times New Roman"/>
          <w:color w:val="111111"/>
          <w:szCs w:val="28"/>
          <w:shd w:val="clear" w:color="auto" w:fill="FFFFFF"/>
        </w:rPr>
      </w:pPr>
      <w:r w:rsidRPr="003C767A">
        <w:rPr>
          <w:rFonts w:cs="Times New Roman"/>
          <w:color w:val="111111"/>
          <w:szCs w:val="28"/>
          <w:shd w:val="clear" w:color="auto" w:fill="FFFFFF"/>
        </w:rPr>
        <w:t xml:space="preserve">«27» Мая 2018 г. ________________ с.н.с. лаборатории векторных вакцин ФГБУ «НИИ гриппа им. А.А. </w:t>
      </w:r>
      <w:proofErr w:type="spellStart"/>
      <w:r w:rsidRPr="003C767A">
        <w:rPr>
          <w:rFonts w:cs="Times New Roman"/>
          <w:color w:val="111111"/>
          <w:szCs w:val="28"/>
          <w:shd w:val="clear" w:color="auto" w:fill="FFFFFF"/>
        </w:rPr>
        <w:t>Смородинцева</w:t>
      </w:r>
      <w:proofErr w:type="spellEnd"/>
      <w:r w:rsidRPr="003C767A">
        <w:rPr>
          <w:rFonts w:cs="Times New Roman"/>
          <w:color w:val="111111"/>
          <w:szCs w:val="28"/>
          <w:shd w:val="clear" w:color="auto" w:fill="FFFFFF"/>
        </w:rPr>
        <w:t>» МЗ РФ к.м.н. Шурыгина А.П.С.</w:t>
      </w:r>
    </w:p>
    <w:p w:rsidR="00623591" w:rsidRDefault="00623591">
      <w:pPr>
        <w:rPr>
          <w:rFonts w:cs="Times New Roman"/>
          <w:color w:val="111111"/>
          <w:szCs w:val="28"/>
          <w:shd w:val="clear" w:color="auto" w:fill="FFFFFF"/>
        </w:rPr>
      </w:pPr>
    </w:p>
    <w:tbl>
      <w:tblPr>
        <w:tblStyle w:val="4"/>
        <w:tblW w:w="0" w:type="auto"/>
        <w:tblLook w:val="01E0"/>
      </w:tblPr>
      <w:tblGrid>
        <w:gridCol w:w="8208"/>
        <w:gridCol w:w="1363"/>
      </w:tblGrid>
      <w:tr w:rsidR="003C767A" w:rsidRPr="00CA7A01" w:rsidTr="00B62DF8">
        <w:tc>
          <w:tcPr>
            <w:tcW w:w="8208" w:type="dxa"/>
          </w:tcPr>
          <w:p w:rsidR="003C767A" w:rsidRPr="00CA7A01" w:rsidRDefault="003C767A" w:rsidP="00B62DF8">
            <w:pPr>
              <w:autoSpaceDE w:val="0"/>
              <w:autoSpaceDN w:val="0"/>
              <w:jc w:val="center"/>
            </w:pPr>
            <w:r w:rsidRPr="00CA7A01">
              <w:t>Критерий</w:t>
            </w:r>
          </w:p>
        </w:tc>
        <w:tc>
          <w:tcPr>
            <w:tcW w:w="1363" w:type="dxa"/>
          </w:tcPr>
          <w:p w:rsidR="003C767A" w:rsidRPr="00CA7A01" w:rsidRDefault="003C767A" w:rsidP="00B62DF8">
            <w:pPr>
              <w:autoSpaceDE w:val="0"/>
              <w:autoSpaceDN w:val="0"/>
              <w:jc w:val="center"/>
            </w:pPr>
            <w:r w:rsidRPr="00CA7A01">
              <w:t>Оценка</w:t>
            </w:r>
          </w:p>
        </w:tc>
      </w:tr>
      <w:tr w:rsidR="003C767A" w:rsidRPr="00CA7A01" w:rsidTr="00B62DF8">
        <w:tc>
          <w:tcPr>
            <w:tcW w:w="8208" w:type="dxa"/>
          </w:tcPr>
          <w:p w:rsidR="003C767A" w:rsidRPr="00CA7A01" w:rsidRDefault="003C767A" w:rsidP="00B62DF8">
            <w:pPr>
              <w:autoSpaceDE w:val="0"/>
              <w:autoSpaceDN w:val="0"/>
            </w:pPr>
            <w:r w:rsidRPr="003C767A">
              <w:rPr>
                <w:color w:val="111111"/>
                <w:szCs w:val="28"/>
                <w:shd w:val="clear" w:color="auto" w:fill="FFFFFF"/>
              </w:rPr>
              <w:t>1. Обоснование актуальности проблемы</w:t>
            </w:r>
          </w:p>
        </w:tc>
        <w:tc>
          <w:tcPr>
            <w:tcW w:w="1363" w:type="dxa"/>
          </w:tcPr>
          <w:p w:rsidR="003C767A" w:rsidRPr="00CA7A01" w:rsidRDefault="003C767A" w:rsidP="00623591">
            <w:pPr>
              <w:autoSpaceDE w:val="0"/>
              <w:autoSpaceDN w:val="0"/>
              <w:jc w:val="center"/>
            </w:pPr>
            <w:r>
              <w:t>3</w:t>
            </w:r>
          </w:p>
        </w:tc>
      </w:tr>
      <w:tr w:rsidR="003C767A" w:rsidRPr="00CA7A01" w:rsidTr="00B62DF8">
        <w:tc>
          <w:tcPr>
            <w:tcW w:w="8208" w:type="dxa"/>
          </w:tcPr>
          <w:p w:rsidR="003C767A" w:rsidRPr="00CA7A01" w:rsidRDefault="003C767A" w:rsidP="00B62DF8">
            <w:pPr>
              <w:autoSpaceDE w:val="0"/>
              <w:autoSpaceDN w:val="0"/>
            </w:pPr>
            <w:r w:rsidRPr="003C767A">
              <w:rPr>
                <w:color w:val="111111"/>
                <w:szCs w:val="28"/>
                <w:shd w:val="clear" w:color="auto" w:fill="FFFFFF"/>
              </w:rPr>
              <w:t>2. Ясность изложения, структурированность</w:t>
            </w:r>
          </w:p>
        </w:tc>
        <w:tc>
          <w:tcPr>
            <w:tcW w:w="1363" w:type="dxa"/>
          </w:tcPr>
          <w:p w:rsidR="003C767A" w:rsidRPr="00CA7A01" w:rsidRDefault="003C767A" w:rsidP="00623591">
            <w:pPr>
              <w:autoSpaceDE w:val="0"/>
              <w:autoSpaceDN w:val="0"/>
              <w:jc w:val="center"/>
            </w:pPr>
            <w:r>
              <w:t>4</w:t>
            </w:r>
          </w:p>
        </w:tc>
      </w:tr>
      <w:tr w:rsidR="003C767A" w:rsidRPr="00CA7A01" w:rsidTr="00B62DF8">
        <w:tc>
          <w:tcPr>
            <w:tcW w:w="8208" w:type="dxa"/>
          </w:tcPr>
          <w:p w:rsidR="003C767A" w:rsidRPr="00CA7A01" w:rsidRDefault="003C767A" w:rsidP="003C767A">
            <w:pPr>
              <w:autoSpaceDE w:val="0"/>
              <w:autoSpaceDN w:val="0"/>
            </w:pPr>
            <w:r w:rsidRPr="003C767A">
              <w:rPr>
                <w:color w:val="111111"/>
                <w:szCs w:val="28"/>
                <w:shd w:val="clear" w:color="auto" w:fill="FFFFFF"/>
              </w:rPr>
              <w:t>3. Полнота охвата проблемы</w:t>
            </w:r>
            <w:r w:rsidRPr="00CA7A01">
              <w:t xml:space="preserve"> </w:t>
            </w:r>
          </w:p>
        </w:tc>
        <w:tc>
          <w:tcPr>
            <w:tcW w:w="1363" w:type="dxa"/>
          </w:tcPr>
          <w:p w:rsidR="003C767A" w:rsidRPr="00CA7A01" w:rsidRDefault="003C767A" w:rsidP="00623591">
            <w:pPr>
              <w:autoSpaceDE w:val="0"/>
              <w:autoSpaceDN w:val="0"/>
              <w:jc w:val="center"/>
            </w:pPr>
            <w:r>
              <w:t>4</w:t>
            </w:r>
          </w:p>
        </w:tc>
      </w:tr>
      <w:tr w:rsidR="003C767A" w:rsidRPr="00CA7A01" w:rsidTr="00B62DF8">
        <w:tc>
          <w:tcPr>
            <w:tcW w:w="8208" w:type="dxa"/>
          </w:tcPr>
          <w:p w:rsidR="003C767A" w:rsidRPr="00CA7A01" w:rsidRDefault="00623591" w:rsidP="00B62DF8">
            <w:pPr>
              <w:autoSpaceDE w:val="0"/>
              <w:autoSpaceDN w:val="0"/>
            </w:pPr>
            <w:r w:rsidRPr="003C767A">
              <w:rPr>
                <w:color w:val="111111"/>
                <w:szCs w:val="28"/>
                <w:shd w:val="clear" w:color="auto" w:fill="FFFFFF"/>
              </w:rPr>
              <w:t xml:space="preserve">4. Полнота знания литературных источников (автор продемонстрировал чтение не только обзоров, но и оригинальных статей) </w:t>
            </w:r>
          </w:p>
        </w:tc>
        <w:tc>
          <w:tcPr>
            <w:tcW w:w="1363" w:type="dxa"/>
          </w:tcPr>
          <w:p w:rsidR="003C767A" w:rsidRPr="00CA7A01" w:rsidRDefault="00623591" w:rsidP="00623591">
            <w:pPr>
              <w:autoSpaceDE w:val="0"/>
              <w:autoSpaceDN w:val="0"/>
              <w:jc w:val="center"/>
            </w:pPr>
            <w:r>
              <w:t>5</w:t>
            </w:r>
          </w:p>
        </w:tc>
      </w:tr>
      <w:tr w:rsidR="003C767A" w:rsidRPr="00CA7A01" w:rsidTr="00B62DF8">
        <w:tc>
          <w:tcPr>
            <w:tcW w:w="8208" w:type="dxa"/>
          </w:tcPr>
          <w:p w:rsidR="003C767A" w:rsidRPr="00CA7A01" w:rsidRDefault="00623591" w:rsidP="00623591">
            <w:pPr>
              <w:autoSpaceDE w:val="0"/>
              <w:autoSpaceDN w:val="0"/>
            </w:pPr>
            <w:r w:rsidRPr="003C767A">
              <w:rPr>
                <w:color w:val="111111"/>
                <w:szCs w:val="28"/>
                <w:shd w:val="clear" w:color="auto" w:fill="FFFFFF"/>
              </w:rPr>
              <w:t xml:space="preserve">5. Уровень анализа литературных данных (способность автора делать собственные выводы и обсуждать противоречивые данные) </w:t>
            </w:r>
          </w:p>
        </w:tc>
        <w:tc>
          <w:tcPr>
            <w:tcW w:w="1363" w:type="dxa"/>
          </w:tcPr>
          <w:p w:rsidR="003C767A" w:rsidRPr="00CA7A01" w:rsidRDefault="00623591" w:rsidP="00623591">
            <w:pPr>
              <w:autoSpaceDE w:val="0"/>
              <w:autoSpaceDN w:val="0"/>
              <w:jc w:val="center"/>
            </w:pPr>
            <w:r>
              <w:t>4</w:t>
            </w:r>
          </w:p>
        </w:tc>
      </w:tr>
      <w:tr w:rsidR="003C767A" w:rsidRPr="00CA7A01" w:rsidTr="00B62DF8">
        <w:tc>
          <w:tcPr>
            <w:tcW w:w="8208" w:type="dxa"/>
          </w:tcPr>
          <w:p w:rsidR="003C767A" w:rsidRPr="00CA7A01" w:rsidRDefault="00623591" w:rsidP="00B62DF8">
            <w:pPr>
              <w:autoSpaceDE w:val="0"/>
              <w:autoSpaceDN w:val="0"/>
            </w:pPr>
            <w:r w:rsidRPr="003C767A">
              <w:rPr>
                <w:color w:val="111111"/>
                <w:szCs w:val="28"/>
                <w:shd w:val="clear" w:color="auto" w:fill="FFFFFF"/>
              </w:rPr>
              <w:lastRenderedPageBreak/>
              <w:t xml:space="preserve">6. Соблюдение принципа "утверждение-ссылка" (каждое утверждение должно быть подтверждено ссылкой) </w:t>
            </w:r>
          </w:p>
        </w:tc>
        <w:tc>
          <w:tcPr>
            <w:tcW w:w="1363" w:type="dxa"/>
          </w:tcPr>
          <w:p w:rsidR="003C767A" w:rsidRPr="00CA7A01" w:rsidRDefault="00623591" w:rsidP="00623591">
            <w:pPr>
              <w:autoSpaceDE w:val="0"/>
              <w:autoSpaceDN w:val="0"/>
              <w:jc w:val="center"/>
            </w:pPr>
            <w:r>
              <w:t>4</w:t>
            </w:r>
          </w:p>
        </w:tc>
      </w:tr>
      <w:tr w:rsidR="003C767A" w:rsidRPr="00CA7A01" w:rsidTr="00B62DF8">
        <w:tc>
          <w:tcPr>
            <w:tcW w:w="8208" w:type="dxa"/>
          </w:tcPr>
          <w:p w:rsidR="003C767A" w:rsidRPr="00CA7A01" w:rsidRDefault="00623591" w:rsidP="00B62DF8">
            <w:pPr>
              <w:autoSpaceDE w:val="0"/>
              <w:autoSpaceDN w:val="0"/>
            </w:pPr>
            <w:r w:rsidRPr="003C767A">
              <w:rPr>
                <w:color w:val="111111"/>
                <w:szCs w:val="28"/>
                <w:shd w:val="clear" w:color="auto" w:fill="FFFFFF"/>
              </w:rPr>
              <w:t xml:space="preserve">7. Качество иллюстративного материала (присутствие собственных рисунков, схем), модификация чужих рисунков (в частности, перевод подписей на русский язык). </w:t>
            </w:r>
          </w:p>
        </w:tc>
        <w:tc>
          <w:tcPr>
            <w:tcW w:w="1363" w:type="dxa"/>
          </w:tcPr>
          <w:p w:rsidR="003C767A" w:rsidRPr="00CA7A01" w:rsidRDefault="00623591" w:rsidP="00623591">
            <w:pPr>
              <w:autoSpaceDE w:val="0"/>
              <w:autoSpaceDN w:val="0"/>
              <w:jc w:val="center"/>
            </w:pPr>
            <w:r>
              <w:t>3</w:t>
            </w:r>
          </w:p>
        </w:tc>
      </w:tr>
      <w:tr w:rsidR="003C767A" w:rsidRPr="00CA7A01" w:rsidTr="00B62DF8">
        <w:tc>
          <w:tcPr>
            <w:tcW w:w="8208" w:type="dxa"/>
          </w:tcPr>
          <w:p w:rsidR="003C767A" w:rsidRPr="00CA7A01" w:rsidRDefault="00623591" w:rsidP="00B62DF8">
            <w:pPr>
              <w:autoSpaceDE w:val="0"/>
              <w:autoSpaceDN w:val="0"/>
            </w:pPr>
            <w:r w:rsidRPr="003C767A">
              <w:rPr>
                <w:color w:val="111111"/>
                <w:szCs w:val="28"/>
                <w:shd w:val="clear" w:color="auto" w:fill="FFFFFF"/>
              </w:rPr>
              <w:t>8. Оформление работы (аккуратность, графическое оформление</w:t>
            </w:r>
            <w:r>
              <w:rPr>
                <w:color w:val="111111"/>
                <w:szCs w:val="28"/>
                <w:shd w:val="clear" w:color="auto" w:fill="FFFFFF"/>
              </w:rPr>
              <w:t>)</w:t>
            </w:r>
          </w:p>
        </w:tc>
        <w:tc>
          <w:tcPr>
            <w:tcW w:w="1363" w:type="dxa"/>
          </w:tcPr>
          <w:p w:rsidR="003C767A" w:rsidRPr="00CA7A01" w:rsidRDefault="00623591" w:rsidP="00623591">
            <w:pPr>
              <w:autoSpaceDE w:val="0"/>
              <w:autoSpaceDN w:val="0"/>
              <w:jc w:val="center"/>
            </w:pPr>
            <w:r>
              <w:t>4</w:t>
            </w:r>
          </w:p>
        </w:tc>
      </w:tr>
      <w:tr w:rsidR="00623591" w:rsidRPr="00CA7A01" w:rsidTr="00B62DF8">
        <w:tc>
          <w:tcPr>
            <w:tcW w:w="8208" w:type="dxa"/>
          </w:tcPr>
          <w:p w:rsidR="00623591" w:rsidRPr="00CA7A01" w:rsidRDefault="00623591" w:rsidP="00623591">
            <w:pPr>
              <w:autoSpaceDE w:val="0"/>
              <w:autoSpaceDN w:val="0"/>
            </w:pPr>
            <w:r w:rsidRPr="003C767A">
              <w:rPr>
                <w:color w:val="111111"/>
                <w:szCs w:val="28"/>
                <w:shd w:val="clear" w:color="auto" w:fill="FFFFFF"/>
              </w:rPr>
              <w:t>9. Уровень владения русским языком</w:t>
            </w:r>
          </w:p>
        </w:tc>
        <w:tc>
          <w:tcPr>
            <w:tcW w:w="1363" w:type="dxa"/>
          </w:tcPr>
          <w:p w:rsidR="00623591" w:rsidRPr="00CA7A01" w:rsidRDefault="00623591" w:rsidP="00623591">
            <w:pPr>
              <w:autoSpaceDE w:val="0"/>
              <w:autoSpaceDN w:val="0"/>
              <w:jc w:val="center"/>
            </w:pPr>
            <w:r>
              <w:t>4</w:t>
            </w:r>
          </w:p>
        </w:tc>
      </w:tr>
      <w:tr w:rsidR="003C767A" w:rsidRPr="00CA7A01" w:rsidTr="00B62DF8">
        <w:tc>
          <w:tcPr>
            <w:tcW w:w="8208" w:type="dxa"/>
          </w:tcPr>
          <w:p w:rsidR="003C767A" w:rsidRPr="00CA7A01" w:rsidRDefault="003C767A" w:rsidP="00B62DF8">
            <w:pPr>
              <w:autoSpaceDE w:val="0"/>
              <w:autoSpaceDN w:val="0"/>
              <w:jc w:val="right"/>
            </w:pPr>
            <w:r w:rsidRPr="00CA7A01">
              <w:t>УСРЕДНЕННАЯ ОЦЕНКА</w:t>
            </w:r>
          </w:p>
        </w:tc>
        <w:tc>
          <w:tcPr>
            <w:tcW w:w="1363" w:type="dxa"/>
          </w:tcPr>
          <w:p w:rsidR="003C767A" w:rsidRPr="00CA7A01" w:rsidRDefault="00623591" w:rsidP="00623591">
            <w:pPr>
              <w:autoSpaceDE w:val="0"/>
              <w:autoSpaceDN w:val="0"/>
              <w:jc w:val="center"/>
            </w:pPr>
            <w:r>
              <w:t>3.9</w:t>
            </w:r>
          </w:p>
        </w:tc>
      </w:tr>
    </w:tbl>
    <w:p w:rsidR="00D85B18" w:rsidRPr="003C767A" w:rsidRDefault="00D85B18">
      <w:pPr>
        <w:rPr>
          <w:rFonts w:cs="Times New Roman"/>
          <w:szCs w:val="28"/>
        </w:rPr>
      </w:pPr>
    </w:p>
    <w:sectPr w:rsidR="00D85B18" w:rsidRPr="003C767A" w:rsidSect="00D85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C767A"/>
    <w:rsid w:val="003C767A"/>
    <w:rsid w:val="00623591"/>
    <w:rsid w:val="00863A1F"/>
    <w:rsid w:val="00940C38"/>
    <w:rsid w:val="00D85B18"/>
    <w:rsid w:val="00EE1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3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99"/>
    <w:rsid w:val="003C7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2018-05-30T07:46:00Z</dcterms:created>
  <dcterms:modified xsi:type="dcterms:W3CDTF">2018-05-30T08:03:00Z</dcterms:modified>
</cp:coreProperties>
</file>