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934" w:rsidRDefault="002F1934" w:rsidP="0072238B">
      <w:pPr>
        <w:spacing w:line="240" w:lineRule="auto"/>
        <w:ind w:firstLine="0"/>
        <w:jc w:val="center"/>
        <w:rPr>
          <w:szCs w:val="28"/>
        </w:rPr>
      </w:pPr>
      <w:bookmarkStart w:id="0" w:name="_GoBack"/>
      <w:bookmarkEnd w:id="0"/>
    </w:p>
    <w:p w:rsidR="002F1934" w:rsidRPr="007E01CF" w:rsidRDefault="002F1934" w:rsidP="0072238B">
      <w:pPr>
        <w:spacing w:line="240" w:lineRule="auto"/>
        <w:ind w:firstLine="0"/>
        <w:jc w:val="center"/>
        <w:rPr>
          <w:szCs w:val="28"/>
        </w:rPr>
      </w:pPr>
      <w:r w:rsidRPr="000E795B">
        <w:rPr>
          <w:szCs w:val="28"/>
        </w:rPr>
        <w:t>САНКТ-ПЕТЕРБУРГСКИЙ ГОСУДАРСТВЕННЫЙ УНИВЕРСИТЕТ</w:t>
      </w:r>
    </w:p>
    <w:p w:rsidR="002F1934" w:rsidRDefault="002F1934" w:rsidP="0072238B">
      <w:pPr>
        <w:ind w:left="-426" w:firstLine="0"/>
        <w:rPr>
          <w:szCs w:val="28"/>
        </w:rPr>
      </w:pPr>
    </w:p>
    <w:p w:rsidR="002F1934" w:rsidRPr="007E01CF" w:rsidRDefault="002F1934" w:rsidP="0072238B">
      <w:pPr>
        <w:ind w:firstLine="0"/>
        <w:jc w:val="center"/>
        <w:rPr>
          <w:b/>
          <w:szCs w:val="28"/>
        </w:rPr>
      </w:pPr>
      <w:proofErr w:type="spellStart"/>
      <w:r w:rsidRPr="007E01CF">
        <w:rPr>
          <w:b/>
          <w:szCs w:val="28"/>
        </w:rPr>
        <w:t>Чупринко</w:t>
      </w:r>
      <w:proofErr w:type="spellEnd"/>
      <w:r w:rsidRPr="007E01CF">
        <w:rPr>
          <w:b/>
          <w:szCs w:val="28"/>
        </w:rPr>
        <w:t xml:space="preserve"> Даниил Ильич</w:t>
      </w:r>
    </w:p>
    <w:p w:rsidR="002F1934" w:rsidRDefault="002F1934" w:rsidP="0072238B">
      <w:pPr>
        <w:ind w:left="-426" w:firstLine="142"/>
        <w:jc w:val="center"/>
        <w:rPr>
          <w:b/>
          <w:szCs w:val="28"/>
        </w:rPr>
      </w:pPr>
    </w:p>
    <w:p w:rsidR="002F1934" w:rsidRPr="007E01CF" w:rsidRDefault="002F1934" w:rsidP="0072238B">
      <w:pPr>
        <w:spacing w:line="240" w:lineRule="auto"/>
        <w:ind w:firstLine="0"/>
        <w:jc w:val="center"/>
        <w:rPr>
          <w:b/>
          <w:sz w:val="22"/>
          <w:szCs w:val="28"/>
        </w:rPr>
      </w:pPr>
    </w:p>
    <w:p w:rsidR="002F1934" w:rsidRDefault="002F1934" w:rsidP="0072238B">
      <w:pPr>
        <w:spacing w:line="240" w:lineRule="auto"/>
        <w:ind w:firstLine="0"/>
        <w:jc w:val="center"/>
        <w:rPr>
          <w:b/>
          <w:bCs/>
          <w:szCs w:val="32"/>
        </w:rPr>
      </w:pPr>
      <w:r w:rsidRPr="007E01CF">
        <w:rPr>
          <w:b/>
          <w:bCs/>
          <w:szCs w:val="32"/>
        </w:rPr>
        <w:t>Математическое моделирование влияния минерального состава стенок пор на эффект мембранной вызванной поляризации</w:t>
      </w:r>
    </w:p>
    <w:p w:rsidR="002F1934" w:rsidRPr="007E01CF" w:rsidRDefault="002F1934" w:rsidP="0072238B">
      <w:pPr>
        <w:spacing w:line="240" w:lineRule="auto"/>
        <w:ind w:firstLine="0"/>
        <w:jc w:val="center"/>
        <w:rPr>
          <w:b/>
          <w:bCs/>
          <w:szCs w:val="32"/>
        </w:rPr>
      </w:pPr>
    </w:p>
    <w:p w:rsidR="002F1934" w:rsidRPr="007E01CF" w:rsidRDefault="002F1934" w:rsidP="0072238B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Выпускная квалификационная работа бакалавра</w:t>
      </w:r>
    </w:p>
    <w:p w:rsidR="002F1934" w:rsidRDefault="002F1934" w:rsidP="0072238B">
      <w:pPr>
        <w:jc w:val="right"/>
        <w:rPr>
          <w:b/>
          <w:szCs w:val="28"/>
        </w:rPr>
      </w:pPr>
    </w:p>
    <w:p w:rsidR="002F1934" w:rsidRDefault="002F1934" w:rsidP="0072238B">
      <w:pPr>
        <w:jc w:val="right"/>
        <w:rPr>
          <w:b/>
          <w:szCs w:val="28"/>
        </w:rPr>
      </w:pPr>
    </w:p>
    <w:p w:rsidR="002F1934" w:rsidRDefault="002F1934" w:rsidP="0072238B">
      <w:pPr>
        <w:jc w:val="right"/>
        <w:rPr>
          <w:b/>
          <w:szCs w:val="28"/>
        </w:rPr>
      </w:pPr>
    </w:p>
    <w:p w:rsidR="002F1934" w:rsidRDefault="002F1934" w:rsidP="0072238B">
      <w:pPr>
        <w:ind w:firstLine="0"/>
        <w:rPr>
          <w:b/>
          <w:szCs w:val="28"/>
        </w:rPr>
      </w:pPr>
    </w:p>
    <w:p w:rsidR="002F1934" w:rsidRPr="007E01CF" w:rsidRDefault="002F1934" w:rsidP="0072238B">
      <w:pPr>
        <w:ind w:firstLine="0"/>
        <w:rPr>
          <w:b/>
          <w:szCs w:val="28"/>
        </w:rPr>
      </w:pPr>
    </w:p>
    <w:p w:rsidR="002F1934" w:rsidRPr="007E01CF" w:rsidRDefault="002F1934" w:rsidP="0072238B">
      <w:pPr>
        <w:tabs>
          <w:tab w:val="left" w:pos="567"/>
        </w:tabs>
        <w:spacing w:line="240" w:lineRule="auto"/>
        <w:jc w:val="right"/>
        <w:rPr>
          <w:szCs w:val="28"/>
        </w:rPr>
      </w:pPr>
      <w:r w:rsidRPr="007E01CF">
        <w:rPr>
          <w:szCs w:val="28"/>
        </w:rPr>
        <w:t>«К ЗАЩИТЕ»</w:t>
      </w:r>
    </w:p>
    <w:p w:rsidR="002F1934" w:rsidRPr="007E01CF" w:rsidRDefault="002F1934" w:rsidP="0072238B">
      <w:pPr>
        <w:tabs>
          <w:tab w:val="left" w:pos="567"/>
        </w:tabs>
        <w:spacing w:line="240" w:lineRule="auto"/>
        <w:jc w:val="right"/>
        <w:rPr>
          <w:szCs w:val="28"/>
        </w:rPr>
      </w:pPr>
      <w:r w:rsidRPr="007E01CF">
        <w:rPr>
          <w:szCs w:val="28"/>
        </w:rPr>
        <w:t>Научный руководитель:</w:t>
      </w:r>
    </w:p>
    <w:p w:rsidR="002F1934" w:rsidRPr="007E01CF" w:rsidRDefault="002F1934" w:rsidP="0072238B">
      <w:pPr>
        <w:tabs>
          <w:tab w:val="left" w:pos="567"/>
        </w:tabs>
        <w:spacing w:line="240" w:lineRule="auto"/>
        <w:jc w:val="right"/>
        <w:rPr>
          <w:szCs w:val="28"/>
        </w:rPr>
      </w:pPr>
      <w:r w:rsidRPr="007E01CF">
        <w:rPr>
          <w:szCs w:val="28"/>
        </w:rPr>
        <w:t>д.г.-</w:t>
      </w:r>
      <w:proofErr w:type="spellStart"/>
      <w:r w:rsidRPr="007E01CF">
        <w:rPr>
          <w:szCs w:val="28"/>
        </w:rPr>
        <w:t>м.н</w:t>
      </w:r>
      <w:proofErr w:type="spellEnd"/>
      <w:r w:rsidRPr="007E01CF">
        <w:rPr>
          <w:szCs w:val="28"/>
        </w:rPr>
        <w:t xml:space="preserve">., проф. </w:t>
      </w:r>
      <w:r>
        <w:rPr>
          <w:szCs w:val="28"/>
        </w:rPr>
        <w:t>К.В. Титов</w:t>
      </w:r>
      <w:r w:rsidRPr="007E01CF">
        <w:rPr>
          <w:szCs w:val="28"/>
        </w:rPr>
        <w:t xml:space="preserve"> </w:t>
      </w:r>
    </w:p>
    <w:p w:rsidR="002F1934" w:rsidRPr="007E01CF" w:rsidRDefault="002F1934" w:rsidP="0072238B">
      <w:pPr>
        <w:spacing w:line="240" w:lineRule="auto"/>
        <w:jc w:val="right"/>
      </w:pPr>
      <w:r w:rsidRPr="007E01CF">
        <w:t>_____________________</w:t>
      </w:r>
    </w:p>
    <w:p w:rsidR="002F1934" w:rsidRPr="007E01CF" w:rsidRDefault="002F1934" w:rsidP="0072238B">
      <w:pPr>
        <w:spacing w:line="240" w:lineRule="auto"/>
        <w:jc w:val="right"/>
      </w:pPr>
      <w:r w:rsidRPr="007E01CF">
        <w:t>«__</w:t>
      </w:r>
      <w:proofErr w:type="gramStart"/>
      <w:r w:rsidRPr="007E01CF">
        <w:t>_»_</w:t>
      </w:r>
      <w:proofErr w:type="gramEnd"/>
      <w:r w:rsidRPr="007E01CF">
        <w:t>____________2017</w:t>
      </w:r>
    </w:p>
    <w:p w:rsidR="002F1934" w:rsidRPr="007E01CF" w:rsidRDefault="002F1934" w:rsidP="0072238B">
      <w:pPr>
        <w:tabs>
          <w:tab w:val="left" w:pos="567"/>
        </w:tabs>
        <w:spacing w:line="240" w:lineRule="auto"/>
        <w:jc w:val="right"/>
        <w:rPr>
          <w:szCs w:val="28"/>
        </w:rPr>
      </w:pPr>
    </w:p>
    <w:p w:rsidR="002F1934" w:rsidRPr="007E01CF" w:rsidRDefault="002F1934" w:rsidP="0072238B">
      <w:pPr>
        <w:spacing w:line="240" w:lineRule="auto"/>
        <w:jc w:val="right"/>
        <w:rPr>
          <w:szCs w:val="28"/>
        </w:rPr>
      </w:pPr>
      <w:r w:rsidRPr="007E01CF">
        <w:rPr>
          <w:szCs w:val="28"/>
        </w:rPr>
        <w:t>Заведующий кафедрой:</w:t>
      </w:r>
    </w:p>
    <w:p w:rsidR="002F1934" w:rsidRPr="007E01CF" w:rsidRDefault="002F1934" w:rsidP="0072238B">
      <w:pPr>
        <w:spacing w:line="240" w:lineRule="auto"/>
        <w:jc w:val="right"/>
        <w:rPr>
          <w:szCs w:val="28"/>
        </w:rPr>
      </w:pPr>
      <w:r w:rsidRPr="007E01CF">
        <w:rPr>
          <w:szCs w:val="28"/>
        </w:rPr>
        <w:t>д.г.-</w:t>
      </w:r>
      <w:proofErr w:type="spellStart"/>
      <w:r w:rsidRPr="007E01CF">
        <w:rPr>
          <w:szCs w:val="28"/>
        </w:rPr>
        <w:t>м.н</w:t>
      </w:r>
      <w:proofErr w:type="spellEnd"/>
      <w:r w:rsidRPr="007E01CF">
        <w:rPr>
          <w:szCs w:val="28"/>
        </w:rPr>
        <w:t xml:space="preserve">., проф. </w:t>
      </w:r>
      <w:r>
        <w:rPr>
          <w:szCs w:val="28"/>
        </w:rPr>
        <w:t>К.В. Титов</w:t>
      </w:r>
    </w:p>
    <w:p w:rsidR="002F1934" w:rsidRPr="007E01CF" w:rsidRDefault="002F1934" w:rsidP="0072238B">
      <w:pPr>
        <w:spacing w:line="240" w:lineRule="auto"/>
        <w:jc w:val="right"/>
      </w:pPr>
      <w:r w:rsidRPr="007E01CF">
        <w:t>_____________________</w:t>
      </w:r>
    </w:p>
    <w:p w:rsidR="002F1934" w:rsidRPr="007E01CF" w:rsidRDefault="002F1934" w:rsidP="0072238B">
      <w:pPr>
        <w:spacing w:line="240" w:lineRule="auto"/>
        <w:jc w:val="right"/>
      </w:pPr>
      <w:r w:rsidRPr="007E01CF">
        <w:t>«__</w:t>
      </w:r>
      <w:proofErr w:type="gramStart"/>
      <w:r w:rsidRPr="007E01CF">
        <w:t>_»_</w:t>
      </w:r>
      <w:proofErr w:type="gramEnd"/>
      <w:r w:rsidRPr="007E01CF">
        <w:t>____________2017</w:t>
      </w:r>
    </w:p>
    <w:p w:rsidR="002F1934" w:rsidRPr="007E01CF" w:rsidRDefault="002F1934" w:rsidP="0072238B">
      <w:pPr>
        <w:jc w:val="right"/>
        <w:rPr>
          <w:szCs w:val="28"/>
        </w:rPr>
      </w:pPr>
    </w:p>
    <w:p w:rsidR="002F1934" w:rsidRPr="007E01CF" w:rsidRDefault="002F1934" w:rsidP="0072238B">
      <w:pPr>
        <w:jc w:val="right"/>
        <w:rPr>
          <w:szCs w:val="28"/>
        </w:rPr>
      </w:pPr>
    </w:p>
    <w:p w:rsidR="002F1934" w:rsidRPr="007E01CF" w:rsidRDefault="002F1934" w:rsidP="0072238B">
      <w:pPr>
        <w:jc w:val="right"/>
        <w:rPr>
          <w:szCs w:val="28"/>
        </w:rPr>
      </w:pPr>
    </w:p>
    <w:p w:rsidR="002F1934" w:rsidRPr="007E01CF" w:rsidRDefault="002F1934" w:rsidP="0072238B">
      <w:pPr>
        <w:ind w:firstLine="0"/>
        <w:rPr>
          <w:szCs w:val="28"/>
        </w:rPr>
      </w:pPr>
    </w:p>
    <w:p w:rsidR="002F1934" w:rsidRPr="007E01CF" w:rsidRDefault="002F1934" w:rsidP="0072238B">
      <w:pPr>
        <w:jc w:val="right"/>
        <w:rPr>
          <w:szCs w:val="28"/>
        </w:rPr>
      </w:pPr>
    </w:p>
    <w:p w:rsidR="002F1934" w:rsidRPr="007E01CF" w:rsidRDefault="002F1934" w:rsidP="0072238B">
      <w:pPr>
        <w:jc w:val="center"/>
        <w:rPr>
          <w:szCs w:val="28"/>
        </w:rPr>
      </w:pPr>
      <w:r w:rsidRPr="007E01CF">
        <w:rPr>
          <w:szCs w:val="28"/>
        </w:rPr>
        <w:t xml:space="preserve">Санкт-Петербург </w:t>
      </w:r>
    </w:p>
    <w:p w:rsidR="002F1934" w:rsidRPr="007E01CF" w:rsidRDefault="002F1934" w:rsidP="0072238B">
      <w:pPr>
        <w:jc w:val="center"/>
        <w:rPr>
          <w:szCs w:val="28"/>
        </w:rPr>
      </w:pPr>
      <w:r w:rsidRPr="007E01CF">
        <w:rPr>
          <w:szCs w:val="28"/>
        </w:rPr>
        <w:t xml:space="preserve"> 2017</w:t>
      </w:r>
    </w:p>
    <w:p w:rsidR="002F1934" w:rsidRDefault="002F1934" w:rsidP="0072238B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2F1934" w:rsidRPr="006B4995" w:rsidRDefault="002F1934" w:rsidP="0072238B">
      <w:pPr>
        <w:pStyle w:val="11"/>
      </w:pPr>
      <w:r w:rsidRPr="006B4995">
        <w:lastRenderedPageBreak/>
        <w:t>Содержание</w:t>
      </w:r>
    </w:p>
    <w:p w:rsidR="002F1934" w:rsidRPr="006B4995" w:rsidRDefault="002F1934" w:rsidP="0072238B"/>
    <w:p w:rsidR="00CC3A0E" w:rsidRDefault="002F1934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6B4995">
        <w:rPr>
          <w:b w:val="0"/>
          <w:szCs w:val="28"/>
        </w:rPr>
        <w:fldChar w:fldCharType="begin"/>
      </w:r>
      <w:r w:rsidRPr="006B4995">
        <w:rPr>
          <w:b w:val="0"/>
          <w:szCs w:val="28"/>
        </w:rPr>
        <w:instrText xml:space="preserve"> TOC \o "1-3" \u </w:instrText>
      </w:r>
      <w:r w:rsidRPr="006B4995">
        <w:rPr>
          <w:b w:val="0"/>
          <w:szCs w:val="28"/>
        </w:rPr>
        <w:fldChar w:fldCharType="separate"/>
      </w:r>
      <w:r w:rsidR="00CC3A0E">
        <w:rPr>
          <w:noProof/>
        </w:rPr>
        <w:t>Введение</w:t>
      </w:r>
      <w:r w:rsidR="00CC3A0E">
        <w:rPr>
          <w:noProof/>
        </w:rPr>
        <w:tab/>
      </w:r>
      <w:r w:rsidR="00CC3A0E">
        <w:rPr>
          <w:noProof/>
        </w:rPr>
        <w:fldChar w:fldCharType="begin"/>
      </w:r>
      <w:r w:rsidR="00CC3A0E">
        <w:rPr>
          <w:noProof/>
        </w:rPr>
        <w:instrText xml:space="preserve"> PAGEREF _Toc483654930 \h </w:instrText>
      </w:r>
      <w:r w:rsidR="00CC3A0E">
        <w:rPr>
          <w:noProof/>
        </w:rPr>
      </w:r>
      <w:r w:rsidR="00CC3A0E">
        <w:rPr>
          <w:noProof/>
        </w:rPr>
        <w:fldChar w:fldCharType="separate"/>
      </w:r>
      <w:r w:rsidR="00CC3A0E">
        <w:rPr>
          <w:noProof/>
        </w:rPr>
        <w:t>3</w:t>
      </w:r>
      <w:r w:rsidR="00CC3A0E">
        <w:rPr>
          <w:noProof/>
        </w:rPr>
        <w:fldChar w:fldCharType="end"/>
      </w:r>
    </w:p>
    <w:p w:rsidR="00CC3A0E" w:rsidRDefault="00CC3A0E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  <w:lang w:eastAsia="en-US"/>
        </w:rPr>
        <w:t>Глава 1. Теоретические основы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_Toc483654931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C3A0E" w:rsidRDefault="00CC3A0E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Глава 2. Какие минералы вызывают различие чисел переноса в порах?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_Toc483654932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CC3A0E" w:rsidRDefault="00CC3A0E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  <w:lang w:eastAsia="en-US"/>
        </w:rPr>
        <w:t>Глава 3. Результаты численного моделирования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_Toc483654933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CC3A0E" w:rsidRDefault="00CC3A0E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  <w:lang w:eastAsia="en-US"/>
        </w:rPr>
        <w:t>Глава 4. Нерешённые проблемы и перспективы дальнейших исследований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_Toc483654934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CC3A0E" w:rsidRDefault="00CC3A0E">
      <w:pPr>
        <w:pStyle w:val="21"/>
        <w:tabs>
          <w:tab w:val="right" w:leader="underscore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  <w:lang w:eastAsia="en-US"/>
        </w:rPr>
        <w:t>4.1. Распределение потенциала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_Toc483654935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CC3A0E" w:rsidRDefault="00CC3A0E">
      <w:pPr>
        <w:pStyle w:val="21"/>
        <w:tabs>
          <w:tab w:val="right" w:leader="underscore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  <w:lang w:eastAsia="en-US"/>
        </w:rPr>
        <w:t>4.2. Вклад плотного слоя в поляризационный эффект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_Toc483654936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CC3A0E" w:rsidRDefault="00CC3A0E">
      <w:pPr>
        <w:pStyle w:val="21"/>
        <w:tabs>
          <w:tab w:val="right" w:leader="underscore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  <w:lang w:eastAsia="en-US"/>
        </w:rPr>
        <w:t>4.3. Подвижность ионов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_Toc483654937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CC3A0E" w:rsidRDefault="00CC3A0E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  <w:lang w:eastAsia="en-US"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_Toc483654938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CC3A0E" w:rsidRDefault="00CC3A0E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  <w:lang w:eastAsia="en-US"/>
        </w:rPr>
        <w:t>Литература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_Toc483654939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2F1934" w:rsidRDefault="002F1934" w:rsidP="0072238B">
      <w:pPr>
        <w:ind w:firstLine="0"/>
        <w:rPr>
          <w:szCs w:val="28"/>
        </w:rPr>
      </w:pPr>
      <w:r w:rsidRPr="006B4995">
        <w:rPr>
          <w:b/>
          <w:szCs w:val="28"/>
        </w:rPr>
        <w:fldChar w:fldCharType="end"/>
      </w:r>
    </w:p>
    <w:p w:rsidR="002F1934" w:rsidRPr="003A2AB3" w:rsidRDefault="002F1934" w:rsidP="0072238B">
      <w:pPr>
        <w:jc w:val="center"/>
        <w:rPr>
          <w:szCs w:val="28"/>
        </w:rPr>
      </w:pPr>
      <w:r>
        <w:rPr>
          <w:szCs w:val="28"/>
        </w:rPr>
        <w:br w:type="page"/>
      </w:r>
    </w:p>
    <w:p w:rsidR="002F1934" w:rsidRDefault="002F1934" w:rsidP="0072238B">
      <w:pPr>
        <w:pStyle w:val="1"/>
      </w:pPr>
      <w:bookmarkStart w:id="1" w:name="_Toc482700002"/>
      <w:bookmarkStart w:id="2" w:name="_Toc483654930"/>
      <w:r>
        <w:lastRenderedPageBreak/>
        <w:t>Введение</w:t>
      </w:r>
      <w:bookmarkEnd w:id="1"/>
      <w:bookmarkEnd w:id="2"/>
    </w:p>
    <w:p w:rsidR="002F1934" w:rsidRDefault="002F1934" w:rsidP="0072238B">
      <w:r>
        <w:t>Причины возникновения вызванной поляризации (ВП) в осадочных породах связаны, в основном, с поляризацией слоя Штерна двойного электрического слоя (ДЭС), окружающего минеральные зёрна (</w:t>
      </w:r>
      <w:proofErr w:type="spellStart"/>
      <w:r>
        <w:rPr>
          <w:lang w:val="en-US"/>
        </w:rPr>
        <w:t>Revil</w:t>
      </w:r>
      <w:proofErr w:type="spellEnd"/>
      <w:r w:rsidRPr="00DF76D0">
        <w:t>, 2012)</w:t>
      </w:r>
      <w:r>
        <w:t>. Второй причиной возникновения вызванной поляризации является мембранная поляризация, возникающая вследствие различия подвижности ионов или радиусов двух соседних пор (</w:t>
      </w:r>
      <w:r w:rsidRPr="00417669">
        <w:rPr>
          <w:lang w:val="en-US"/>
        </w:rPr>
        <w:t>B</w:t>
      </w:r>
      <w:r w:rsidRPr="00DF76D0">
        <w:t>ü</w:t>
      </w:r>
      <w:proofErr w:type="spellStart"/>
      <w:r w:rsidRPr="00417669">
        <w:rPr>
          <w:lang w:val="en-US"/>
        </w:rPr>
        <w:t>cker</w:t>
      </w:r>
      <w:proofErr w:type="spellEnd"/>
      <w:r w:rsidRPr="00DF76D0">
        <w:t xml:space="preserve"> </w:t>
      </w:r>
      <w:r w:rsidRPr="00417669">
        <w:rPr>
          <w:lang w:val="en-US"/>
        </w:rPr>
        <w:t>and</w:t>
      </w:r>
      <w:r w:rsidRPr="00DF76D0">
        <w:t xml:space="preserve"> </w:t>
      </w:r>
      <w:r w:rsidRPr="00417669">
        <w:rPr>
          <w:lang w:val="en-US"/>
        </w:rPr>
        <w:t>H</w:t>
      </w:r>
      <w:r w:rsidRPr="00DF76D0">
        <w:t>ö</w:t>
      </w:r>
      <w:proofErr w:type="spellStart"/>
      <w:r w:rsidRPr="00417669">
        <w:rPr>
          <w:lang w:val="en-US"/>
        </w:rPr>
        <w:t>rdt</w:t>
      </w:r>
      <w:proofErr w:type="spellEnd"/>
      <w:r w:rsidRPr="00DF76D0">
        <w:t>, 2013</w:t>
      </w:r>
      <w:r w:rsidRPr="001B1827">
        <w:t xml:space="preserve">; </w:t>
      </w:r>
      <w:r>
        <w:rPr>
          <w:lang w:val="en-US"/>
        </w:rPr>
        <w:t>Marshall</w:t>
      </w:r>
      <w:r w:rsidRPr="00DF76D0">
        <w:t xml:space="preserve"> </w:t>
      </w:r>
      <w:r>
        <w:rPr>
          <w:lang w:val="en-US"/>
        </w:rPr>
        <w:t>and</w:t>
      </w:r>
      <w:r w:rsidRPr="00DF76D0">
        <w:t xml:space="preserve"> </w:t>
      </w:r>
      <w:r>
        <w:rPr>
          <w:lang w:val="en-US"/>
        </w:rPr>
        <w:t>Madden</w:t>
      </w:r>
      <w:r w:rsidRPr="00DF76D0">
        <w:t>, 1959</w:t>
      </w:r>
      <w:r w:rsidRPr="001B1827">
        <w:t>)</w:t>
      </w:r>
      <w:r>
        <w:t>. Также ВП может быть связана с поляризацией Максвелла-Вагнера, при которой электрическое поле проходит через материалы с различными электрическими свойствами</w:t>
      </w:r>
      <w:r w:rsidRPr="001613EB">
        <w:t xml:space="preserve"> </w:t>
      </w:r>
      <w:r w:rsidRPr="00DF76D0">
        <w:t>(</w:t>
      </w:r>
      <w:proofErr w:type="spellStart"/>
      <w:r>
        <w:rPr>
          <w:lang w:val="en-US"/>
        </w:rPr>
        <w:t>Tabbagh</w:t>
      </w:r>
      <w:proofErr w:type="spellEnd"/>
      <w:r w:rsidRPr="00DF76D0">
        <w:t xml:space="preserve"> </w:t>
      </w:r>
      <w:r w:rsidRPr="00DF76D0">
        <w:rPr>
          <w:i/>
          <w:lang w:val="en-US"/>
        </w:rPr>
        <w:t>et</w:t>
      </w:r>
      <w:r w:rsidRPr="00DF76D0">
        <w:rPr>
          <w:i/>
        </w:rPr>
        <w:t xml:space="preserve"> </w:t>
      </w:r>
      <w:r w:rsidRPr="00DF76D0">
        <w:rPr>
          <w:i/>
          <w:lang w:val="en-US"/>
        </w:rPr>
        <w:t>al</w:t>
      </w:r>
      <w:r w:rsidRPr="00DF76D0">
        <w:t>.,</w:t>
      </w:r>
      <w:r w:rsidRPr="001B1827">
        <w:t xml:space="preserve"> </w:t>
      </w:r>
      <w:r w:rsidRPr="00DF76D0">
        <w:t>2009)</w:t>
      </w:r>
      <w:r>
        <w:t xml:space="preserve">. </w:t>
      </w:r>
    </w:p>
    <w:p w:rsidR="002F1934" w:rsidRDefault="002F1934" w:rsidP="0072238B">
      <w:r>
        <w:t>В тех случаях, когда существует различие в подвижности</w:t>
      </w:r>
      <w:r w:rsidRPr="002A482E">
        <w:t xml:space="preserve"> </w:t>
      </w:r>
      <w:r>
        <w:t>и концентрации ионов, их числа переноса ионов в порах также отличаются. Отсюда следует, что в системе последовательно соединенных пор при приложении электрического поля будет возникать градиент концентрации (</w:t>
      </w:r>
      <w:proofErr w:type="spellStart"/>
      <w:r>
        <w:t>Фридрихсберг</w:t>
      </w:r>
      <w:proofErr w:type="spellEnd"/>
      <w:r>
        <w:t xml:space="preserve"> и Сидорова, 1961</w:t>
      </w:r>
      <w:r w:rsidRPr="002A482E">
        <w:t>;</w:t>
      </w:r>
      <w:r>
        <w:t xml:space="preserve"> Кормильцев, 1963</w:t>
      </w:r>
      <w:r w:rsidRPr="002A482E">
        <w:t>;</w:t>
      </w:r>
      <w:r>
        <w:t xml:space="preserve"> </w:t>
      </w:r>
      <w:proofErr w:type="spellStart"/>
      <w:r w:rsidRPr="00FD63C3">
        <w:t>Bücker</w:t>
      </w:r>
      <w:proofErr w:type="spellEnd"/>
      <w:r w:rsidRPr="00FD63C3">
        <w:t xml:space="preserve"> </w:t>
      </w:r>
      <w:proofErr w:type="spellStart"/>
      <w:r w:rsidRPr="00FD63C3">
        <w:t>and</w:t>
      </w:r>
      <w:proofErr w:type="spellEnd"/>
      <w:r w:rsidRPr="00FD63C3">
        <w:t xml:space="preserve"> </w:t>
      </w:r>
      <w:proofErr w:type="spellStart"/>
      <w:r w:rsidRPr="00FD63C3">
        <w:t>Hördt</w:t>
      </w:r>
      <w:proofErr w:type="spellEnd"/>
      <w:r w:rsidRPr="00FD63C3">
        <w:t>, 2013</w:t>
      </w:r>
      <w:r>
        <w:t>). Этот градиент приводит к возникновению вторичного электрического поля, которое создаёт фазовый сдвиг между электрическим током и напряжением.</w:t>
      </w:r>
    </w:p>
    <w:p w:rsidR="002F1934" w:rsidRDefault="002F1934" w:rsidP="0072238B">
      <w:r>
        <w:t>Такой же эффект может возникнуть, если стенки пор сложены из разных минералов, даже если радиусы двух пор и подвижности ионов - одинаковы. В настоящей работе выполнена теоретическая и численная оценка интенсивности мембранной поляризации и ее характерной частоты для системы из двух пор, стенки которых представлены минералами с разными поверхностными свойствами (межфазным потенциалом и коэффициентом разделения).</w:t>
      </w:r>
    </w:p>
    <w:p w:rsidR="002F1934" w:rsidRPr="003A2AB3" w:rsidRDefault="002F1934" w:rsidP="0072238B"/>
    <w:p w:rsidR="002F1934" w:rsidRDefault="002F1934" w:rsidP="0072238B">
      <w:pPr>
        <w:spacing w:after="200" w:line="276" w:lineRule="auto"/>
        <w:ind w:firstLine="0"/>
        <w:jc w:val="left"/>
        <w:rPr>
          <w:b/>
          <w:bCs/>
          <w:color w:val="000000"/>
          <w:szCs w:val="28"/>
          <w:lang w:eastAsia="en-US"/>
        </w:rPr>
      </w:pPr>
      <w:bookmarkStart w:id="3" w:name="_Toc482700003"/>
      <w:r>
        <w:rPr>
          <w:lang w:eastAsia="en-US"/>
        </w:rPr>
        <w:br w:type="page"/>
      </w:r>
    </w:p>
    <w:p w:rsidR="002F1934" w:rsidRPr="002F1934" w:rsidRDefault="002F1934" w:rsidP="0072238B">
      <w:pPr>
        <w:pStyle w:val="1"/>
        <w:rPr>
          <w:lang w:eastAsia="en-US"/>
        </w:rPr>
      </w:pPr>
      <w:bookmarkStart w:id="4" w:name="_Toc483654931"/>
      <w:r>
        <w:rPr>
          <w:lang w:eastAsia="en-US"/>
        </w:rPr>
        <w:lastRenderedPageBreak/>
        <w:t xml:space="preserve">Глава 1. </w:t>
      </w:r>
      <w:bookmarkEnd w:id="3"/>
      <w:r>
        <w:rPr>
          <w:lang w:eastAsia="en-US"/>
        </w:rPr>
        <w:t>Теоретические основы</w:t>
      </w:r>
      <w:bookmarkEnd w:id="4"/>
    </w:p>
    <w:p w:rsidR="002F1934" w:rsidRDefault="002F1934" w:rsidP="0072238B">
      <w:r>
        <w:t xml:space="preserve">Впервые, теория возникновения мембранной поляризации была сформулирована </w:t>
      </w:r>
      <w:r w:rsidRPr="00201B36">
        <w:t xml:space="preserve">Маршаллом и </w:t>
      </w:r>
      <w:proofErr w:type="spellStart"/>
      <w:r w:rsidRPr="00201B36">
        <w:t>Мадденом</w:t>
      </w:r>
      <w:proofErr w:type="spellEnd"/>
      <w:r w:rsidRPr="00201B36">
        <w:t xml:space="preserve"> в 1959 году</w:t>
      </w:r>
      <w:r>
        <w:t xml:space="preserve"> (</w:t>
      </w:r>
      <w:r>
        <w:rPr>
          <w:lang w:val="en-US"/>
        </w:rPr>
        <w:t>Marshall</w:t>
      </w:r>
      <w:r w:rsidRPr="00DF76D0">
        <w:t xml:space="preserve"> </w:t>
      </w:r>
      <w:r>
        <w:rPr>
          <w:lang w:val="en-US"/>
        </w:rPr>
        <w:t>and</w:t>
      </w:r>
      <w:r w:rsidRPr="00DF76D0">
        <w:t xml:space="preserve"> </w:t>
      </w:r>
      <w:r>
        <w:rPr>
          <w:lang w:val="en-US"/>
        </w:rPr>
        <w:t>Madden</w:t>
      </w:r>
      <w:r w:rsidRPr="00DF76D0">
        <w:t>, 1959</w:t>
      </w:r>
      <w:r>
        <w:t>)</w:t>
      </w:r>
      <w:r w:rsidRPr="00201B36">
        <w:t>.</w:t>
      </w:r>
      <w:r>
        <w:t xml:space="preserve"> В соответствии с их теорией, мембранная поляризация возникает благодаря градиенту концентрации ионов, который, в свою очередь, возникает под действием внешнего электрического поля, действующего вдоль пор с разными значениями подвижности ионов. </w:t>
      </w:r>
      <w:proofErr w:type="spellStart"/>
      <w:r w:rsidRPr="00201B36">
        <w:t>Фридрихсберг</w:t>
      </w:r>
      <w:proofErr w:type="spellEnd"/>
      <w:r w:rsidRPr="00201B36">
        <w:t xml:space="preserve"> и Сидорова </w:t>
      </w:r>
      <w:r w:rsidRPr="00DF76D0">
        <w:t>(</w:t>
      </w:r>
      <w:proofErr w:type="spellStart"/>
      <w:r>
        <w:t>Фридрихсберг</w:t>
      </w:r>
      <w:proofErr w:type="spellEnd"/>
      <w:r>
        <w:t xml:space="preserve"> и Сидорова, 1961)</w:t>
      </w:r>
      <w:r w:rsidRPr="00201B36">
        <w:t xml:space="preserve"> и Кормильцев</w:t>
      </w:r>
      <w:r>
        <w:t xml:space="preserve"> (Кормильцев, 1963)</w:t>
      </w:r>
      <w:r w:rsidRPr="00201B36">
        <w:t xml:space="preserve"> </w:t>
      </w:r>
      <w:r>
        <w:t>объясняли существование мембранной вызванной поляризации, основываясь на различии концентраций катионов и анионов в широкой и узкой порах.</w:t>
      </w:r>
    </w:p>
    <w:p w:rsidR="002F1934" w:rsidRDefault="002F1934" w:rsidP="0072238B">
      <w:proofErr w:type="spellStart"/>
      <w:r w:rsidRPr="00201B36">
        <w:t>Бюкер</w:t>
      </w:r>
      <w:proofErr w:type="spellEnd"/>
      <w:r w:rsidRPr="00201B36">
        <w:t xml:space="preserve"> и </w:t>
      </w:r>
      <w:proofErr w:type="spellStart"/>
      <w:r w:rsidRPr="00201B36">
        <w:t>Хёрдт</w:t>
      </w:r>
      <w:proofErr w:type="spellEnd"/>
      <w:r w:rsidRPr="00DF76D0">
        <w:t xml:space="preserve"> (</w:t>
      </w:r>
      <w:r w:rsidRPr="00417669">
        <w:rPr>
          <w:lang w:val="en-US"/>
        </w:rPr>
        <w:t>B</w:t>
      </w:r>
      <w:r w:rsidRPr="00DF76D0">
        <w:t>ü</w:t>
      </w:r>
      <w:proofErr w:type="spellStart"/>
      <w:r w:rsidRPr="00417669">
        <w:rPr>
          <w:lang w:val="en-US"/>
        </w:rPr>
        <w:t>cker</w:t>
      </w:r>
      <w:proofErr w:type="spellEnd"/>
      <w:r w:rsidRPr="00DF76D0">
        <w:t xml:space="preserve"> </w:t>
      </w:r>
      <w:r w:rsidRPr="00417669">
        <w:rPr>
          <w:lang w:val="en-US"/>
        </w:rPr>
        <w:t>and</w:t>
      </w:r>
      <w:r w:rsidRPr="00DF76D0">
        <w:t xml:space="preserve"> </w:t>
      </w:r>
      <w:r w:rsidRPr="00417669">
        <w:rPr>
          <w:lang w:val="en-US"/>
        </w:rPr>
        <w:t>H</w:t>
      </w:r>
      <w:r w:rsidRPr="00DF76D0">
        <w:t>ö</w:t>
      </w:r>
      <w:proofErr w:type="spellStart"/>
      <w:r w:rsidRPr="00417669">
        <w:rPr>
          <w:lang w:val="en-US"/>
        </w:rPr>
        <w:t>rdt</w:t>
      </w:r>
      <w:proofErr w:type="spellEnd"/>
      <w:r w:rsidRPr="00DF76D0">
        <w:t>, 2013)</w:t>
      </w:r>
      <w:r>
        <w:t xml:space="preserve"> модифицировали</w:t>
      </w:r>
      <w:r w:rsidRPr="0025223E">
        <w:t xml:space="preserve"> </w:t>
      </w:r>
      <w:r>
        <w:t xml:space="preserve">теорию Маршалла и </w:t>
      </w:r>
      <w:proofErr w:type="spellStart"/>
      <w:r>
        <w:t>Маддена</w:t>
      </w:r>
      <w:proofErr w:type="spellEnd"/>
      <w:r w:rsidRPr="00BC183B">
        <w:t xml:space="preserve"> </w:t>
      </w:r>
      <w:r>
        <w:t>и включили в неё химические (</w:t>
      </w:r>
      <w:proofErr w:type="spellStart"/>
      <w:r>
        <w:t>дзета</w:t>
      </w:r>
      <w:proofErr w:type="spellEnd"/>
      <w:r>
        <w:t>-потенциал и коэффициент разделения) и текстурные (радиусы пор и их длины) параметры. Их теория основана на предположении о том, что концентрации ионов в системе цилиндрических пор (</w:t>
      </w:r>
      <w:r w:rsidRPr="00880CA1">
        <w:rPr>
          <w:position w:val="-12"/>
          <w:sz w:val="18"/>
          <w:szCs w:val="18"/>
          <w:lang w:val="en-US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.75pt" o:ole="">
            <v:imagedata r:id="rId8" o:title=""/>
          </v:shape>
          <o:OLEObject Type="Embed" ProgID="Equation.3" ShapeID="_x0000_i1025" DrawAspect="Content" ObjectID="_1557397446" r:id="rId9"/>
        </w:object>
      </w:r>
      <w:r w:rsidRPr="00CB3D53">
        <w:t xml:space="preserve"> </w:t>
      </w:r>
      <w:r>
        <w:t xml:space="preserve">и </w:t>
      </w:r>
      <w:r w:rsidRPr="00880CA1">
        <w:rPr>
          <w:position w:val="-10"/>
          <w:sz w:val="18"/>
          <w:szCs w:val="18"/>
          <w:lang w:val="en-US"/>
        </w:rPr>
        <w:object w:dxaOrig="220" w:dyaOrig="279">
          <v:shape id="_x0000_i1026" type="#_x0000_t75" style="width:15pt;height:18pt" o:ole="">
            <v:imagedata r:id="rId10" o:title=""/>
          </v:shape>
          <o:OLEObject Type="Embed" ProgID="Equation.3" ShapeID="_x0000_i1026" DrawAspect="Content" ObjectID="_1557397447" r:id="rId11"/>
        </w:object>
      </w:r>
      <w:r w:rsidRPr="00CB3D53">
        <w:t xml:space="preserve">) </w:t>
      </w:r>
      <w:r>
        <w:t>в перпендикулярном и продольном направлении к оси поры независимы:</w:t>
      </w:r>
      <w:r w:rsidRPr="00CA6778">
        <w:t xml:space="preserve"> </w:t>
      </w:r>
    </w:p>
    <w:p w:rsidR="002F1934" w:rsidRDefault="002F1934" w:rsidP="0072238B">
      <w:r w:rsidRPr="00612317">
        <w:rPr>
          <w:position w:val="-12"/>
          <w:sz w:val="14"/>
          <w:szCs w:val="16"/>
          <w:lang w:val="en-US"/>
        </w:rPr>
        <w:object w:dxaOrig="1939" w:dyaOrig="300">
          <v:shape id="_x0000_i1027" type="#_x0000_t75" style="width:108.75pt;height:17.25pt" o:ole="">
            <v:imagedata r:id="rId12" o:title=""/>
          </v:shape>
          <o:OLEObject Type="Embed" ProgID="Equation.3" ShapeID="_x0000_i1027" DrawAspect="Content" ObjectID="_1557397448" r:id="rId13"/>
        </w:object>
      </w:r>
      <w:r w:rsidRPr="00007403">
        <w:rPr>
          <w:sz w:val="20"/>
        </w:rPr>
        <w:t xml:space="preserve">, </w:t>
      </w:r>
      <w:r w:rsidRPr="00007403">
        <w:rPr>
          <w:sz w:val="20"/>
        </w:rPr>
        <w:tab/>
      </w:r>
      <w:r>
        <w:tab/>
        <w:t>(1)</w:t>
      </w:r>
    </w:p>
    <w:p w:rsidR="002F1934" w:rsidRDefault="002F1934" w:rsidP="0072238B">
      <w:pPr>
        <w:ind w:firstLine="0"/>
      </w:pPr>
      <w:r>
        <w:t xml:space="preserve">где </w:t>
      </w:r>
      <w:r w:rsidRPr="00FC4B17">
        <w:rPr>
          <w:position w:val="-12"/>
        </w:rPr>
        <w:object w:dxaOrig="580" w:dyaOrig="360">
          <v:shape id="_x0000_i1028" type="#_x0000_t75" style="width:29.25pt;height:18pt" o:ole="">
            <v:imagedata r:id="rId14" o:title=""/>
          </v:shape>
          <o:OLEObject Type="Embed" ProgID="Equation.3" ShapeID="_x0000_i1028" DrawAspect="Content" ObjectID="_1557397449" r:id="rId15"/>
        </w:object>
      </w:r>
      <w:r>
        <w:t xml:space="preserve"> это концентрация ионов вдали от стенок пор (м</w:t>
      </w:r>
      <w:r w:rsidRPr="00FB0A69">
        <w:t>оль·м</w:t>
      </w:r>
      <w:r w:rsidRPr="00FB0A69">
        <w:rPr>
          <w:vertAlign w:val="superscript"/>
        </w:rPr>
        <w:t>-</w:t>
      </w:r>
      <w:r>
        <w:rPr>
          <w:vertAlign w:val="superscript"/>
        </w:rPr>
        <w:t>3</w:t>
      </w:r>
      <w:r>
        <w:t xml:space="preserve">), </w:t>
      </w:r>
      <w:r w:rsidRPr="00FC4B17">
        <w:rPr>
          <w:position w:val="-14"/>
        </w:rPr>
        <w:object w:dxaOrig="700" w:dyaOrig="380">
          <v:shape id="_x0000_i1029" type="#_x0000_t75" style="width:35.25pt;height:18.75pt" o:ole="">
            <v:imagedata r:id="rId16" o:title=""/>
          </v:shape>
          <o:OLEObject Type="Embed" ProgID="Equation.3" ShapeID="_x0000_i1029" DrawAspect="Content" ObjectID="_1557397450" r:id="rId17"/>
        </w:object>
      </w:r>
      <w:r>
        <w:t xml:space="preserve">- безразмерная концентрация в поперечном сечении, индексы </w:t>
      </w:r>
      <w:r w:rsidRPr="000E4953">
        <w:rPr>
          <w:position w:val="-8"/>
          <w:sz w:val="18"/>
          <w:szCs w:val="18"/>
          <w:lang w:val="en-US"/>
        </w:rPr>
        <w:object w:dxaOrig="200" w:dyaOrig="220">
          <v:shape id="_x0000_i1030" type="#_x0000_t75" style="width:14.25pt;height:15pt" o:ole="">
            <v:imagedata r:id="rId18" o:title=""/>
          </v:shape>
          <o:OLEObject Type="Embed" ProgID="Equation.3" ShapeID="_x0000_i1030" DrawAspect="Content" ObjectID="_1557397451" r:id="rId19"/>
        </w:object>
      </w:r>
      <w:r w:rsidRPr="00122EC4">
        <w:rPr>
          <w:sz w:val="18"/>
          <w:szCs w:val="18"/>
        </w:rPr>
        <w:t xml:space="preserve"> </w:t>
      </w:r>
      <w:r w:rsidRPr="00007403">
        <w:t xml:space="preserve">и </w:t>
      </w:r>
      <w:r w:rsidRPr="000E4953">
        <w:rPr>
          <w:position w:val="-6"/>
          <w:sz w:val="18"/>
          <w:szCs w:val="18"/>
          <w:lang w:val="en-US"/>
        </w:rPr>
        <w:object w:dxaOrig="180" w:dyaOrig="200">
          <v:shape id="_x0000_i1031" type="#_x0000_t75" style="width:11.25pt;height:14.25pt" o:ole="">
            <v:imagedata r:id="rId20" o:title=""/>
          </v:shape>
          <o:OLEObject Type="Embed" ProgID="Equation.3" ShapeID="_x0000_i1031" DrawAspect="Content" ObjectID="_1557397452" r:id="rId21"/>
        </w:object>
      </w:r>
      <w:r>
        <w:rPr>
          <w:sz w:val="18"/>
          <w:szCs w:val="18"/>
        </w:rPr>
        <w:t xml:space="preserve"> </w:t>
      </w:r>
      <w:r w:rsidRPr="006E0C24">
        <w:t>относятся к катионам и анионам</w:t>
      </w:r>
      <w:r>
        <w:t xml:space="preserve">, </w:t>
      </w:r>
      <w:r w:rsidRPr="006E0C24">
        <w:t>соответственно.</w:t>
      </w:r>
      <w:r>
        <w:t xml:space="preserve"> Плотность тока, усреднённая по поре, складывается из плотности тока диффузии и проводимости:</w:t>
      </w:r>
    </w:p>
    <w:p w:rsidR="002F1934" w:rsidRDefault="002F1934" w:rsidP="0072238B">
      <w:r w:rsidRPr="00FB1DE2">
        <w:rPr>
          <w:position w:val="-20"/>
          <w:sz w:val="18"/>
          <w:szCs w:val="18"/>
          <w:lang w:val="en-US"/>
        </w:rPr>
        <w:object w:dxaOrig="3600" w:dyaOrig="520">
          <v:shape id="_x0000_i1032" type="#_x0000_t75" style="width:270pt;height:39pt" o:ole="">
            <v:imagedata r:id="rId22" o:title=""/>
          </v:shape>
          <o:OLEObject Type="Embed" ProgID="Equation.3" ShapeID="_x0000_i1032" DrawAspect="Content" ObjectID="_1557397453" r:id="rId23"/>
        </w:objec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04549">
        <w:t>(2)</w:t>
      </w:r>
    </w:p>
    <w:p w:rsidR="002F1934" w:rsidRDefault="002F1934" w:rsidP="00C35551">
      <w:pPr>
        <w:ind w:firstLine="0"/>
      </w:pPr>
      <w:r>
        <w:t>где</w:t>
      </w:r>
      <w:r w:rsidRPr="00E04549">
        <w:t xml:space="preserve"> </w:t>
      </w:r>
      <w:r w:rsidRPr="00E04549">
        <w:rPr>
          <w:position w:val="-4"/>
          <w:sz w:val="18"/>
          <w:szCs w:val="18"/>
          <w:lang w:val="en-US"/>
        </w:rPr>
        <w:object w:dxaOrig="440" w:dyaOrig="260">
          <v:shape id="_x0000_i1033" type="#_x0000_t75" style="width:21.75pt;height:12.75pt" o:ole="">
            <v:imagedata r:id="rId24" o:title=""/>
          </v:shape>
          <o:OLEObject Type="Embed" ProgID="Equation.3" ShapeID="_x0000_i1033" DrawAspect="Content" ObjectID="_1557397454" r:id="rId25"/>
        </w:object>
      </w:r>
      <w:r w:rsidRPr="00E04549">
        <w:rPr>
          <w:sz w:val="18"/>
          <w:szCs w:val="18"/>
        </w:rPr>
        <w:t xml:space="preserve"> </w:t>
      </w:r>
      <w:r w:rsidRPr="00122EC4">
        <w:rPr>
          <w:i/>
        </w:rPr>
        <w:t>96485</w:t>
      </w:r>
      <w:r w:rsidRPr="00E04549">
        <w:t xml:space="preserve"> </w:t>
      </w:r>
      <w:r>
        <w:t>Кл</w:t>
      </w:r>
      <w:r w:rsidRPr="00FB0A69">
        <w:t>·</w:t>
      </w:r>
      <w:r>
        <w:t>моль</w:t>
      </w:r>
      <w:r w:rsidRPr="00E04549">
        <w:rPr>
          <w:vertAlign w:val="superscript"/>
        </w:rPr>
        <w:t>-1</w:t>
      </w:r>
      <w:r>
        <w:t xml:space="preserve"> – постоянная Фарадея, </w:t>
      </w:r>
      <w:r w:rsidRPr="00122EC4">
        <w:rPr>
          <w:position w:val="-6"/>
          <w:sz w:val="18"/>
          <w:szCs w:val="18"/>
          <w:lang w:val="en-US"/>
        </w:rPr>
        <w:object w:dxaOrig="360" w:dyaOrig="220">
          <v:shape id="_x0000_i1034" type="#_x0000_t75" style="width:21pt;height:13.5pt" o:ole="">
            <v:imagedata r:id="rId26" o:title=""/>
          </v:shape>
          <o:OLEObject Type="Embed" ProgID="Equation.3" ShapeID="_x0000_i1034" DrawAspect="Content" ObjectID="_1557397455" r:id="rId27"/>
        </w:object>
      </w:r>
      <w:r w:rsidRPr="00122EC4">
        <w:rPr>
          <w:i/>
        </w:rPr>
        <w:t>1,602</w:t>
      </w:r>
      <w:r>
        <w:rPr>
          <w:i/>
        </w:rPr>
        <w:t>·</w:t>
      </w:r>
      <w:r w:rsidRPr="00122EC4">
        <w:rPr>
          <w:i/>
        </w:rPr>
        <w:t>10</w:t>
      </w:r>
      <w:r w:rsidRPr="00122EC4">
        <w:rPr>
          <w:i/>
          <w:vertAlign w:val="superscript"/>
        </w:rPr>
        <w:t>-</w:t>
      </w:r>
      <w:proofErr w:type="gramStart"/>
      <w:r w:rsidRPr="00122EC4">
        <w:rPr>
          <w:i/>
          <w:vertAlign w:val="superscript"/>
        </w:rPr>
        <w:t>19</w:t>
      </w:r>
      <w:r w:rsidRPr="00E04549">
        <w:t xml:space="preserve">  Кл</w:t>
      </w:r>
      <w:proofErr w:type="gramEnd"/>
      <w:r w:rsidRPr="00E04549">
        <w:t xml:space="preserve"> – элементарный заряд,</w:t>
      </w:r>
      <w:r>
        <w:rPr>
          <w:sz w:val="18"/>
          <w:szCs w:val="18"/>
        </w:rPr>
        <w:t xml:space="preserve"> </w:t>
      </w:r>
      <w:r w:rsidRPr="00880CA1">
        <w:rPr>
          <w:position w:val="-24"/>
          <w:sz w:val="18"/>
          <w:szCs w:val="18"/>
          <w:lang w:val="en-US"/>
        </w:rPr>
        <w:object w:dxaOrig="1020" w:dyaOrig="560">
          <v:shape id="_x0000_i1035" type="#_x0000_t75" style="width:57.75pt;height:32.25pt" o:ole="">
            <v:imagedata r:id="rId28" o:title=""/>
          </v:shape>
          <o:OLEObject Type="Embed" ProgID="Equation.3" ShapeID="_x0000_i1035" DrawAspect="Content" ObjectID="_1557397456" r:id="rId29"/>
        </w:object>
      </w:r>
      <w:r w:rsidRPr="00E04549">
        <w:t>-</w:t>
      </w:r>
      <w:r>
        <w:rPr>
          <w:sz w:val="18"/>
          <w:szCs w:val="18"/>
        </w:rPr>
        <w:t xml:space="preserve"> </w:t>
      </w:r>
      <w:r w:rsidRPr="00E04549">
        <w:t>подвижность ионов в м</w:t>
      </w:r>
      <w:r w:rsidRPr="00E04549">
        <w:rPr>
          <w:vertAlign w:val="superscript"/>
        </w:rPr>
        <w:t>2</w:t>
      </w:r>
      <w:r w:rsidRPr="00E04549">
        <w:t>·(</w:t>
      </w:r>
      <w:proofErr w:type="spellStart"/>
      <w:r w:rsidRPr="00E04549">
        <w:t>В·с</w:t>
      </w:r>
      <w:proofErr w:type="spellEnd"/>
      <w:r w:rsidRPr="00E04549">
        <w:t>)</w:t>
      </w:r>
      <w:r w:rsidRPr="00E04549">
        <w:rPr>
          <w:vertAlign w:val="superscript"/>
        </w:rPr>
        <w:t>-1</w:t>
      </w:r>
      <w:r w:rsidRPr="00E04549">
        <w:t>,</w:t>
      </w:r>
      <w:r>
        <w:t xml:space="preserve"> </w:t>
      </w:r>
      <w:r w:rsidRPr="00880CA1">
        <w:rPr>
          <w:position w:val="-12"/>
          <w:sz w:val="18"/>
          <w:szCs w:val="18"/>
        </w:rPr>
        <w:object w:dxaOrig="400" w:dyaOrig="300">
          <v:shape id="_x0000_i1036" type="#_x0000_t75" style="width:25.5pt;height:18.75pt" o:ole="">
            <v:imagedata r:id="rId30" o:title=""/>
          </v:shape>
          <o:OLEObject Type="Embed" ProgID="Equation.3" ShapeID="_x0000_i1036" DrawAspect="Content" ObjectID="_1557397457" r:id="rId31"/>
        </w:object>
      </w:r>
      <w:r>
        <w:rPr>
          <w:sz w:val="18"/>
          <w:szCs w:val="18"/>
        </w:rPr>
        <w:t xml:space="preserve"> </w:t>
      </w:r>
      <w:r w:rsidRPr="00B57D58">
        <w:t>- коэффициент диффузии ионов в м</w:t>
      </w:r>
      <w:r w:rsidRPr="00B57D58">
        <w:rPr>
          <w:vertAlign w:val="superscript"/>
        </w:rPr>
        <w:t>2</w:t>
      </w:r>
      <w:r w:rsidRPr="00B57D58">
        <w:t>·с</w:t>
      </w:r>
      <w:r w:rsidRPr="00B57D58">
        <w:rPr>
          <w:vertAlign w:val="superscript"/>
        </w:rPr>
        <w:t>-1</w:t>
      </w:r>
      <w:r>
        <w:t xml:space="preserve">, </w:t>
      </w:r>
      <w:r w:rsidRPr="00C60791">
        <w:rPr>
          <w:position w:val="-10"/>
          <w:sz w:val="18"/>
          <w:szCs w:val="18"/>
          <w:lang w:val="en-US"/>
        </w:rPr>
        <w:object w:dxaOrig="260" w:dyaOrig="279">
          <v:shape id="_x0000_i1037" type="#_x0000_t75" style="width:16.5pt;height:17.25pt" o:ole="">
            <v:imagedata r:id="rId32" o:title=""/>
          </v:shape>
          <o:OLEObject Type="Embed" ProgID="Equation.3" ShapeID="_x0000_i1037" DrawAspect="Content" ObjectID="_1557397458" r:id="rId33"/>
        </w:object>
      </w:r>
      <w:r w:rsidRPr="00B57D58">
        <w:t>=</w:t>
      </w:r>
      <w:r w:rsidRPr="00122EC4">
        <w:rPr>
          <w:i/>
        </w:rPr>
        <w:t>1,38·10</w:t>
      </w:r>
      <w:r w:rsidRPr="00122EC4">
        <w:rPr>
          <w:i/>
          <w:vertAlign w:val="superscript"/>
        </w:rPr>
        <w:t>-23</w:t>
      </w:r>
      <w:r>
        <w:t xml:space="preserve"> Дж</w:t>
      </w:r>
      <w:r w:rsidRPr="00B57D58">
        <w:t>·</w:t>
      </w:r>
      <w:r>
        <w:t>К</w:t>
      </w:r>
      <w:r w:rsidRPr="00391FB1">
        <w:rPr>
          <w:vertAlign w:val="superscript"/>
        </w:rPr>
        <w:t>-1</w:t>
      </w:r>
      <w:r>
        <w:t xml:space="preserve">, </w:t>
      </w:r>
      <w:r w:rsidRPr="00C60791">
        <w:rPr>
          <w:position w:val="-4"/>
          <w:sz w:val="18"/>
          <w:szCs w:val="18"/>
          <w:lang w:val="en-US"/>
        </w:rPr>
        <w:object w:dxaOrig="200" w:dyaOrig="220">
          <v:shape id="_x0000_i1038" type="#_x0000_t75" style="width:17.25pt;height:17.25pt" o:ole="">
            <v:imagedata r:id="rId34" o:title=""/>
          </v:shape>
          <o:OLEObject Type="Embed" ProgID="Equation.3" ShapeID="_x0000_i1038" DrawAspect="Content" ObjectID="_1557397459" r:id="rId35"/>
        </w:object>
      </w:r>
      <w:r>
        <w:rPr>
          <w:sz w:val="18"/>
          <w:szCs w:val="18"/>
        </w:rPr>
        <w:t xml:space="preserve"> </w:t>
      </w:r>
      <w:r w:rsidRPr="00391FB1">
        <w:t>- электрическое поле в В·м</w:t>
      </w:r>
      <w:r w:rsidRPr="00391FB1">
        <w:rPr>
          <w:vertAlign w:val="superscript"/>
        </w:rPr>
        <w:t>-1</w:t>
      </w:r>
      <w:r w:rsidRPr="00391FB1">
        <w:t xml:space="preserve">, и </w:t>
      </w:r>
    </w:p>
    <w:p w:rsidR="002F1934" w:rsidRDefault="002F1934" w:rsidP="0072238B">
      <w:r w:rsidRPr="00880CA1">
        <w:rPr>
          <w:position w:val="-30"/>
          <w:sz w:val="18"/>
          <w:szCs w:val="18"/>
          <w:lang w:val="en-US"/>
        </w:rPr>
        <w:object w:dxaOrig="1740" w:dyaOrig="700">
          <v:shape id="_x0000_i1039" type="#_x0000_t75" style="width:118.5pt;height:48.75pt" o:ole="">
            <v:imagedata r:id="rId36" o:title=""/>
          </v:shape>
          <o:OLEObject Type="Embed" ProgID="Equation.3" ShapeID="_x0000_i1039" DrawAspect="Content" ObjectID="_1557397460" r:id="rId37"/>
        </w:objec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C75D9">
        <w:t>(3)</w:t>
      </w:r>
    </w:p>
    <w:p w:rsidR="002F1934" w:rsidRPr="00133A19" w:rsidRDefault="002F1934" w:rsidP="0072238B">
      <w:pPr>
        <w:ind w:firstLine="0"/>
      </w:pPr>
      <w:r>
        <w:t xml:space="preserve">безразмерная концентрация ионов, осреднённая по поре с радиусом </w:t>
      </w:r>
      <w:r w:rsidRPr="00C60791">
        <w:rPr>
          <w:position w:val="-4"/>
          <w:sz w:val="18"/>
          <w:szCs w:val="18"/>
          <w:lang w:val="en-US"/>
        </w:rPr>
        <w:object w:dxaOrig="160" w:dyaOrig="180">
          <v:shape id="_x0000_i1040" type="#_x0000_t75" style="width:12pt;height:14.25pt" o:ole="">
            <v:imagedata r:id="rId38" o:title=""/>
          </v:shape>
          <o:OLEObject Type="Embed" ProgID="Equation.3" ShapeID="_x0000_i1040" DrawAspect="Content" ObjectID="_1557397461" r:id="rId39"/>
        </w:object>
      </w:r>
      <w:r w:rsidRPr="00EC75D9">
        <w:rPr>
          <w:sz w:val="18"/>
          <w:szCs w:val="18"/>
        </w:rPr>
        <w:t xml:space="preserve"> (</w:t>
      </w:r>
      <w:r w:rsidRPr="00880CA1">
        <w:rPr>
          <w:position w:val="-8"/>
          <w:sz w:val="18"/>
          <w:szCs w:val="18"/>
        </w:rPr>
        <w:object w:dxaOrig="200" w:dyaOrig="220">
          <v:shape id="_x0000_i1041" type="#_x0000_t75" style="width:14.25pt;height:15pt" o:ole="">
            <v:imagedata r:id="rId40" o:title=""/>
          </v:shape>
          <o:OLEObject Type="Embed" ProgID="Equation.3" ShapeID="_x0000_i1041" DrawAspect="Content" ObjectID="_1557397462" r:id="rId41"/>
        </w:object>
      </w:r>
      <w:r>
        <w:t xml:space="preserve">- </w:t>
      </w:r>
      <w:r w:rsidRPr="00EC75D9">
        <w:t xml:space="preserve">цилиндрическая координата). </w:t>
      </w:r>
    </w:p>
    <w:p w:rsidR="002F1934" w:rsidRPr="00133A19" w:rsidRDefault="002F1934" w:rsidP="0072238B">
      <w:pPr>
        <w:ind w:firstLine="0"/>
      </w:pPr>
      <w:proofErr w:type="spellStart"/>
      <w:r>
        <w:t>Бюкер</w:t>
      </w:r>
      <w:proofErr w:type="spellEnd"/>
      <w:r>
        <w:t xml:space="preserve"> и </w:t>
      </w:r>
      <w:proofErr w:type="spellStart"/>
      <w:r>
        <w:t>Хёрдт</w:t>
      </w:r>
      <w:proofErr w:type="spellEnd"/>
      <w:r>
        <w:t xml:space="preserve"> показали (</w:t>
      </w:r>
      <w:r>
        <w:rPr>
          <w:lang w:val="en-GB"/>
        </w:rPr>
        <w:t>B</w:t>
      </w:r>
      <w:r w:rsidRPr="0025223E">
        <w:t>ü</w:t>
      </w:r>
      <w:proofErr w:type="spellStart"/>
      <w:r>
        <w:rPr>
          <w:lang w:val="en-GB"/>
        </w:rPr>
        <w:t>cker</w:t>
      </w:r>
      <w:proofErr w:type="spellEnd"/>
      <w:r w:rsidRPr="0025223E">
        <w:t xml:space="preserve"> </w:t>
      </w:r>
      <w:r>
        <w:rPr>
          <w:lang w:val="en-GB"/>
        </w:rPr>
        <w:t>and</w:t>
      </w:r>
      <w:r w:rsidRPr="0025223E">
        <w:t xml:space="preserve"> </w:t>
      </w:r>
      <w:r>
        <w:rPr>
          <w:lang w:val="en-GB"/>
        </w:rPr>
        <w:t>H</w:t>
      </w:r>
      <w:r w:rsidRPr="0025223E">
        <w:t>ö</w:t>
      </w:r>
      <w:proofErr w:type="spellStart"/>
      <w:r>
        <w:rPr>
          <w:lang w:val="en-GB"/>
        </w:rPr>
        <w:t>rdt</w:t>
      </w:r>
      <w:proofErr w:type="spellEnd"/>
      <w:r w:rsidRPr="0025223E">
        <w:t>, 2013</w:t>
      </w:r>
      <w:r w:rsidRPr="00DF76D0">
        <w:t>)</w:t>
      </w:r>
      <w:r>
        <w:t xml:space="preserve">, что формула (2) идентична формулам (26) и (27) работы </w:t>
      </w:r>
      <w:r w:rsidRPr="00201B36">
        <w:t xml:space="preserve">Маршалла и </w:t>
      </w:r>
      <w:proofErr w:type="spellStart"/>
      <w:r w:rsidRPr="00201B36">
        <w:t>Маддена</w:t>
      </w:r>
      <w:proofErr w:type="spellEnd"/>
      <w:r w:rsidRPr="00201B36">
        <w:t xml:space="preserve"> </w:t>
      </w:r>
      <w:r>
        <w:t>(</w:t>
      </w:r>
      <w:r>
        <w:rPr>
          <w:lang w:val="en-US"/>
        </w:rPr>
        <w:t>Marshall</w:t>
      </w:r>
      <w:r w:rsidRPr="00DF76D0">
        <w:t xml:space="preserve"> </w:t>
      </w:r>
      <w:r>
        <w:rPr>
          <w:lang w:val="en-US"/>
        </w:rPr>
        <w:t>and</w:t>
      </w:r>
      <w:r w:rsidRPr="00DF76D0">
        <w:t xml:space="preserve"> </w:t>
      </w:r>
      <w:r>
        <w:rPr>
          <w:lang w:val="en-US"/>
        </w:rPr>
        <w:t>Madden</w:t>
      </w:r>
      <w:r w:rsidRPr="00DF76D0">
        <w:t>, 1959)</w:t>
      </w:r>
      <w:r>
        <w:t xml:space="preserve">, следовательно, их решение применимо и в этом случае. Однако, общая форма представления чисел переноса, </w:t>
      </w:r>
      <w:r w:rsidRPr="00574611">
        <w:rPr>
          <w:position w:val="-14"/>
          <w:lang w:val="en-GB"/>
        </w:rPr>
        <w:object w:dxaOrig="360" w:dyaOrig="380">
          <v:shape id="_x0000_i1042" type="#_x0000_t75" style="width:18pt;height:18.75pt" o:ole="">
            <v:imagedata r:id="rId42" o:title=""/>
          </v:shape>
          <o:OLEObject Type="Embed" ProgID="Equation.3" ShapeID="_x0000_i1042" DrawAspect="Content" ObjectID="_1557397463" r:id="rId43"/>
        </w:object>
      </w:r>
      <w:r w:rsidRPr="00E112E8">
        <w:t>,</w:t>
      </w:r>
      <w:r>
        <w:t xml:space="preserve"> </w:t>
      </w:r>
      <w:r>
        <w:lastRenderedPageBreak/>
        <w:t>должна включать не только подвижность ионов</w:t>
      </w:r>
      <w:r w:rsidRPr="00201B36">
        <w:t xml:space="preserve"> </w:t>
      </w:r>
      <w:r>
        <w:t>(</w:t>
      </w:r>
      <w:r>
        <w:rPr>
          <w:lang w:val="en-US"/>
        </w:rPr>
        <w:t>Marshall</w:t>
      </w:r>
      <w:r w:rsidRPr="00DF76D0">
        <w:t xml:space="preserve"> </w:t>
      </w:r>
      <w:r>
        <w:rPr>
          <w:lang w:val="en-US"/>
        </w:rPr>
        <w:t>and</w:t>
      </w:r>
      <w:r w:rsidRPr="00DF76D0">
        <w:t xml:space="preserve"> </w:t>
      </w:r>
      <w:r>
        <w:rPr>
          <w:lang w:val="en-US"/>
        </w:rPr>
        <w:t>Madden</w:t>
      </w:r>
      <w:r w:rsidRPr="00DF76D0">
        <w:t>, 1959</w:t>
      </w:r>
      <w:r>
        <w:t>)</w:t>
      </w:r>
      <w:r w:rsidRPr="00201B36">
        <w:t xml:space="preserve"> </w:t>
      </w:r>
      <w:r>
        <w:t>но и их средние концентрации (</w:t>
      </w:r>
      <w:r>
        <w:rPr>
          <w:lang w:val="en-GB"/>
        </w:rPr>
        <w:t>B</w:t>
      </w:r>
      <w:r w:rsidRPr="0025223E">
        <w:t>ü</w:t>
      </w:r>
      <w:proofErr w:type="spellStart"/>
      <w:r>
        <w:rPr>
          <w:lang w:val="en-GB"/>
        </w:rPr>
        <w:t>cker</w:t>
      </w:r>
      <w:proofErr w:type="spellEnd"/>
      <w:r w:rsidRPr="0025223E">
        <w:t xml:space="preserve"> </w:t>
      </w:r>
      <w:r>
        <w:rPr>
          <w:lang w:val="en-GB"/>
        </w:rPr>
        <w:t>and</w:t>
      </w:r>
      <w:r w:rsidRPr="0025223E">
        <w:t xml:space="preserve"> </w:t>
      </w:r>
      <w:r>
        <w:rPr>
          <w:lang w:val="en-GB"/>
        </w:rPr>
        <w:t>H</w:t>
      </w:r>
      <w:r w:rsidRPr="0025223E">
        <w:t>ö</w:t>
      </w:r>
      <w:proofErr w:type="spellStart"/>
      <w:r>
        <w:rPr>
          <w:lang w:val="en-GB"/>
        </w:rPr>
        <w:t>rdt</w:t>
      </w:r>
      <w:proofErr w:type="spellEnd"/>
      <w:r w:rsidRPr="0025223E">
        <w:t>, 2013</w:t>
      </w:r>
      <w:r w:rsidRPr="00DF76D0">
        <w:t>)</w:t>
      </w:r>
      <w:r>
        <w:t>:</w:t>
      </w:r>
    </w:p>
    <w:p w:rsidR="002F1934" w:rsidRPr="00E112E8" w:rsidRDefault="002F1934" w:rsidP="0072238B">
      <w:r w:rsidRPr="00880CA1">
        <w:rPr>
          <w:position w:val="-26"/>
          <w:sz w:val="18"/>
          <w:szCs w:val="18"/>
          <w:lang w:val="en-US"/>
        </w:rPr>
        <w:object w:dxaOrig="1359" w:dyaOrig="580">
          <v:shape id="_x0000_i1043" type="#_x0000_t75" style="width:81.75pt;height:35.25pt" o:ole="">
            <v:imagedata r:id="rId44" o:title=""/>
          </v:shape>
          <o:OLEObject Type="Embed" ProgID="Equation.3" ShapeID="_x0000_i1043" DrawAspect="Content" ObjectID="_1557397464" r:id="rId45"/>
        </w:object>
      </w:r>
      <w:r w:rsidRPr="00E112E8">
        <w:t>,</w:t>
      </w:r>
      <w:r w:rsidRPr="00E112E8">
        <w:tab/>
      </w:r>
      <w:r w:rsidRPr="00E112E8">
        <w:tab/>
        <w:t>(4)</w:t>
      </w:r>
    </w:p>
    <w:p w:rsidR="002F1934" w:rsidRDefault="002F1934" w:rsidP="0072238B">
      <w:r w:rsidRPr="00880CA1">
        <w:rPr>
          <w:position w:val="-26"/>
          <w:sz w:val="18"/>
          <w:szCs w:val="18"/>
          <w:lang w:val="en-US"/>
        </w:rPr>
        <w:object w:dxaOrig="1340" w:dyaOrig="560">
          <v:shape id="_x0000_i1044" type="#_x0000_t75" style="width:81.75pt;height:33.75pt" o:ole="">
            <v:imagedata r:id="rId46" o:title=""/>
          </v:shape>
          <o:OLEObject Type="Embed" ProgID="Equation.3" ShapeID="_x0000_i1044" DrawAspect="Content" ObjectID="_1557397465" r:id="rId47"/>
        </w:object>
      </w:r>
      <w:r>
        <w:t>.</w:t>
      </w:r>
      <w:r w:rsidRPr="00E112E8">
        <w:tab/>
      </w:r>
      <w:r w:rsidRPr="00E112E8">
        <w:tab/>
        <w:t>(5)</w:t>
      </w:r>
    </w:p>
    <w:p w:rsidR="002F1934" w:rsidRPr="0057754C" w:rsidRDefault="002F1934" w:rsidP="0072238B">
      <w:pPr>
        <w:ind w:firstLine="0"/>
      </w:pPr>
      <w:r>
        <w:t xml:space="preserve">Следовательно, </w:t>
      </w:r>
      <w:r w:rsidRPr="00C34CB0">
        <w:rPr>
          <w:position w:val="-12"/>
          <w:sz w:val="18"/>
          <w:szCs w:val="18"/>
          <w:lang w:val="en-US"/>
        </w:rPr>
        <w:object w:dxaOrig="320" w:dyaOrig="300">
          <v:shape id="_x0000_i1045" type="#_x0000_t75" style="width:21pt;height:18.75pt" o:ole="">
            <v:imagedata r:id="rId48" o:title=""/>
          </v:shape>
          <o:OLEObject Type="Embed" ProgID="Equation.3" ShapeID="_x0000_i1045" DrawAspect="Content" ObjectID="_1557397466" r:id="rId49"/>
        </w:object>
      </w:r>
      <w:r w:rsidRPr="00E112E8">
        <w:t>за</w:t>
      </w:r>
      <w:r>
        <w:t>висят от радиуса поры (см. формулу (1)). Для</w:t>
      </w:r>
      <w:r w:rsidRPr="0057754C">
        <w:t xml:space="preserve"> </w:t>
      </w:r>
      <w:r>
        <w:t>простоты, мы положим</w:t>
      </w:r>
      <w:r w:rsidRPr="00880CA1">
        <w:rPr>
          <w:position w:val="-12"/>
          <w:sz w:val="18"/>
          <w:szCs w:val="18"/>
          <w:lang w:val="en-US"/>
        </w:rPr>
        <w:object w:dxaOrig="660" w:dyaOrig="300">
          <v:shape id="_x0000_i1046" type="#_x0000_t75" style="width:39.75pt;height:18pt" o:ole="">
            <v:imagedata r:id="rId50" o:title=""/>
          </v:shape>
          <o:OLEObject Type="Embed" ProgID="Equation.3" ShapeID="_x0000_i1046" DrawAspect="Content" ObjectID="_1557397467" r:id="rId51"/>
        </w:object>
      </w:r>
      <w:r>
        <w:rPr>
          <w:sz w:val="18"/>
          <w:szCs w:val="18"/>
        </w:rPr>
        <w:t xml:space="preserve"> </w:t>
      </w:r>
      <w:r w:rsidRPr="002A482E">
        <w:t>(случай хлорида калия)</w:t>
      </w:r>
      <w:r>
        <w:rPr>
          <w:sz w:val="18"/>
          <w:szCs w:val="18"/>
        </w:rPr>
        <w:t xml:space="preserve"> </w:t>
      </w:r>
      <w:r w:rsidRPr="00E112E8">
        <w:t>и сосредоточим внимани</w:t>
      </w:r>
      <w:r>
        <w:t>е</w:t>
      </w:r>
      <w:r w:rsidRPr="00E112E8">
        <w:t xml:space="preserve"> на раз</w:t>
      </w:r>
      <w:r>
        <w:t>личии</w:t>
      </w:r>
      <w:r w:rsidRPr="00E112E8">
        <w:t xml:space="preserve"> между</w:t>
      </w:r>
      <w:r>
        <w:rPr>
          <w:sz w:val="18"/>
          <w:szCs w:val="18"/>
        </w:rPr>
        <w:t xml:space="preserve"> </w:t>
      </w:r>
      <w:r w:rsidRPr="00574611">
        <w:rPr>
          <w:position w:val="-14"/>
          <w:lang w:val="en-GB"/>
        </w:rPr>
        <w:object w:dxaOrig="279" w:dyaOrig="380">
          <v:shape id="_x0000_i1047" type="#_x0000_t75" style="width:14.25pt;height:18.75pt" o:ole="">
            <v:imagedata r:id="rId52" o:title=""/>
          </v:shape>
          <o:OLEObject Type="Embed" ProgID="Equation.3" ShapeID="_x0000_i1047" DrawAspect="Content" ObjectID="_1557397468" r:id="rId53"/>
        </w:object>
      </w:r>
      <w:r w:rsidRPr="00E112E8">
        <w:t>и</w:t>
      </w:r>
      <w:r>
        <w:rPr>
          <w:sz w:val="18"/>
          <w:szCs w:val="18"/>
        </w:rPr>
        <w:t xml:space="preserve"> </w:t>
      </w:r>
      <w:r w:rsidRPr="00574611">
        <w:rPr>
          <w:position w:val="-12"/>
        </w:rPr>
        <w:object w:dxaOrig="260" w:dyaOrig="360">
          <v:shape id="_x0000_i1048" type="#_x0000_t75" style="width:12.75pt;height:18pt" o:ole="">
            <v:imagedata r:id="rId54" o:title=""/>
          </v:shape>
          <o:OLEObject Type="Embed" ProgID="Equation.3" ShapeID="_x0000_i1048" DrawAspect="Content" ObjectID="_1557397469" r:id="rId55"/>
        </w:object>
      </w:r>
      <w:r>
        <w:rPr>
          <w:sz w:val="18"/>
          <w:szCs w:val="18"/>
        </w:rPr>
        <w:t xml:space="preserve"> </w:t>
      </w:r>
      <w:r w:rsidRPr="00E112E8">
        <w:t>в ДЭС</w:t>
      </w:r>
      <w:r>
        <w:rPr>
          <w:sz w:val="18"/>
          <w:szCs w:val="18"/>
        </w:rPr>
        <w:t xml:space="preserve">. </w:t>
      </w:r>
      <w:r>
        <w:t xml:space="preserve">Чтобы получить значения </w:t>
      </w:r>
      <w:r w:rsidRPr="00880CA1">
        <w:rPr>
          <w:position w:val="-12"/>
          <w:sz w:val="18"/>
          <w:szCs w:val="18"/>
        </w:rPr>
        <w:object w:dxaOrig="340" w:dyaOrig="300">
          <v:shape id="_x0000_i1049" type="#_x0000_t75" style="width:21pt;height:18pt" o:ole="">
            <v:imagedata r:id="rId56" o:title=""/>
          </v:shape>
          <o:OLEObject Type="Embed" ProgID="Equation.3" ShapeID="_x0000_i1049" DrawAspect="Content" ObjectID="_1557397470" r:id="rId57"/>
        </w:object>
      </w:r>
      <w:r w:rsidRPr="00E112E8">
        <w:t>,</w:t>
      </w:r>
      <w:r>
        <w:rPr>
          <w:sz w:val="18"/>
          <w:szCs w:val="18"/>
        </w:rPr>
        <w:t xml:space="preserve"> </w:t>
      </w:r>
      <w:r>
        <w:t>сначала необходимо вычислить</w:t>
      </w:r>
      <w:r w:rsidRPr="0057754C">
        <w:t xml:space="preserve"> </w:t>
      </w:r>
      <w:r>
        <w:t>потенциал в диффузном слое:</w:t>
      </w:r>
    </w:p>
    <w:p w:rsidR="002F1934" w:rsidRPr="0057754C" w:rsidRDefault="002F1934" w:rsidP="003B1443">
      <w:r w:rsidRPr="003609D9">
        <w:rPr>
          <w:position w:val="-30"/>
          <w:lang w:val="en-GB"/>
        </w:rPr>
        <w:object w:dxaOrig="1740" w:dyaOrig="680">
          <v:shape id="_x0000_i1050" type="#_x0000_t75" style="width:87pt;height:33.75pt" o:ole="">
            <v:imagedata r:id="rId58" o:title=""/>
          </v:shape>
          <o:OLEObject Type="Embed" ProgID="Equation.3" ShapeID="_x0000_i1050" DrawAspect="Content" ObjectID="_1557397471" r:id="rId59"/>
        </w:object>
      </w:r>
      <w:r w:rsidRPr="00E112E8">
        <w:rPr>
          <w:szCs w:val="18"/>
        </w:rPr>
        <w:t xml:space="preserve">, </w:t>
      </w:r>
      <w:r w:rsidRPr="00E112E8">
        <w:rPr>
          <w:szCs w:val="18"/>
        </w:rPr>
        <w:tab/>
      </w:r>
      <w:r w:rsidRPr="00E112E8">
        <w:rPr>
          <w:szCs w:val="18"/>
        </w:rPr>
        <w:tab/>
        <w:t>(6)</w:t>
      </w:r>
    </w:p>
    <w:p w:rsidR="002F1934" w:rsidRDefault="002F1934" w:rsidP="00C35551">
      <w:pPr>
        <w:ind w:firstLine="0"/>
      </w:pPr>
      <w:r>
        <w:t xml:space="preserve">где </w:t>
      </w:r>
      <w:r w:rsidRPr="00727D59">
        <w:rPr>
          <w:position w:val="-8"/>
          <w:lang w:val="en-US"/>
        </w:rPr>
        <w:object w:dxaOrig="180" w:dyaOrig="220">
          <v:shape id="_x0000_i1051" type="#_x0000_t75" style="width:11.25pt;height:15pt" o:ole="">
            <v:imagedata r:id="rId60" o:title=""/>
          </v:shape>
          <o:OLEObject Type="Embed" ProgID="Equation.3" ShapeID="_x0000_i1051" DrawAspect="Content" ObjectID="_1557397472" r:id="rId61"/>
        </w:object>
      </w:r>
      <w:r>
        <w:t xml:space="preserve">- </w:t>
      </w:r>
      <w:proofErr w:type="spellStart"/>
      <w:r>
        <w:t>дзета</w:t>
      </w:r>
      <w:proofErr w:type="spellEnd"/>
      <w:r>
        <w:t xml:space="preserve">-потенциал (В), </w:t>
      </w:r>
      <w:r w:rsidRPr="00727D59">
        <w:rPr>
          <w:position w:val="-10"/>
        </w:rPr>
        <w:object w:dxaOrig="480" w:dyaOrig="279">
          <v:shape id="_x0000_i1052" type="#_x0000_t75" style="width:31.5pt;height:18pt" o:ole="">
            <v:imagedata r:id="rId62" o:title=""/>
          </v:shape>
          <o:OLEObject Type="Embed" ProgID="Equation.3" ShapeID="_x0000_i1052" DrawAspect="Content" ObjectID="_1557397473" r:id="rId63"/>
        </w:object>
      </w:r>
      <w:r>
        <w:t xml:space="preserve"> - функция Бесселя нулевого порядка, </w:t>
      </w:r>
      <w:r w:rsidRPr="00C60791">
        <w:rPr>
          <w:position w:val="-6"/>
          <w:lang w:val="en-US"/>
        </w:rPr>
        <w:object w:dxaOrig="639" w:dyaOrig="279">
          <v:shape id="_x0000_i1053" type="#_x0000_t75" style="width:43.5pt;height:18pt" o:ole="">
            <v:imagedata r:id="rId64" o:title=""/>
          </v:shape>
          <o:OLEObject Type="Embed" ProgID="Equation.3" ShapeID="_x0000_i1053" DrawAspect="Content" ObjectID="_1557397474" r:id="rId65"/>
        </w:object>
      </w:r>
      <w:r>
        <w:t xml:space="preserve">, </w:t>
      </w:r>
      <w:r w:rsidRPr="00C60791">
        <w:rPr>
          <w:position w:val="-10"/>
          <w:lang w:val="en-US"/>
        </w:rPr>
        <w:object w:dxaOrig="800" w:dyaOrig="340">
          <v:shape id="_x0000_i1054" type="#_x0000_t75" style="width:52.5pt;height:22.5pt" o:ole="">
            <v:imagedata r:id="rId66" o:title=""/>
          </v:shape>
          <o:OLEObject Type="Embed" ProgID="Equation.3" ShapeID="_x0000_i1054" DrawAspect="Content" ObjectID="_1557397475" r:id="rId67"/>
        </w:object>
      </w:r>
      <w:r>
        <w:t xml:space="preserve"> в м</w:t>
      </w:r>
      <w:r w:rsidRPr="00E41CC8">
        <w:rPr>
          <w:vertAlign w:val="superscript"/>
        </w:rPr>
        <w:t>-1</w:t>
      </w:r>
      <w:r>
        <w:t xml:space="preserve">, </w:t>
      </w:r>
      <w:r w:rsidRPr="00727D59">
        <w:rPr>
          <w:position w:val="-26"/>
          <w:sz w:val="18"/>
          <w:szCs w:val="18"/>
          <w:lang w:val="en-US"/>
        </w:rPr>
        <w:object w:dxaOrig="1160" w:dyaOrig="600">
          <v:shape id="_x0000_i1055" type="#_x0000_t75" style="width:70.5pt;height:36.75pt" o:ole="">
            <v:imagedata r:id="rId68" o:title=""/>
          </v:shape>
          <o:OLEObject Type="Embed" ProgID="Equation.3" ShapeID="_x0000_i1055" DrawAspect="Content" ObjectID="_1557397476" r:id="rId69"/>
        </w:object>
      </w:r>
      <w:r>
        <w:rPr>
          <w:sz w:val="18"/>
          <w:szCs w:val="18"/>
        </w:rPr>
        <w:t xml:space="preserve"> </w:t>
      </w:r>
      <w:r w:rsidRPr="00E41CC8">
        <w:t xml:space="preserve">- </w:t>
      </w:r>
      <w:proofErr w:type="spellStart"/>
      <w:r>
        <w:t>д</w:t>
      </w:r>
      <w:r w:rsidRPr="00E41CC8">
        <w:t>ебаевская</w:t>
      </w:r>
      <w:proofErr w:type="spellEnd"/>
      <w:r w:rsidRPr="00E41CC8">
        <w:t xml:space="preserve"> длина в м, </w:t>
      </w:r>
      <w:r w:rsidRPr="00C60791">
        <w:rPr>
          <w:position w:val="-6"/>
          <w:sz w:val="18"/>
          <w:szCs w:val="18"/>
        </w:rPr>
        <w:object w:dxaOrig="520" w:dyaOrig="240">
          <v:shape id="_x0000_i1056" type="#_x0000_t75" style="width:33.75pt;height:16.5pt" o:ole="">
            <v:imagedata r:id="rId70" o:title=""/>
          </v:shape>
          <o:OLEObject Type="Embed" ProgID="Equation.3" ShapeID="_x0000_i1056" DrawAspect="Content" ObjectID="_1557397477" r:id="rId71"/>
        </w:object>
      </w:r>
      <w:r>
        <w:rPr>
          <w:sz w:val="18"/>
          <w:szCs w:val="18"/>
        </w:rPr>
        <w:t xml:space="preserve"> </w:t>
      </w:r>
      <w:r w:rsidRPr="00E41CC8">
        <w:t xml:space="preserve">- </w:t>
      </w:r>
      <w:r>
        <w:t xml:space="preserve">безразмерная диэлектрическая проницаемость воды и </w:t>
      </w:r>
      <w:r w:rsidRPr="003609D9">
        <w:rPr>
          <w:position w:val="-12"/>
          <w:lang w:val="en-GB"/>
        </w:rPr>
        <w:object w:dxaOrig="260" w:dyaOrig="360">
          <v:shape id="_x0000_i1057" type="#_x0000_t75" style="width:12.75pt;height:18pt" o:ole="">
            <v:imagedata r:id="rId72" o:title=""/>
          </v:shape>
          <o:OLEObject Type="Embed" ProgID="Equation.3" ShapeID="_x0000_i1057" DrawAspect="Content" ObjectID="_1557397478" r:id="rId73"/>
        </w:object>
      </w:r>
      <w:r>
        <w:t>=</w:t>
      </w:r>
      <w:r w:rsidRPr="00122EC4">
        <w:rPr>
          <w:i/>
        </w:rPr>
        <w:t>8,54·10</w:t>
      </w:r>
      <w:r w:rsidRPr="00122EC4">
        <w:rPr>
          <w:i/>
          <w:vertAlign w:val="superscript"/>
        </w:rPr>
        <w:t>−12</w:t>
      </w:r>
      <w:r>
        <w:t xml:space="preserve"> – диэлектрическая проницаемость вакуума в Ф</w:t>
      </w:r>
      <w:r w:rsidRPr="00391FB1">
        <w:t>·м</w:t>
      </w:r>
      <w:r w:rsidRPr="00391FB1">
        <w:rPr>
          <w:vertAlign w:val="superscript"/>
        </w:rPr>
        <w:t>-1</w:t>
      </w:r>
      <w:r>
        <w:t xml:space="preserve">. </w:t>
      </w:r>
    </w:p>
    <w:p w:rsidR="002F1934" w:rsidRDefault="002F1934" w:rsidP="00C35551">
      <w:pPr>
        <w:ind w:firstLine="708"/>
      </w:pPr>
      <w:r>
        <w:t xml:space="preserve">Формула (6) получается в результате </w:t>
      </w:r>
      <w:proofErr w:type="spellStart"/>
      <w:r>
        <w:t>линеаризированного</w:t>
      </w:r>
      <w:proofErr w:type="spellEnd"/>
      <w:r>
        <w:t xml:space="preserve"> решения уравнения Пуассона-Больцмана, которое формально верно только для низких значений </w:t>
      </w:r>
      <w:proofErr w:type="spellStart"/>
      <w:r>
        <w:t>дзета</w:t>
      </w:r>
      <w:proofErr w:type="spellEnd"/>
      <w:r>
        <w:t xml:space="preserve"> потенциала (</w:t>
      </w:r>
      <w:r w:rsidRPr="001C3105">
        <w:t>меньше 25 мВ)</w:t>
      </w:r>
      <w:r>
        <w:t xml:space="preserve"> и не учитывает перекрытия диффузного слоя противолежащих стенок поры. В то же время, Прайд (</w:t>
      </w:r>
      <w:r>
        <w:rPr>
          <w:lang w:val="en-US"/>
        </w:rPr>
        <w:t>Pride</w:t>
      </w:r>
      <w:r w:rsidRPr="00CE1650">
        <w:t xml:space="preserve">, 1994) </w:t>
      </w:r>
      <w:r>
        <w:t xml:space="preserve">доказал, что это решение дает достаточно точное для практики распределение потенциала и для </w:t>
      </w:r>
      <w:proofErr w:type="spellStart"/>
      <w:r>
        <w:t>бóльших</w:t>
      </w:r>
      <w:proofErr w:type="spellEnd"/>
      <w:r>
        <w:t xml:space="preserve"> значений </w:t>
      </w:r>
      <w:proofErr w:type="spellStart"/>
      <w:r>
        <w:t>дзета</w:t>
      </w:r>
      <w:proofErr w:type="spellEnd"/>
      <w:r>
        <w:t xml:space="preserve"> потенциала. </w:t>
      </w:r>
    </w:p>
    <w:p w:rsidR="002F1934" w:rsidRPr="0040510F" w:rsidRDefault="002F1934" w:rsidP="00C35551">
      <w:pPr>
        <w:ind w:firstLine="708"/>
      </w:pPr>
      <w:r>
        <w:t>При дальнейшем моделировании используется значение концентрации свободного электролита 10 м</w:t>
      </w:r>
      <w:r w:rsidRPr="00FB0A69">
        <w:t>оль·м</w:t>
      </w:r>
      <w:r w:rsidRPr="00FB0A69">
        <w:rPr>
          <w:vertAlign w:val="superscript"/>
        </w:rPr>
        <w:t>-</w:t>
      </w:r>
      <w:r>
        <w:rPr>
          <w:vertAlign w:val="superscript"/>
        </w:rPr>
        <w:t>3</w:t>
      </w:r>
      <w:r>
        <w:t xml:space="preserve">. </w:t>
      </w:r>
      <w:proofErr w:type="spellStart"/>
      <w:r>
        <w:t>Дебаевская</w:t>
      </w:r>
      <w:proofErr w:type="spellEnd"/>
      <w:r>
        <w:t xml:space="preserve"> длина </w:t>
      </w:r>
      <w:r w:rsidRPr="00B033D8">
        <w:rPr>
          <w:position w:val="-10"/>
          <w:lang w:val="en-GB"/>
        </w:rPr>
        <w:object w:dxaOrig="320" w:dyaOrig="340">
          <v:shape id="_x0000_i1058" type="#_x0000_t75" style="width:15.75pt;height:17.25pt" o:ole="">
            <v:imagedata r:id="rId74" o:title=""/>
          </v:shape>
          <o:OLEObject Type="Embed" ProgID="Equation.3" ShapeID="_x0000_i1058" DrawAspect="Content" ObjectID="_1557397479" r:id="rId75"/>
        </w:object>
      </w:r>
      <w:r>
        <w:t xml:space="preserve"> при такой концентрации для одновалентного электролита составляет 3</w:t>
      </w:r>
      <w:r w:rsidRPr="00FB0A69">
        <w:t>·</w:t>
      </w:r>
      <w:r w:rsidRPr="0040510F">
        <w:t>10</w:t>
      </w:r>
      <w:r w:rsidRPr="0040510F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9 м"/>
        </w:smartTagPr>
        <w:r w:rsidRPr="0040510F">
          <w:rPr>
            <w:vertAlign w:val="superscript"/>
          </w:rPr>
          <w:t>9</w:t>
        </w:r>
        <w:r w:rsidRPr="0040510F">
          <w:t xml:space="preserve"> </w:t>
        </w:r>
        <w:r>
          <w:t>м</w:t>
        </w:r>
      </w:smartTag>
      <w:r>
        <w:t>. Минимальный радиус пор, используемый в моделировании, - 2</w:t>
      </w:r>
      <w:r w:rsidRPr="00FB0A69">
        <w:t>·</w:t>
      </w:r>
      <w:r w:rsidRPr="0040510F">
        <w:t>10</w:t>
      </w:r>
      <w:r w:rsidRPr="0040510F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8 м"/>
        </w:smartTagPr>
        <w:r>
          <w:rPr>
            <w:vertAlign w:val="superscript"/>
          </w:rPr>
          <w:t>8</w:t>
        </w:r>
        <w:r w:rsidRPr="0040510F">
          <w:t xml:space="preserve"> </w:t>
        </w:r>
        <w:r>
          <w:t>м</w:t>
        </w:r>
      </w:smartTag>
      <w:r>
        <w:t xml:space="preserve">, то есть в 6,6 раз больше, чем </w:t>
      </w:r>
      <w:proofErr w:type="spellStart"/>
      <w:r>
        <w:t>дебаевская</w:t>
      </w:r>
      <w:proofErr w:type="spellEnd"/>
      <w:r>
        <w:t xml:space="preserve"> длина. Таким образом, влияние перекрытия диффузионного слоя стенок пор - не слишком велико, и применение формулы (6) можно считать обоснованным.</w:t>
      </w:r>
    </w:p>
    <w:p w:rsidR="002F1934" w:rsidRPr="00262286" w:rsidRDefault="002F1934" w:rsidP="0072238B">
      <w:r>
        <w:t>Распределение концентраций ионов в диффузном слое в зависимости от радиуса пор может быть рассчитано по следующей формуле:</w:t>
      </w:r>
    </w:p>
    <w:p w:rsidR="002F1934" w:rsidRDefault="002F1934" w:rsidP="0072238B">
      <w:r w:rsidRPr="00727D59">
        <w:rPr>
          <w:position w:val="-26"/>
          <w:sz w:val="18"/>
          <w:szCs w:val="18"/>
          <w:lang w:val="en-US"/>
        </w:rPr>
        <w:object w:dxaOrig="1579" w:dyaOrig="600">
          <v:shape id="_x0000_i1059" type="#_x0000_t75" style="width:98.25pt;height:37.5pt" o:ole="">
            <v:imagedata r:id="rId76" o:title=""/>
          </v:shape>
          <o:OLEObject Type="Embed" ProgID="Equation.3" ShapeID="_x0000_i1059" DrawAspect="Content" ObjectID="_1557397480" r:id="rId77"/>
        </w:object>
      </w:r>
      <w:r w:rsidRPr="00DB0C46">
        <w:t xml:space="preserve">, </w:t>
      </w:r>
      <w:r w:rsidRPr="00DB0C46">
        <w:tab/>
      </w:r>
      <w:r w:rsidRPr="00DB0C46">
        <w:tab/>
        <w:t>(7)</w:t>
      </w:r>
    </w:p>
    <w:p w:rsidR="002F1934" w:rsidRDefault="002F1934" w:rsidP="0072238B">
      <w:pPr>
        <w:ind w:firstLine="0"/>
      </w:pPr>
      <w:r>
        <w:lastRenderedPageBreak/>
        <w:t xml:space="preserve">и численно проинтегрировано по сечению поры (формула (3)). В соответствии с формулой </w:t>
      </w:r>
      <w:proofErr w:type="spellStart"/>
      <w:r>
        <w:t>Бюкера</w:t>
      </w:r>
      <w:proofErr w:type="spellEnd"/>
      <w:r>
        <w:t xml:space="preserve"> и </w:t>
      </w:r>
      <w:proofErr w:type="spellStart"/>
      <w:r>
        <w:t>Хёрдта</w:t>
      </w:r>
      <w:proofErr w:type="spellEnd"/>
      <w:r>
        <w:t xml:space="preserve"> (</w:t>
      </w:r>
      <w:r w:rsidRPr="00417669">
        <w:rPr>
          <w:lang w:val="en-US"/>
        </w:rPr>
        <w:t>B</w:t>
      </w:r>
      <w:r w:rsidRPr="00DF76D0">
        <w:t>ü</w:t>
      </w:r>
      <w:proofErr w:type="spellStart"/>
      <w:r w:rsidRPr="00417669">
        <w:rPr>
          <w:lang w:val="en-US"/>
        </w:rPr>
        <w:t>cker</w:t>
      </w:r>
      <w:proofErr w:type="spellEnd"/>
      <w:r w:rsidRPr="00DF76D0">
        <w:t xml:space="preserve"> </w:t>
      </w:r>
      <w:r w:rsidRPr="00417669">
        <w:rPr>
          <w:lang w:val="en-US"/>
        </w:rPr>
        <w:t>and</w:t>
      </w:r>
      <w:r w:rsidRPr="00DF76D0">
        <w:t xml:space="preserve"> </w:t>
      </w:r>
      <w:r w:rsidRPr="00417669">
        <w:rPr>
          <w:lang w:val="en-US"/>
        </w:rPr>
        <w:t>H</w:t>
      </w:r>
      <w:r w:rsidRPr="00DF76D0">
        <w:t>ö</w:t>
      </w:r>
      <w:proofErr w:type="spellStart"/>
      <w:r w:rsidRPr="00417669">
        <w:rPr>
          <w:lang w:val="en-US"/>
        </w:rPr>
        <w:t>rdt</w:t>
      </w:r>
      <w:proofErr w:type="spellEnd"/>
      <w:r w:rsidRPr="00DF76D0">
        <w:t>, 2013</w:t>
      </w:r>
      <w:r>
        <w:t>)</w:t>
      </w:r>
      <w:r w:rsidRPr="00201B36">
        <w:t>,</w:t>
      </w:r>
      <w:r>
        <w:t xml:space="preserve"> учитываются вклад слоя Штерна, необходимый для подсчёта общей концентрации ионов в порах:</w:t>
      </w:r>
    </w:p>
    <w:p w:rsidR="002F1934" w:rsidRDefault="002F1934" w:rsidP="0072238B">
      <w:r w:rsidRPr="00FB1DE2">
        <w:rPr>
          <w:position w:val="-26"/>
          <w:sz w:val="18"/>
          <w:szCs w:val="18"/>
        </w:rPr>
        <w:object w:dxaOrig="999" w:dyaOrig="580">
          <v:shape id="_x0000_i1060" type="#_x0000_t75" style="width:66.75pt;height:39pt" o:ole="">
            <v:imagedata r:id="rId78" o:title=""/>
          </v:shape>
          <o:OLEObject Type="Embed" ProgID="Equation.3" ShapeID="_x0000_i1060" DrawAspect="Content" ObjectID="_1557397481" r:id="rId79"/>
        </w:object>
      </w:r>
      <w:r w:rsidRPr="00480FF4">
        <w:t xml:space="preserve">, </w:t>
      </w:r>
      <w:r w:rsidRPr="00480FF4">
        <w:tab/>
      </w:r>
      <w:r w:rsidRPr="00480FF4">
        <w:tab/>
        <w:t>(8)</w:t>
      </w:r>
    </w:p>
    <w:p w:rsidR="002F1934" w:rsidRDefault="002F1934" w:rsidP="0072238B">
      <w:pPr>
        <w:ind w:firstLine="0"/>
      </w:pPr>
      <w:r>
        <w:t xml:space="preserve">где </w:t>
      </w:r>
      <w:r w:rsidRPr="005A683A">
        <w:rPr>
          <w:position w:val="-12"/>
        </w:rPr>
        <w:object w:dxaOrig="260" w:dyaOrig="300">
          <v:shape id="_x0000_i1061" type="#_x0000_t75" style="width:17.25pt;height:20.25pt" o:ole="">
            <v:imagedata r:id="rId80" o:title=""/>
          </v:shape>
          <o:OLEObject Type="Embed" ProgID="Equation.3" ShapeID="_x0000_i1061" DrawAspect="Content" ObjectID="_1557397482" r:id="rId81"/>
        </w:object>
      </w:r>
      <w:r>
        <w:t>- коэффициент разделения, определяемый как отношение между плотностью заряда слоя Штерна и плотностью заряда всего ДЭС (</w:t>
      </w:r>
      <w:proofErr w:type="spellStart"/>
      <w:r>
        <w:rPr>
          <w:lang w:val="en-US"/>
        </w:rPr>
        <w:t>Revil</w:t>
      </w:r>
      <w:proofErr w:type="spellEnd"/>
      <w:r w:rsidRPr="00DF76D0">
        <w:t>, 2012)</w:t>
      </w:r>
      <w:r w:rsidRPr="00201B36">
        <w:t>.</w:t>
      </w:r>
    </w:p>
    <w:p w:rsidR="002F1934" w:rsidRDefault="002F1934" w:rsidP="0072238B">
      <w:pPr>
        <w:ind w:firstLine="0"/>
      </w:pPr>
      <w:r>
        <w:t xml:space="preserve">Наконец, импеданс двух последовательно соединенных пор можно рассчитать в соответствии с </w:t>
      </w:r>
      <w:r w:rsidRPr="00201B36">
        <w:t xml:space="preserve">уравнением Маршалла и </w:t>
      </w:r>
      <w:proofErr w:type="spellStart"/>
      <w:r w:rsidRPr="00201B36">
        <w:t>Маддена</w:t>
      </w:r>
      <w:proofErr w:type="spellEnd"/>
      <w:r w:rsidRPr="00201B36">
        <w:t xml:space="preserve"> </w:t>
      </w:r>
      <w:r>
        <w:t>(</w:t>
      </w:r>
      <w:r>
        <w:rPr>
          <w:lang w:val="en-US"/>
        </w:rPr>
        <w:t>Marshall</w:t>
      </w:r>
      <w:r w:rsidRPr="00DF76D0">
        <w:t xml:space="preserve"> </w:t>
      </w:r>
      <w:r>
        <w:rPr>
          <w:lang w:val="en-US"/>
        </w:rPr>
        <w:t>and</w:t>
      </w:r>
      <w:r w:rsidRPr="00DF76D0">
        <w:t xml:space="preserve"> </w:t>
      </w:r>
      <w:r>
        <w:rPr>
          <w:lang w:val="en-US"/>
        </w:rPr>
        <w:t>Madden</w:t>
      </w:r>
      <w:r w:rsidRPr="00DF76D0">
        <w:t>, 1959</w:t>
      </w:r>
      <w:r>
        <w:t>):</w:t>
      </w:r>
    </w:p>
    <w:p w:rsidR="002F1934" w:rsidRDefault="002F1934" w:rsidP="0072238B">
      <w:r w:rsidRPr="00480FF4">
        <w:rPr>
          <w:position w:val="-64"/>
          <w:lang w:val="en-US"/>
        </w:rPr>
        <w:object w:dxaOrig="7020" w:dyaOrig="1060">
          <v:shape id="_x0000_i1062" type="#_x0000_t75" style="width:319.5pt;height:48.75pt" o:ole="">
            <v:imagedata r:id="rId82" o:title=""/>
          </v:shape>
          <o:OLEObject Type="Embed" ProgID="Equation.3" ShapeID="_x0000_i1062" DrawAspect="Content" ObjectID="_1557397483" r:id="rId83"/>
        </w:object>
      </w:r>
      <w:r>
        <w:t>,</w:t>
      </w:r>
      <w:r>
        <w:tab/>
      </w:r>
      <w:r>
        <w:tab/>
        <w:t>(9)</w:t>
      </w:r>
    </w:p>
    <w:p w:rsidR="002F1934" w:rsidRPr="001C3105" w:rsidRDefault="002F1934" w:rsidP="0072238B">
      <w:pPr>
        <w:ind w:firstLine="0"/>
      </w:pPr>
      <w:r>
        <w:t xml:space="preserve">где </w:t>
      </w:r>
      <w:r w:rsidRPr="00C60791">
        <w:rPr>
          <w:position w:val="-6"/>
          <w:sz w:val="18"/>
          <w:szCs w:val="18"/>
          <w:lang w:val="en-US"/>
        </w:rPr>
        <w:object w:dxaOrig="200" w:dyaOrig="200">
          <v:shape id="_x0000_i1063" type="#_x0000_t75" style="width:14.25pt;height:14.25pt" o:ole="">
            <v:imagedata r:id="rId84" o:title=""/>
          </v:shape>
          <o:OLEObject Type="Embed" ProgID="Equation.3" ShapeID="_x0000_i1063" DrawAspect="Content" ObjectID="_1557397484" r:id="rId85"/>
        </w:object>
      </w:r>
      <w:r w:rsidRPr="004C25C5">
        <w:t xml:space="preserve"> - угловая частота, </w:t>
      </w:r>
      <w:r w:rsidRPr="00C60791">
        <w:rPr>
          <w:position w:val="-10"/>
          <w:sz w:val="18"/>
          <w:szCs w:val="18"/>
          <w:lang w:val="en-US"/>
        </w:rPr>
        <w:object w:dxaOrig="220" w:dyaOrig="279">
          <v:shape id="_x0000_i1064" type="#_x0000_t75" style="width:11.25pt;height:14.25pt" o:ole="">
            <v:imagedata r:id="rId86" o:title=""/>
          </v:shape>
          <o:OLEObject Type="Embed" ProgID="Equation.3" ShapeID="_x0000_i1064" DrawAspect="Content" ObjectID="_1557397485" r:id="rId87"/>
        </w:object>
      </w:r>
      <w:r>
        <w:rPr>
          <w:sz w:val="18"/>
          <w:szCs w:val="18"/>
        </w:rPr>
        <w:t xml:space="preserve"> </w:t>
      </w:r>
      <w:r w:rsidRPr="004C25C5">
        <w:t>- длина пор в м</w:t>
      </w:r>
      <w:r>
        <w:t xml:space="preserve">, </w:t>
      </w:r>
      <w:r w:rsidRPr="00FB4C4B">
        <w:rPr>
          <w:position w:val="-28"/>
          <w:sz w:val="18"/>
          <w:szCs w:val="18"/>
          <w:lang w:val="en-US"/>
        </w:rPr>
        <w:object w:dxaOrig="680" w:dyaOrig="660">
          <v:shape id="_x0000_i1065" type="#_x0000_t75" style="width:33.75pt;height:33pt" o:ole="">
            <v:imagedata r:id="rId88" o:title=""/>
          </v:shape>
          <o:OLEObject Type="Embed" ProgID="Equation.3" ShapeID="_x0000_i1065" DrawAspect="Content" ObjectID="_1557397486" r:id="rId89"/>
        </w:object>
      </w:r>
      <w:r w:rsidRPr="004C25C5">
        <w:t xml:space="preserve">, </w:t>
      </w:r>
      <w:r w:rsidRPr="00727D59">
        <w:rPr>
          <w:position w:val="-24"/>
          <w:sz w:val="18"/>
          <w:szCs w:val="18"/>
          <w:lang w:val="en-US"/>
        </w:rPr>
        <w:object w:dxaOrig="600" w:dyaOrig="540">
          <v:shape id="_x0000_i1066" type="#_x0000_t75" style="width:29.25pt;height:27pt" o:ole="">
            <v:imagedata r:id="rId90" o:title=""/>
          </v:shape>
          <o:OLEObject Type="Embed" ProgID="Equation.3" ShapeID="_x0000_i1066" DrawAspect="Content" ObjectID="_1557397487" r:id="rId91"/>
        </w:object>
      </w:r>
      <w:r w:rsidRPr="004C25C5">
        <w:t xml:space="preserve">, </w:t>
      </w:r>
      <w:r w:rsidRPr="00727D59">
        <w:rPr>
          <w:position w:val="-26"/>
          <w:sz w:val="18"/>
          <w:szCs w:val="18"/>
          <w:lang w:val="en-US"/>
        </w:rPr>
        <w:object w:dxaOrig="859" w:dyaOrig="580">
          <v:shape id="_x0000_i1067" type="#_x0000_t75" style="width:42.75pt;height:29.25pt" o:ole="">
            <v:imagedata r:id="rId92" o:title=""/>
          </v:shape>
          <o:OLEObject Type="Embed" ProgID="Equation.3" ShapeID="_x0000_i1067" DrawAspect="Content" ObjectID="_1557397488" r:id="rId93"/>
        </w:object>
      </w:r>
      <w:r w:rsidRPr="004C25C5">
        <w:t xml:space="preserve">, и </w:t>
      </w:r>
      <w:r w:rsidRPr="000E4953">
        <w:rPr>
          <w:position w:val="-28"/>
          <w:sz w:val="18"/>
          <w:szCs w:val="18"/>
          <w:lang w:val="en-US"/>
        </w:rPr>
        <w:object w:dxaOrig="2260" w:dyaOrig="660">
          <v:shape id="_x0000_i1068" type="#_x0000_t75" style="width:111pt;height:33pt" o:ole="">
            <v:imagedata r:id="rId94" o:title=""/>
          </v:shape>
          <o:OLEObject Type="Embed" ProgID="Equation.3" ShapeID="_x0000_i1068" DrawAspect="Content" ObjectID="_1557397489" r:id="rId95"/>
        </w:object>
      </w:r>
      <w:r>
        <w:rPr>
          <w:sz w:val="18"/>
          <w:szCs w:val="18"/>
        </w:rPr>
        <w:t xml:space="preserve"> </w:t>
      </w:r>
      <w:r w:rsidRPr="004C25C5">
        <w:t>- безразмерные</w:t>
      </w:r>
      <w:r>
        <w:t xml:space="preserve"> величины, и индексы «1» и «2» относятся соответственно</w:t>
      </w:r>
      <w:r w:rsidRPr="00C92C80">
        <w:t xml:space="preserve"> </w:t>
      </w:r>
      <w:r>
        <w:t>к межфазным потенциалам первой и второй поры, хотя порядок расположения двух пор не имеет значения.</w:t>
      </w:r>
    </w:p>
    <w:p w:rsidR="002F1934" w:rsidRDefault="002F1934" w:rsidP="0072238B">
      <w:pPr>
        <w:pStyle w:val="1"/>
        <w:rPr>
          <w:lang w:eastAsia="en-US"/>
        </w:rPr>
      </w:pPr>
    </w:p>
    <w:p w:rsidR="002F1934" w:rsidRDefault="002F1934" w:rsidP="0072238B">
      <w:pPr>
        <w:spacing w:after="200" w:line="276" w:lineRule="auto"/>
        <w:ind w:firstLine="0"/>
        <w:jc w:val="left"/>
        <w:rPr>
          <w:b/>
          <w:bCs/>
          <w:color w:val="000000"/>
          <w:szCs w:val="28"/>
        </w:rPr>
      </w:pPr>
      <w:bookmarkStart w:id="5" w:name="_Toc482700004"/>
      <w:r>
        <w:br w:type="page"/>
      </w:r>
    </w:p>
    <w:p w:rsidR="002F1934" w:rsidRDefault="002F1934" w:rsidP="0072238B">
      <w:pPr>
        <w:pStyle w:val="1"/>
      </w:pPr>
      <w:bookmarkStart w:id="6" w:name="_Toc483654932"/>
      <w:r>
        <w:lastRenderedPageBreak/>
        <w:t>Глава 2. Какие минералы вызывают различие чисел переноса в порах?</w:t>
      </w:r>
      <w:bookmarkEnd w:id="5"/>
      <w:bookmarkEnd w:id="6"/>
    </w:p>
    <w:p w:rsidR="002F1934" w:rsidRDefault="002F1934" w:rsidP="0072238B">
      <w:r>
        <w:t xml:space="preserve">Изложенная теория предсказывает, что числа переноса ионов (формулы (4) и (5)), зависят от межфазных свойств минералов: </w:t>
      </w:r>
      <w:proofErr w:type="spellStart"/>
      <w:r>
        <w:t>дзета</w:t>
      </w:r>
      <w:proofErr w:type="spellEnd"/>
      <w:r>
        <w:t xml:space="preserve"> потенциала (формула (6)) и коэффициента разделения (формула 8). В табл. 1 и 2 приведены литературные данные о межфазных свойствах минералов (кварц, кальцит, глинистые минералы и т.д.) при значениях </w:t>
      </w:r>
      <w:r>
        <w:rPr>
          <w:lang w:val="en-US"/>
        </w:rPr>
        <w:t>pH</w:t>
      </w:r>
      <w:r w:rsidRPr="00C03AB6">
        <w:t xml:space="preserve"> </w:t>
      </w:r>
      <w:r>
        <w:t>около 7 и солёности воды от 1 до 10 м</w:t>
      </w:r>
      <w:r w:rsidRPr="00FB0A69">
        <w:t>оль·м</w:t>
      </w:r>
      <w:r w:rsidRPr="00FB0A69">
        <w:rPr>
          <w:vertAlign w:val="superscript"/>
        </w:rPr>
        <w:t>-</w:t>
      </w:r>
      <w:r>
        <w:rPr>
          <w:vertAlign w:val="superscript"/>
        </w:rPr>
        <w:t>3</w:t>
      </w:r>
      <w:r>
        <w:t>.</w:t>
      </w:r>
    </w:p>
    <w:p w:rsidR="002F1934" w:rsidRPr="00C03AB6" w:rsidRDefault="002F1934" w:rsidP="0072238B">
      <w:r>
        <w:t xml:space="preserve">Значения </w:t>
      </w:r>
      <w:proofErr w:type="spellStart"/>
      <w:r>
        <w:t>дзета</w:t>
      </w:r>
      <w:proofErr w:type="spellEnd"/>
      <w:r>
        <w:t xml:space="preserve"> потенциала, представленные в табл. 1, сильно отличаются у разных минералов и варьируют в пределах от +35 до -90 мВ. Коэффициент разделения изменяется от 0,58 до 0,99 (табл. 2).</w:t>
      </w:r>
    </w:p>
    <w:p w:rsidR="002F1934" w:rsidRPr="00CF44AD" w:rsidRDefault="002F1934" w:rsidP="0072238B">
      <w:pPr>
        <w:rPr>
          <w:lang w:eastAsia="en-US"/>
        </w:rPr>
      </w:pPr>
      <w:r>
        <w:rPr>
          <w:lang w:eastAsia="en-US"/>
        </w:rPr>
        <w:t xml:space="preserve">Кроме того, ранее опубликованные данные показывают, что в равновесных условиях </w:t>
      </w:r>
      <w:proofErr w:type="spellStart"/>
      <w:r>
        <w:rPr>
          <w:lang w:eastAsia="en-US"/>
        </w:rPr>
        <w:t>дзета</w:t>
      </w:r>
      <w:proofErr w:type="spellEnd"/>
      <w:r>
        <w:rPr>
          <w:lang w:eastAsia="en-US"/>
        </w:rPr>
        <w:t xml:space="preserve"> потенциал кальцита может достигать нуля (</w:t>
      </w:r>
      <w:proofErr w:type="spellStart"/>
      <w:r w:rsidRPr="002412C0">
        <w:rPr>
          <w:lang w:eastAsia="en-US"/>
        </w:rPr>
        <w:t>Moulin</w:t>
      </w:r>
      <w:proofErr w:type="spellEnd"/>
      <w:r w:rsidRPr="002412C0">
        <w:rPr>
          <w:lang w:eastAsia="en-US"/>
        </w:rPr>
        <w:t xml:space="preserve"> </w:t>
      </w:r>
      <w:proofErr w:type="spellStart"/>
      <w:r w:rsidRPr="002412C0">
        <w:rPr>
          <w:lang w:eastAsia="en-US"/>
        </w:rPr>
        <w:t>and</w:t>
      </w:r>
      <w:proofErr w:type="spellEnd"/>
      <w:r w:rsidRPr="002412C0">
        <w:rPr>
          <w:lang w:eastAsia="en-US"/>
        </w:rPr>
        <w:t xml:space="preserve"> </w:t>
      </w:r>
      <w:proofErr w:type="spellStart"/>
      <w:r w:rsidRPr="002412C0">
        <w:rPr>
          <w:lang w:eastAsia="en-US"/>
        </w:rPr>
        <w:t>Roques</w:t>
      </w:r>
      <w:proofErr w:type="spellEnd"/>
      <w:r w:rsidRPr="002412C0">
        <w:rPr>
          <w:lang w:eastAsia="en-US"/>
        </w:rPr>
        <w:t>, 2003</w:t>
      </w:r>
      <w:r>
        <w:rPr>
          <w:lang w:eastAsia="en-US"/>
        </w:rPr>
        <w:t>),</w:t>
      </w:r>
      <w:r w:rsidRPr="002412C0">
        <w:rPr>
          <w:lang w:eastAsia="en-US"/>
        </w:rPr>
        <w:t xml:space="preserve"> </w:t>
      </w:r>
      <w:r>
        <w:rPr>
          <w:lang w:eastAsia="en-US"/>
        </w:rPr>
        <w:t>и, что кальцит сам по себе может создавать очень незначительный эффект ВП (</w:t>
      </w:r>
      <w:proofErr w:type="spellStart"/>
      <w:r w:rsidRPr="002412C0">
        <w:rPr>
          <w:lang w:eastAsia="en-US"/>
        </w:rPr>
        <w:t>Wu</w:t>
      </w:r>
      <w:proofErr w:type="spellEnd"/>
      <w:r w:rsidRPr="002412C0">
        <w:rPr>
          <w:lang w:eastAsia="en-US"/>
        </w:rPr>
        <w:t xml:space="preserve"> </w:t>
      </w:r>
      <w:proofErr w:type="spellStart"/>
      <w:r w:rsidRPr="002412C0">
        <w:rPr>
          <w:lang w:eastAsia="en-US"/>
        </w:rPr>
        <w:t>et</w:t>
      </w:r>
      <w:proofErr w:type="spellEnd"/>
      <w:r w:rsidRPr="002412C0">
        <w:rPr>
          <w:lang w:eastAsia="en-US"/>
        </w:rPr>
        <w:t xml:space="preserve"> </w:t>
      </w:r>
      <w:proofErr w:type="spellStart"/>
      <w:r w:rsidRPr="002412C0">
        <w:rPr>
          <w:lang w:eastAsia="en-US"/>
        </w:rPr>
        <w:t>al</w:t>
      </w:r>
      <w:proofErr w:type="spellEnd"/>
      <w:r w:rsidRPr="002412C0">
        <w:rPr>
          <w:lang w:eastAsia="en-US"/>
        </w:rPr>
        <w:t>., 2010</w:t>
      </w:r>
      <w:r>
        <w:rPr>
          <w:lang w:eastAsia="en-US"/>
        </w:rPr>
        <w:t>). Эти факты подтверждаются данными исследований (</w:t>
      </w:r>
      <w:proofErr w:type="spellStart"/>
      <w:r>
        <w:rPr>
          <w:lang w:eastAsia="en-US"/>
        </w:rPr>
        <w:t>Somasundran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and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Agar</w:t>
      </w:r>
      <w:proofErr w:type="spellEnd"/>
      <w:r>
        <w:rPr>
          <w:lang w:eastAsia="en-US"/>
        </w:rPr>
        <w:t xml:space="preserve">, </w:t>
      </w:r>
      <w:r w:rsidRPr="002412C0">
        <w:rPr>
          <w:lang w:eastAsia="en-US"/>
        </w:rPr>
        <w:t>1967</w:t>
      </w:r>
      <w:r>
        <w:rPr>
          <w:lang w:eastAsia="en-US"/>
        </w:rPr>
        <w:t xml:space="preserve">), в ходе которых была получена изоэлектрическая точка кальцита при значениях </w:t>
      </w:r>
      <w:r>
        <w:rPr>
          <w:lang w:val="en-US" w:eastAsia="en-US"/>
        </w:rPr>
        <w:t>pH</w:t>
      </w:r>
      <w:r w:rsidRPr="002412C0">
        <w:rPr>
          <w:lang w:eastAsia="en-US"/>
        </w:rPr>
        <w:t xml:space="preserve"> </w:t>
      </w:r>
      <w:r>
        <w:rPr>
          <w:lang w:eastAsia="en-US"/>
        </w:rPr>
        <w:t xml:space="preserve">между 8 и 9,5. Для магнезита и доломита эта точка была получена при </w:t>
      </w:r>
      <w:r>
        <w:rPr>
          <w:lang w:val="en-US" w:eastAsia="en-US"/>
        </w:rPr>
        <w:t>pH</w:t>
      </w:r>
      <w:r w:rsidRPr="00735B35">
        <w:rPr>
          <w:lang w:eastAsia="en-US"/>
        </w:rPr>
        <w:t xml:space="preserve"> </w:t>
      </w:r>
      <w:r>
        <w:rPr>
          <w:lang w:eastAsia="en-US"/>
        </w:rPr>
        <w:t>от 6,5 до 8,7 (</w:t>
      </w:r>
      <w:proofErr w:type="spellStart"/>
      <w:r>
        <w:rPr>
          <w:lang w:eastAsia="en-US"/>
        </w:rPr>
        <w:t>Pokrovsky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al</w:t>
      </w:r>
      <w:proofErr w:type="spellEnd"/>
      <w:r>
        <w:rPr>
          <w:lang w:eastAsia="en-US"/>
        </w:rPr>
        <w:t xml:space="preserve">. </w:t>
      </w:r>
      <w:r w:rsidRPr="00735B35">
        <w:rPr>
          <w:lang w:eastAsia="en-US"/>
        </w:rPr>
        <w:t>1998</w:t>
      </w:r>
      <w:r>
        <w:rPr>
          <w:lang w:eastAsia="en-US"/>
        </w:rPr>
        <w:t xml:space="preserve">). Таким образом, следует предполагать, что при значениях </w:t>
      </w:r>
      <w:r>
        <w:rPr>
          <w:lang w:val="en-US" w:eastAsia="en-US"/>
        </w:rPr>
        <w:t>pH</w:t>
      </w:r>
      <w:r w:rsidRPr="00735B35">
        <w:rPr>
          <w:lang w:eastAsia="en-US"/>
        </w:rPr>
        <w:t xml:space="preserve"> </w:t>
      </w:r>
      <w:r>
        <w:rPr>
          <w:lang w:eastAsia="en-US"/>
        </w:rPr>
        <w:t>между 6,5 и 9,5 возникает сильный контраст между свойствами карбонатных и силикатных/алюмосиликатных минералов, и, как следствие, возникает значительное различие чисел переноса, если стенки двух соседних пор сложены вышеупомянутыми минералами.</w:t>
      </w:r>
    </w:p>
    <w:p w:rsidR="002F1934" w:rsidRPr="00CF44AD" w:rsidRDefault="002F1934" w:rsidP="0072238B">
      <w:pPr>
        <w:rPr>
          <w:lang w:eastAsia="en-US"/>
        </w:rPr>
      </w:pPr>
    </w:p>
    <w:p w:rsidR="002F1934" w:rsidRDefault="002F1934" w:rsidP="0072238B">
      <w:pPr>
        <w:rPr>
          <w:lang w:eastAsia="en-US"/>
        </w:rPr>
      </w:pPr>
    </w:p>
    <w:p w:rsidR="002F1934" w:rsidRDefault="002F1934" w:rsidP="0072238B">
      <w:pPr>
        <w:rPr>
          <w:lang w:eastAsia="en-US"/>
        </w:rPr>
      </w:pPr>
    </w:p>
    <w:p w:rsidR="002F1934" w:rsidRDefault="002F1934" w:rsidP="0072238B">
      <w:pPr>
        <w:rPr>
          <w:lang w:eastAsia="en-US"/>
        </w:rPr>
      </w:pPr>
    </w:p>
    <w:p w:rsidR="002F1934" w:rsidRDefault="002F1934" w:rsidP="0072238B">
      <w:pPr>
        <w:rPr>
          <w:lang w:eastAsia="en-US"/>
        </w:rPr>
      </w:pPr>
    </w:p>
    <w:p w:rsidR="002F1934" w:rsidRDefault="002F1934" w:rsidP="0072238B">
      <w:pPr>
        <w:rPr>
          <w:lang w:eastAsia="en-US"/>
        </w:rPr>
      </w:pPr>
    </w:p>
    <w:p w:rsidR="002F1934" w:rsidRDefault="002F1934" w:rsidP="0072238B">
      <w:pPr>
        <w:rPr>
          <w:lang w:eastAsia="en-US"/>
        </w:rPr>
      </w:pPr>
    </w:p>
    <w:p w:rsidR="002F1934" w:rsidRDefault="002F1934" w:rsidP="0072238B">
      <w:pPr>
        <w:rPr>
          <w:lang w:eastAsia="en-US"/>
        </w:rPr>
      </w:pPr>
    </w:p>
    <w:p w:rsidR="002F1934" w:rsidRDefault="002F1934" w:rsidP="0072238B">
      <w:pPr>
        <w:rPr>
          <w:lang w:eastAsia="en-US"/>
        </w:rPr>
      </w:pPr>
    </w:p>
    <w:p w:rsidR="002F1934" w:rsidRDefault="002F1934" w:rsidP="0072238B">
      <w:pPr>
        <w:rPr>
          <w:lang w:eastAsia="en-US"/>
        </w:rPr>
      </w:pPr>
    </w:p>
    <w:p w:rsidR="002F1934" w:rsidRDefault="002F1934" w:rsidP="0072238B">
      <w:pPr>
        <w:rPr>
          <w:lang w:eastAsia="en-US"/>
        </w:rPr>
      </w:pPr>
    </w:p>
    <w:p w:rsidR="002F1934" w:rsidRDefault="002F1934" w:rsidP="0072238B">
      <w:pPr>
        <w:rPr>
          <w:lang w:eastAsia="en-US"/>
        </w:rPr>
      </w:pPr>
    </w:p>
    <w:p w:rsidR="002F1934" w:rsidRDefault="002F1934" w:rsidP="0072238B">
      <w:pPr>
        <w:rPr>
          <w:lang w:eastAsia="en-US"/>
        </w:rPr>
      </w:pPr>
    </w:p>
    <w:p w:rsidR="002F1934" w:rsidRDefault="002F1934" w:rsidP="0072238B">
      <w:pPr>
        <w:rPr>
          <w:lang w:eastAsia="en-US"/>
        </w:rPr>
      </w:pPr>
    </w:p>
    <w:p w:rsidR="002F1934" w:rsidRPr="004E65E3" w:rsidRDefault="002F1934" w:rsidP="0072238B">
      <w:pPr>
        <w:ind w:firstLine="0"/>
        <w:rPr>
          <w:sz w:val="20"/>
          <w:szCs w:val="22"/>
          <w:lang w:eastAsia="en-US"/>
        </w:rPr>
      </w:pPr>
      <w:r w:rsidRPr="004E65E3">
        <w:rPr>
          <w:sz w:val="20"/>
          <w:szCs w:val="22"/>
          <w:lang w:eastAsia="en-US"/>
        </w:rPr>
        <w:lastRenderedPageBreak/>
        <w:t xml:space="preserve">Таблица 1. Значения </w:t>
      </w:r>
      <w:proofErr w:type="spellStart"/>
      <w:r w:rsidRPr="004E65E3">
        <w:rPr>
          <w:sz w:val="20"/>
          <w:szCs w:val="22"/>
          <w:lang w:eastAsia="en-US"/>
        </w:rPr>
        <w:t>дзета</w:t>
      </w:r>
      <w:proofErr w:type="spellEnd"/>
      <w:r w:rsidRPr="004E65E3">
        <w:rPr>
          <w:sz w:val="20"/>
          <w:szCs w:val="22"/>
          <w:lang w:eastAsia="en-US"/>
        </w:rPr>
        <w:t>-потенциала для некоторых минералов</w:t>
      </w:r>
    </w:p>
    <w:p w:rsidR="002F1934" w:rsidRPr="00CF44AD" w:rsidRDefault="002F1934" w:rsidP="0072238B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3"/>
        <w:gridCol w:w="1363"/>
        <w:gridCol w:w="516"/>
        <w:gridCol w:w="767"/>
        <w:gridCol w:w="3535"/>
      </w:tblGrid>
      <w:tr w:rsidR="002F1934" w:rsidTr="00C57275">
        <w:tc>
          <w:tcPr>
            <w:tcW w:w="0" w:type="auto"/>
            <w:vAlign w:val="center"/>
          </w:tcPr>
          <w:p w:rsidR="002F1934" w:rsidRPr="003A2AB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3A2AB3">
              <w:rPr>
                <w:lang w:eastAsia="en-US"/>
              </w:rPr>
              <w:t>Минерал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val="en-US" w:eastAsia="en-US"/>
              </w:rPr>
            </w:pPr>
            <w:r w:rsidRPr="004F1DA3">
              <w:rPr>
                <w:lang w:val="en-US" w:eastAsia="en-US"/>
              </w:rPr>
              <w:t xml:space="preserve">C, </w:t>
            </w:r>
            <w:r w:rsidRPr="003A2AB3">
              <w:t>моль·м</w:t>
            </w:r>
            <w:r w:rsidRPr="004F1DA3">
              <w:rPr>
                <w:vertAlign w:val="superscript"/>
              </w:rPr>
              <w:t>-3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val="en-US" w:eastAsia="en-US"/>
              </w:rPr>
            </w:pPr>
            <w:r w:rsidRPr="004F1DA3">
              <w:rPr>
                <w:lang w:val="en-US" w:eastAsia="en-US"/>
              </w:rPr>
              <w:t>pH</w:t>
            </w:r>
          </w:p>
        </w:tc>
        <w:tc>
          <w:tcPr>
            <w:tcW w:w="0" w:type="auto"/>
            <w:vAlign w:val="center"/>
          </w:tcPr>
          <w:p w:rsidR="002F1934" w:rsidRPr="003A2AB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sym w:font="Symbol" w:char="F07A"/>
            </w:r>
            <w:r w:rsidRPr="004F1DA3">
              <w:rPr>
                <w:lang w:val="en-US"/>
              </w:rPr>
              <w:t xml:space="preserve">, </w:t>
            </w:r>
            <w:r w:rsidRPr="003A2AB3">
              <w:t>мВ</w:t>
            </w:r>
          </w:p>
        </w:tc>
        <w:tc>
          <w:tcPr>
            <w:tcW w:w="3535" w:type="dxa"/>
            <w:vAlign w:val="center"/>
          </w:tcPr>
          <w:p w:rsidR="002F1934" w:rsidRPr="003A2AB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3A2AB3">
              <w:rPr>
                <w:lang w:eastAsia="en-US"/>
              </w:rPr>
              <w:t>Ссылка</w:t>
            </w:r>
          </w:p>
        </w:tc>
      </w:tr>
      <w:tr w:rsidR="002F1934" w:rsidTr="00C57275">
        <w:tc>
          <w:tcPr>
            <w:tcW w:w="0" w:type="auto"/>
            <w:vAlign w:val="center"/>
          </w:tcPr>
          <w:p w:rsidR="002F1934" w:rsidRPr="003A2AB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3A2AB3">
              <w:rPr>
                <w:lang w:eastAsia="en-US"/>
              </w:rPr>
              <w:t>Кальцит</w:t>
            </w:r>
          </w:p>
        </w:tc>
        <w:tc>
          <w:tcPr>
            <w:tcW w:w="0" w:type="auto"/>
            <w:vAlign w:val="center"/>
          </w:tcPr>
          <w:p w:rsidR="002F1934" w:rsidRPr="003A2AB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3A2AB3"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F1934" w:rsidRPr="003A2AB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3A2AB3">
              <w:rPr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2F1934" w:rsidRPr="003A2AB3" w:rsidRDefault="002F1934" w:rsidP="00C57275">
            <w:pPr>
              <w:ind w:firstLine="0"/>
              <w:jc w:val="center"/>
            </w:pPr>
            <w:r w:rsidRPr="003A2AB3">
              <w:t>-40</w:t>
            </w:r>
          </w:p>
        </w:tc>
        <w:tc>
          <w:tcPr>
            <w:tcW w:w="3535" w:type="dxa"/>
            <w:vAlign w:val="center"/>
          </w:tcPr>
          <w:p w:rsidR="002F1934" w:rsidRPr="003A2AB3" w:rsidRDefault="002F1934" w:rsidP="00C57275">
            <w:pPr>
              <w:ind w:firstLine="0"/>
              <w:jc w:val="center"/>
            </w:pPr>
            <w:proofErr w:type="spellStart"/>
            <w:r w:rsidRPr="003A2AB3">
              <w:t>Li</w:t>
            </w:r>
            <w:proofErr w:type="spellEnd"/>
            <w:r w:rsidRPr="003A2AB3">
              <w:t xml:space="preserve"> </w:t>
            </w:r>
            <w:proofErr w:type="spellStart"/>
            <w:r w:rsidRPr="003A2AB3">
              <w:t>et</w:t>
            </w:r>
            <w:proofErr w:type="spellEnd"/>
            <w:r w:rsidRPr="003A2AB3">
              <w:t xml:space="preserve"> </w:t>
            </w:r>
            <w:proofErr w:type="spellStart"/>
            <w:r w:rsidRPr="003A2AB3">
              <w:t>al</w:t>
            </w:r>
            <w:proofErr w:type="spellEnd"/>
            <w:r w:rsidRPr="003A2AB3">
              <w:t>., 2016</w:t>
            </w:r>
          </w:p>
        </w:tc>
      </w:tr>
      <w:tr w:rsidR="002F1934" w:rsidTr="00C57275">
        <w:tc>
          <w:tcPr>
            <w:tcW w:w="0" w:type="auto"/>
            <w:vAlign w:val="center"/>
          </w:tcPr>
          <w:p w:rsidR="002F1934" w:rsidRPr="003A2AB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3A2AB3">
              <w:rPr>
                <w:lang w:eastAsia="en-US"/>
              </w:rPr>
              <w:t>Кальцит</w:t>
            </w:r>
          </w:p>
        </w:tc>
        <w:tc>
          <w:tcPr>
            <w:tcW w:w="0" w:type="auto"/>
            <w:vAlign w:val="center"/>
          </w:tcPr>
          <w:p w:rsidR="002F1934" w:rsidRPr="003A2AB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3A2AB3">
              <w:rPr>
                <w:lang w:eastAsia="en-US"/>
              </w:rPr>
              <w:t>10</w:t>
            </w:r>
          </w:p>
        </w:tc>
        <w:tc>
          <w:tcPr>
            <w:tcW w:w="0" w:type="auto"/>
            <w:vAlign w:val="center"/>
          </w:tcPr>
          <w:p w:rsidR="002F1934" w:rsidRPr="003A2AB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3A2AB3">
              <w:rPr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2F1934" w:rsidRPr="003A2AB3" w:rsidRDefault="002F1934" w:rsidP="00C57275">
            <w:pPr>
              <w:ind w:firstLine="0"/>
              <w:jc w:val="center"/>
            </w:pPr>
            <w:r w:rsidRPr="003A2AB3">
              <w:t>-30</w:t>
            </w:r>
          </w:p>
        </w:tc>
        <w:tc>
          <w:tcPr>
            <w:tcW w:w="3535" w:type="dxa"/>
            <w:vAlign w:val="center"/>
          </w:tcPr>
          <w:p w:rsidR="002F1934" w:rsidRPr="003A2AB3" w:rsidRDefault="002F1934" w:rsidP="00C57275">
            <w:pPr>
              <w:ind w:firstLine="0"/>
              <w:jc w:val="center"/>
            </w:pPr>
            <w:proofErr w:type="spellStart"/>
            <w:r w:rsidRPr="003A2AB3">
              <w:t>Li</w:t>
            </w:r>
            <w:proofErr w:type="spellEnd"/>
            <w:r w:rsidRPr="003A2AB3">
              <w:t xml:space="preserve"> </w:t>
            </w:r>
            <w:proofErr w:type="spellStart"/>
            <w:r w:rsidRPr="003A2AB3">
              <w:t>et</w:t>
            </w:r>
            <w:proofErr w:type="spellEnd"/>
            <w:r w:rsidRPr="003A2AB3">
              <w:t xml:space="preserve"> </w:t>
            </w:r>
            <w:proofErr w:type="spellStart"/>
            <w:r w:rsidRPr="003A2AB3">
              <w:t>al</w:t>
            </w:r>
            <w:proofErr w:type="spellEnd"/>
            <w:r w:rsidRPr="003A2AB3">
              <w:t>., 2016</w:t>
            </w:r>
          </w:p>
        </w:tc>
      </w:tr>
      <w:tr w:rsidR="002F1934" w:rsidTr="00C57275">
        <w:tc>
          <w:tcPr>
            <w:tcW w:w="0" w:type="auto"/>
            <w:vAlign w:val="center"/>
          </w:tcPr>
          <w:p w:rsidR="002F1934" w:rsidRPr="003A2AB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3A2AB3">
              <w:rPr>
                <w:lang w:eastAsia="en-US"/>
              </w:rPr>
              <w:t>Кварц</w:t>
            </w:r>
          </w:p>
        </w:tc>
        <w:tc>
          <w:tcPr>
            <w:tcW w:w="0" w:type="auto"/>
            <w:vAlign w:val="center"/>
          </w:tcPr>
          <w:p w:rsidR="002F1934" w:rsidRPr="003A2AB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3A2AB3"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F1934" w:rsidRPr="003A2AB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3A2AB3">
              <w:rPr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2F1934" w:rsidRPr="003A2AB3" w:rsidRDefault="002F1934" w:rsidP="00C57275">
            <w:pPr>
              <w:ind w:firstLine="0"/>
              <w:jc w:val="center"/>
            </w:pPr>
            <w:r w:rsidRPr="003A2AB3">
              <w:t>-80</w:t>
            </w:r>
          </w:p>
        </w:tc>
        <w:tc>
          <w:tcPr>
            <w:tcW w:w="3535" w:type="dxa"/>
            <w:vAlign w:val="center"/>
          </w:tcPr>
          <w:p w:rsidR="002F1934" w:rsidRPr="003A2AB3" w:rsidRDefault="002F1934" w:rsidP="00C57275">
            <w:pPr>
              <w:ind w:firstLine="0"/>
              <w:jc w:val="center"/>
            </w:pPr>
            <w:proofErr w:type="spellStart"/>
            <w:r w:rsidRPr="003A2AB3">
              <w:t>Wang</w:t>
            </w:r>
            <w:proofErr w:type="spellEnd"/>
            <w:r w:rsidRPr="003A2AB3">
              <w:t xml:space="preserve"> </w:t>
            </w:r>
            <w:proofErr w:type="spellStart"/>
            <w:r w:rsidRPr="003A2AB3">
              <w:t>and</w:t>
            </w:r>
            <w:proofErr w:type="spellEnd"/>
            <w:r w:rsidRPr="003A2AB3">
              <w:t xml:space="preserve"> </w:t>
            </w:r>
            <w:proofErr w:type="spellStart"/>
            <w:r w:rsidRPr="003A2AB3">
              <w:t>Revil</w:t>
            </w:r>
            <w:proofErr w:type="spellEnd"/>
            <w:r w:rsidRPr="003A2AB3">
              <w:t>, 2010</w:t>
            </w:r>
          </w:p>
        </w:tc>
      </w:tr>
      <w:tr w:rsidR="002F1934" w:rsidRPr="003F44CA" w:rsidTr="00C57275">
        <w:tc>
          <w:tcPr>
            <w:tcW w:w="0" w:type="auto"/>
            <w:vAlign w:val="center"/>
          </w:tcPr>
          <w:p w:rsidR="002F1934" w:rsidRPr="003A2AB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3A2AB3">
              <w:rPr>
                <w:lang w:eastAsia="en-US"/>
              </w:rPr>
              <w:t>Кварц</w:t>
            </w:r>
          </w:p>
        </w:tc>
        <w:tc>
          <w:tcPr>
            <w:tcW w:w="0" w:type="auto"/>
            <w:vAlign w:val="center"/>
          </w:tcPr>
          <w:p w:rsidR="002F1934" w:rsidRPr="003A2AB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3A2AB3">
              <w:rPr>
                <w:lang w:eastAsia="en-US"/>
              </w:rPr>
              <w:t>10</w:t>
            </w:r>
          </w:p>
        </w:tc>
        <w:tc>
          <w:tcPr>
            <w:tcW w:w="0" w:type="auto"/>
            <w:vAlign w:val="center"/>
          </w:tcPr>
          <w:p w:rsidR="002F1934" w:rsidRPr="003A2AB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3A2AB3">
              <w:rPr>
                <w:lang w:eastAsia="en-US"/>
              </w:rPr>
              <w:t>6,5</w:t>
            </w:r>
          </w:p>
        </w:tc>
        <w:tc>
          <w:tcPr>
            <w:tcW w:w="0" w:type="auto"/>
            <w:vAlign w:val="center"/>
          </w:tcPr>
          <w:p w:rsidR="002F1934" w:rsidRPr="003A2AB3" w:rsidRDefault="002F1934" w:rsidP="00C57275">
            <w:pPr>
              <w:ind w:firstLine="0"/>
              <w:jc w:val="center"/>
            </w:pPr>
            <w:r w:rsidRPr="003A2AB3">
              <w:t>-40</w:t>
            </w:r>
          </w:p>
        </w:tc>
        <w:tc>
          <w:tcPr>
            <w:tcW w:w="3535" w:type="dxa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val="en-US"/>
              </w:rPr>
            </w:pPr>
            <w:proofErr w:type="spellStart"/>
            <w:r w:rsidRPr="004F1DA3">
              <w:rPr>
                <w:lang w:val="en-US"/>
              </w:rPr>
              <w:t>Gaudin</w:t>
            </w:r>
            <w:proofErr w:type="spellEnd"/>
            <w:r w:rsidRPr="004F1DA3">
              <w:rPr>
                <w:lang w:val="en-US"/>
              </w:rPr>
              <w:t xml:space="preserve"> and </w:t>
            </w:r>
            <w:proofErr w:type="spellStart"/>
            <w:r w:rsidRPr="004F1DA3">
              <w:rPr>
                <w:lang w:val="en-US"/>
              </w:rPr>
              <w:t>Fuerstenau</w:t>
            </w:r>
            <w:proofErr w:type="spellEnd"/>
            <w:r w:rsidRPr="004F1DA3">
              <w:rPr>
                <w:lang w:val="en-US"/>
              </w:rPr>
              <w:t>, 1955a,b</w:t>
            </w:r>
          </w:p>
        </w:tc>
      </w:tr>
      <w:tr w:rsidR="002F1934" w:rsidTr="00C57275"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Органический материал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6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</w:pPr>
            <w:r w:rsidRPr="004F1DA3">
              <w:rPr>
                <w:szCs w:val="22"/>
              </w:rPr>
              <w:t>-10</w:t>
            </w:r>
          </w:p>
        </w:tc>
        <w:tc>
          <w:tcPr>
            <w:tcW w:w="3535" w:type="dxa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val="en-US"/>
              </w:rPr>
            </w:pPr>
            <w:proofErr w:type="spellStart"/>
            <w:r w:rsidRPr="004F1DA3">
              <w:rPr>
                <w:szCs w:val="22"/>
                <w:lang w:val="en-US"/>
              </w:rPr>
              <w:t>Xagoraraki</w:t>
            </w:r>
            <w:proofErr w:type="spellEnd"/>
            <w:r w:rsidRPr="004F1DA3">
              <w:rPr>
                <w:szCs w:val="22"/>
                <w:lang w:val="en-US"/>
              </w:rPr>
              <w:t xml:space="preserve"> and Harrington, 2004</w:t>
            </w:r>
          </w:p>
        </w:tc>
      </w:tr>
      <w:tr w:rsidR="002F1934" w:rsidTr="00C57275"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Каолинит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</w:pPr>
            <w:r w:rsidRPr="004F1DA3">
              <w:rPr>
                <w:szCs w:val="22"/>
              </w:rPr>
              <w:t>-90</w:t>
            </w:r>
          </w:p>
        </w:tc>
        <w:tc>
          <w:tcPr>
            <w:tcW w:w="3535" w:type="dxa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val="en-US"/>
              </w:rPr>
            </w:pPr>
            <w:proofErr w:type="spellStart"/>
            <w:r w:rsidRPr="004F1DA3">
              <w:rPr>
                <w:szCs w:val="22"/>
                <w:lang w:val="en-US"/>
              </w:rPr>
              <w:t>Alkafeef</w:t>
            </w:r>
            <w:proofErr w:type="spellEnd"/>
            <w:r w:rsidRPr="004F1DA3">
              <w:rPr>
                <w:szCs w:val="22"/>
                <w:lang w:val="en-US"/>
              </w:rPr>
              <w:t xml:space="preserve"> et al., 1999</w:t>
            </w:r>
          </w:p>
        </w:tc>
      </w:tr>
      <w:tr w:rsidR="002F1934" w:rsidTr="00C57275"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Каолинит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10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</w:pPr>
            <w:r w:rsidRPr="004F1DA3">
              <w:rPr>
                <w:szCs w:val="22"/>
              </w:rPr>
              <w:t>-50</w:t>
            </w:r>
          </w:p>
        </w:tc>
        <w:tc>
          <w:tcPr>
            <w:tcW w:w="3535" w:type="dxa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val="en-US"/>
              </w:rPr>
            </w:pPr>
            <w:proofErr w:type="spellStart"/>
            <w:r w:rsidRPr="004F1DA3">
              <w:rPr>
                <w:szCs w:val="22"/>
                <w:lang w:val="en-US"/>
              </w:rPr>
              <w:t>Alkafeef</w:t>
            </w:r>
            <w:proofErr w:type="spellEnd"/>
            <w:r w:rsidRPr="004F1DA3">
              <w:rPr>
                <w:szCs w:val="22"/>
                <w:lang w:val="en-US"/>
              </w:rPr>
              <w:t xml:space="preserve"> et al., 1999</w:t>
            </w:r>
          </w:p>
        </w:tc>
      </w:tr>
      <w:tr w:rsidR="002F1934" w:rsidTr="00C57275"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4F1DA3">
              <w:rPr>
                <w:szCs w:val="22"/>
                <w:lang w:eastAsia="en-US"/>
              </w:rPr>
              <w:t>Смектит</w:t>
            </w:r>
            <w:proofErr w:type="spellEnd"/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10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</w:pPr>
            <w:r w:rsidRPr="004F1DA3">
              <w:rPr>
                <w:szCs w:val="22"/>
              </w:rPr>
              <w:t>-30</w:t>
            </w:r>
          </w:p>
        </w:tc>
        <w:tc>
          <w:tcPr>
            <w:tcW w:w="3535" w:type="dxa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val="en-US"/>
              </w:rPr>
            </w:pPr>
            <w:proofErr w:type="spellStart"/>
            <w:r w:rsidRPr="004F1DA3">
              <w:rPr>
                <w:szCs w:val="22"/>
                <w:lang w:val="en-US"/>
              </w:rPr>
              <w:t>Sondi</w:t>
            </w:r>
            <w:proofErr w:type="spellEnd"/>
            <w:r w:rsidRPr="004F1DA3">
              <w:rPr>
                <w:szCs w:val="22"/>
                <w:lang w:val="en-US"/>
              </w:rPr>
              <w:t xml:space="preserve"> et al., 1996</w:t>
            </w:r>
          </w:p>
        </w:tc>
      </w:tr>
      <w:tr w:rsidR="002F1934" w:rsidTr="00C57275"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4F1DA3">
              <w:rPr>
                <w:szCs w:val="22"/>
                <w:lang w:eastAsia="en-US"/>
              </w:rPr>
              <w:t>Иллит</w:t>
            </w:r>
            <w:proofErr w:type="spellEnd"/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10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</w:pPr>
            <w:r w:rsidRPr="004F1DA3">
              <w:rPr>
                <w:szCs w:val="22"/>
              </w:rPr>
              <w:t>-45</w:t>
            </w:r>
          </w:p>
        </w:tc>
        <w:tc>
          <w:tcPr>
            <w:tcW w:w="3535" w:type="dxa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val="en-US"/>
              </w:rPr>
            </w:pPr>
            <w:r w:rsidRPr="004F1DA3">
              <w:rPr>
                <w:szCs w:val="22"/>
                <w:lang w:val="en-US"/>
              </w:rPr>
              <w:t>Martinez et al., 2010</w:t>
            </w:r>
          </w:p>
        </w:tc>
      </w:tr>
      <w:tr w:rsidR="002F1934" w:rsidTr="00C57275"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Мусковит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</w:pPr>
            <w:r w:rsidRPr="004F1DA3">
              <w:rPr>
                <w:szCs w:val="22"/>
              </w:rPr>
              <w:t>-100</w:t>
            </w:r>
          </w:p>
        </w:tc>
        <w:tc>
          <w:tcPr>
            <w:tcW w:w="3535" w:type="dxa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val="en-US"/>
              </w:rPr>
            </w:pPr>
            <w:r w:rsidRPr="004F1DA3">
              <w:rPr>
                <w:szCs w:val="22"/>
                <w:lang w:val="en-US"/>
              </w:rPr>
              <w:t>Goldberg et al., 2012</w:t>
            </w:r>
          </w:p>
        </w:tc>
      </w:tr>
      <w:tr w:rsidR="002F1934" w:rsidTr="00C57275"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Мусковит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10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</w:pPr>
            <w:r w:rsidRPr="004F1DA3">
              <w:rPr>
                <w:szCs w:val="22"/>
              </w:rPr>
              <w:t>-80</w:t>
            </w:r>
          </w:p>
        </w:tc>
        <w:tc>
          <w:tcPr>
            <w:tcW w:w="3535" w:type="dxa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val="en-US"/>
              </w:rPr>
            </w:pPr>
            <w:r w:rsidRPr="004F1DA3">
              <w:rPr>
                <w:szCs w:val="22"/>
                <w:lang w:val="en-US"/>
              </w:rPr>
              <w:t>Goldberg et al., 2012</w:t>
            </w:r>
          </w:p>
        </w:tc>
      </w:tr>
      <w:tr w:rsidR="002F1934" w:rsidTr="00C57275"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Альбит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</w:pPr>
            <w:r w:rsidRPr="004F1DA3">
              <w:rPr>
                <w:szCs w:val="22"/>
              </w:rPr>
              <w:t>-56</w:t>
            </w:r>
          </w:p>
        </w:tc>
        <w:tc>
          <w:tcPr>
            <w:tcW w:w="3535" w:type="dxa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val="en-US"/>
              </w:rPr>
            </w:pPr>
            <w:proofErr w:type="spellStart"/>
            <w:r w:rsidRPr="004F1DA3">
              <w:rPr>
                <w:szCs w:val="22"/>
                <w:lang w:val="en-US"/>
              </w:rPr>
              <w:t>Demir</w:t>
            </w:r>
            <w:proofErr w:type="spellEnd"/>
            <w:r w:rsidRPr="004F1DA3">
              <w:rPr>
                <w:szCs w:val="22"/>
                <w:lang w:val="en-US"/>
              </w:rPr>
              <w:t>, 2010</w:t>
            </w:r>
          </w:p>
        </w:tc>
      </w:tr>
      <w:tr w:rsidR="002F1934" w:rsidTr="00C57275"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Альбит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10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</w:pPr>
            <w:r w:rsidRPr="004F1DA3">
              <w:rPr>
                <w:szCs w:val="22"/>
              </w:rPr>
              <w:t>-52</w:t>
            </w:r>
          </w:p>
        </w:tc>
        <w:tc>
          <w:tcPr>
            <w:tcW w:w="3535" w:type="dxa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val="en-US"/>
              </w:rPr>
            </w:pPr>
            <w:proofErr w:type="spellStart"/>
            <w:r w:rsidRPr="004F1DA3">
              <w:rPr>
                <w:szCs w:val="22"/>
                <w:lang w:val="en-US"/>
              </w:rPr>
              <w:t>Demir</w:t>
            </w:r>
            <w:proofErr w:type="spellEnd"/>
            <w:r w:rsidRPr="004F1DA3">
              <w:rPr>
                <w:szCs w:val="22"/>
                <w:lang w:val="en-US"/>
              </w:rPr>
              <w:t>, 2010</w:t>
            </w:r>
          </w:p>
        </w:tc>
      </w:tr>
      <w:tr w:rsidR="002F1934" w:rsidTr="00C57275"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Ортоклаз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</w:pPr>
            <w:r w:rsidRPr="004F1DA3">
              <w:rPr>
                <w:szCs w:val="22"/>
              </w:rPr>
              <w:t>-68</w:t>
            </w:r>
          </w:p>
        </w:tc>
        <w:tc>
          <w:tcPr>
            <w:tcW w:w="3535" w:type="dxa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val="en-US"/>
              </w:rPr>
            </w:pPr>
            <w:proofErr w:type="spellStart"/>
            <w:r w:rsidRPr="004F1DA3">
              <w:rPr>
                <w:szCs w:val="22"/>
                <w:lang w:val="en-US"/>
              </w:rPr>
              <w:t>Demir</w:t>
            </w:r>
            <w:proofErr w:type="spellEnd"/>
            <w:r w:rsidRPr="004F1DA3">
              <w:rPr>
                <w:szCs w:val="22"/>
                <w:lang w:val="en-US"/>
              </w:rPr>
              <w:t>, 2010</w:t>
            </w:r>
          </w:p>
        </w:tc>
      </w:tr>
      <w:tr w:rsidR="002F1934" w:rsidTr="00C57275"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Ортоклаз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10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</w:pPr>
            <w:r w:rsidRPr="004F1DA3">
              <w:rPr>
                <w:szCs w:val="22"/>
              </w:rPr>
              <w:t>-68</w:t>
            </w:r>
          </w:p>
        </w:tc>
        <w:tc>
          <w:tcPr>
            <w:tcW w:w="3535" w:type="dxa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val="en-US"/>
              </w:rPr>
            </w:pPr>
            <w:proofErr w:type="spellStart"/>
            <w:r w:rsidRPr="004F1DA3">
              <w:rPr>
                <w:szCs w:val="22"/>
                <w:lang w:val="en-US"/>
              </w:rPr>
              <w:t>Demir</w:t>
            </w:r>
            <w:proofErr w:type="spellEnd"/>
            <w:r w:rsidRPr="004F1DA3">
              <w:rPr>
                <w:szCs w:val="22"/>
                <w:lang w:val="en-US"/>
              </w:rPr>
              <w:t>, 2010</w:t>
            </w:r>
          </w:p>
        </w:tc>
      </w:tr>
      <w:tr w:rsidR="002F1934" w:rsidTr="00C57275"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Серпентин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</w:pPr>
            <w:r w:rsidRPr="004F1DA3">
              <w:rPr>
                <w:szCs w:val="22"/>
              </w:rPr>
              <w:t>+35</w:t>
            </w:r>
          </w:p>
        </w:tc>
        <w:tc>
          <w:tcPr>
            <w:tcW w:w="3535" w:type="dxa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val="en-US"/>
              </w:rPr>
            </w:pPr>
            <w:r w:rsidRPr="004F1DA3">
              <w:rPr>
                <w:szCs w:val="22"/>
                <w:lang w:val="en-US"/>
              </w:rPr>
              <w:t>Feng et al., 2014</w:t>
            </w:r>
          </w:p>
        </w:tc>
      </w:tr>
    </w:tbl>
    <w:p w:rsidR="002F1934" w:rsidRDefault="002F1934" w:rsidP="0072238B">
      <w:pPr>
        <w:spacing w:line="240" w:lineRule="auto"/>
        <w:ind w:firstLine="0"/>
        <w:rPr>
          <w:lang w:eastAsia="en-US"/>
        </w:rPr>
      </w:pPr>
    </w:p>
    <w:p w:rsidR="002F1934" w:rsidRDefault="002F1934" w:rsidP="0072238B">
      <w:pPr>
        <w:ind w:firstLine="0"/>
        <w:rPr>
          <w:lang w:eastAsia="en-US"/>
        </w:rPr>
      </w:pPr>
    </w:p>
    <w:p w:rsidR="002F1934" w:rsidRDefault="002F1934" w:rsidP="0072238B">
      <w:pPr>
        <w:spacing w:line="240" w:lineRule="auto"/>
        <w:ind w:firstLine="0"/>
        <w:rPr>
          <w:sz w:val="20"/>
          <w:lang w:eastAsia="en-US"/>
        </w:rPr>
      </w:pPr>
    </w:p>
    <w:p w:rsidR="002F1934" w:rsidRPr="006947CC" w:rsidRDefault="002F1934" w:rsidP="0072238B">
      <w:pPr>
        <w:spacing w:line="240" w:lineRule="auto"/>
        <w:ind w:firstLine="0"/>
        <w:rPr>
          <w:sz w:val="20"/>
          <w:lang w:eastAsia="en-US"/>
        </w:rPr>
      </w:pPr>
      <w:r w:rsidRPr="006947CC">
        <w:rPr>
          <w:sz w:val="20"/>
          <w:lang w:eastAsia="en-US"/>
        </w:rPr>
        <w:t>Таблица 2. Значения коэффициентов разделения для некоторых минералов.</w:t>
      </w:r>
    </w:p>
    <w:p w:rsidR="002F1934" w:rsidRDefault="002F1934" w:rsidP="0072238B">
      <w:pPr>
        <w:ind w:firstLine="0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3"/>
        <w:gridCol w:w="1363"/>
        <w:gridCol w:w="516"/>
        <w:gridCol w:w="636"/>
        <w:gridCol w:w="2523"/>
      </w:tblGrid>
      <w:tr w:rsidR="002F1934" w:rsidTr="00C57275"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3A2AB3">
              <w:rPr>
                <w:lang w:eastAsia="en-US"/>
              </w:rPr>
              <w:t>Минерал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lang w:val="en-US" w:eastAsia="en-US"/>
              </w:rPr>
              <w:t xml:space="preserve">C, </w:t>
            </w:r>
            <w:r w:rsidRPr="003A2AB3">
              <w:t>моль·м</w:t>
            </w:r>
            <w:r w:rsidRPr="004F1DA3">
              <w:rPr>
                <w:vertAlign w:val="superscript"/>
              </w:rPr>
              <w:t>-3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lang w:val="en-US" w:eastAsia="en-US"/>
              </w:rPr>
              <w:t>pH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vertAlign w:val="subscript"/>
                <w:lang w:val="en-US" w:eastAsia="en-US"/>
              </w:rPr>
            </w:pPr>
            <w:proofErr w:type="spellStart"/>
            <w:r w:rsidRPr="004F1DA3">
              <w:rPr>
                <w:szCs w:val="22"/>
                <w:lang w:val="en-US" w:eastAsia="en-US"/>
              </w:rPr>
              <w:t>f</w:t>
            </w:r>
            <w:r w:rsidRPr="004F1DA3">
              <w:rPr>
                <w:szCs w:val="22"/>
                <w:vertAlign w:val="subscript"/>
                <w:lang w:val="en-US" w:eastAsia="en-US"/>
              </w:rPr>
              <w:t>p</w:t>
            </w:r>
            <w:proofErr w:type="spellEnd"/>
            <w:r w:rsidRPr="004F1DA3">
              <w:rPr>
                <w:szCs w:val="22"/>
                <w:lang w:val="en-US" w:eastAsia="en-US"/>
              </w:rPr>
              <w:t>, -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Ссылка</w:t>
            </w:r>
          </w:p>
        </w:tc>
      </w:tr>
      <w:tr w:rsidR="002F1934" w:rsidTr="00C57275"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Кальцит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0,97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4F1DA3">
              <w:rPr>
                <w:szCs w:val="22"/>
                <w:lang w:eastAsia="en-US"/>
              </w:rPr>
              <w:t>Li</w:t>
            </w:r>
            <w:proofErr w:type="spellEnd"/>
            <w:r w:rsidRPr="004F1DA3">
              <w:rPr>
                <w:szCs w:val="22"/>
                <w:lang w:eastAsia="en-US"/>
              </w:rPr>
              <w:t xml:space="preserve"> </w:t>
            </w:r>
            <w:proofErr w:type="spellStart"/>
            <w:r w:rsidRPr="004F1DA3">
              <w:rPr>
                <w:szCs w:val="22"/>
                <w:lang w:eastAsia="en-US"/>
              </w:rPr>
              <w:t>et</w:t>
            </w:r>
            <w:proofErr w:type="spellEnd"/>
            <w:r w:rsidRPr="004F1DA3">
              <w:rPr>
                <w:szCs w:val="22"/>
                <w:lang w:eastAsia="en-US"/>
              </w:rPr>
              <w:t xml:space="preserve"> </w:t>
            </w:r>
            <w:proofErr w:type="spellStart"/>
            <w:r w:rsidRPr="004F1DA3">
              <w:rPr>
                <w:szCs w:val="22"/>
                <w:lang w:eastAsia="en-US"/>
              </w:rPr>
              <w:t>al</w:t>
            </w:r>
            <w:proofErr w:type="spellEnd"/>
            <w:r w:rsidRPr="004F1DA3">
              <w:rPr>
                <w:szCs w:val="22"/>
                <w:lang w:eastAsia="en-US"/>
              </w:rPr>
              <w:t>., 2016</w:t>
            </w:r>
          </w:p>
        </w:tc>
      </w:tr>
      <w:tr w:rsidR="002F1934" w:rsidTr="00C57275"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Кварц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9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0,58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4F1DA3">
              <w:rPr>
                <w:szCs w:val="22"/>
                <w:lang w:eastAsia="en-US"/>
              </w:rPr>
              <w:t>Revil</w:t>
            </w:r>
            <w:proofErr w:type="spellEnd"/>
            <w:r w:rsidRPr="004F1DA3">
              <w:rPr>
                <w:szCs w:val="22"/>
                <w:lang w:eastAsia="en-US"/>
              </w:rPr>
              <w:t xml:space="preserve"> </w:t>
            </w:r>
            <w:proofErr w:type="spellStart"/>
            <w:r w:rsidRPr="004F1DA3">
              <w:rPr>
                <w:szCs w:val="22"/>
                <w:lang w:eastAsia="en-US"/>
              </w:rPr>
              <w:t>and</w:t>
            </w:r>
            <w:proofErr w:type="spellEnd"/>
            <w:r w:rsidRPr="004F1DA3">
              <w:rPr>
                <w:szCs w:val="22"/>
                <w:lang w:eastAsia="en-US"/>
              </w:rPr>
              <w:t xml:space="preserve"> </w:t>
            </w:r>
            <w:proofErr w:type="spellStart"/>
            <w:r w:rsidRPr="004F1DA3">
              <w:rPr>
                <w:szCs w:val="22"/>
                <w:lang w:eastAsia="en-US"/>
              </w:rPr>
              <w:t>Florsch</w:t>
            </w:r>
            <w:proofErr w:type="spellEnd"/>
            <w:r w:rsidRPr="004F1DA3">
              <w:rPr>
                <w:szCs w:val="22"/>
                <w:lang w:eastAsia="en-US"/>
              </w:rPr>
              <w:t>, 2010</w:t>
            </w:r>
          </w:p>
        </w:tc>
      </w:tr>
      <w:tr w:rsidR="002F1934" w:rsidTr="00C57275"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Кварц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10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9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0,78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4F1DA3">
              <w:rPr>
                <w:szCs w:val="22"/>
                <w:lang w:eastAsia="en-US"/>
              </w:rPr>
              <w:t>Revil</w:t>
            </w:r>
            <w:proofErr w:type="spellEnd"/>
            <w:r w:rsidRPr="004F1DA3">
              <w:rPr>
                <w:szCs w:val="22"/>
                <w:lang w:eastAsia="en-US"/>
              </w:rPr>
              <w:t xml:space="preserve"> </w:t>
            </w:r>
            <w:proofErr w:type="spellStart"/>
            <w:r w:rsidRPr="004F1DA3">
              <w:rPr>
                <w:szCs w:val="22"/>
                <w:lang w:eastAsia="en-US"/>
              </w:rPr>
              <w:t>and</w:t>
            </w:r>
            <w:proofErr w:type="spellEnd"/>
            <w:r w:rsidRPr="004F1DA3">
              <w:rPr>
                <w:szCs w:val="22"/>
                <w:lang w:eastAsia="en-US"/>
              </w:rPr>
              <w:t xml:space="preserve"> </w:t>
            </w:r>
            <w:proofErr w:type="spellStart"/>
            <w:r w:rsidRPr="004F1DA3">
              <w:rPr>
                <w:szCs w:val="22"/>
                <w:lang w:eastAsia="en-US"/>
              </w:rPr>
              <w:t>Florsch</w:t>
            </w:r>
            <w:proofErr w:type="spellEnd"/>
            <w:r w:rsidRPr="004F1DA3">
              <w:rPr>
                <w:szCs w:val="22"/>
                <w:lang w:eastAsia="en-US"/>
              </w:rPr>
              <w:t>, 2010</w:t>
            </w:r>
          </w:p>
        </w:tc>
      </w:tr>
      <w:tr w:rsidR="002F1934" w:rsidTr="00C57275"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Каолинит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5,5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0,98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4F1DA3">
              <w:rPr>
                <w:szCs w:val="22"/>
                <w:lang w:eastAsia="en-US"/>
              </w:rPr>
              <w:t>Revil</w:t>
            </w:r>
            <w:proofErr w:type="spellEnd"/>
            <w:r w:rsidRPr="004F1DA3">
              <w:rPr>
                <w:szCs w:val="22"/>
                <w:lang w:eastAsia="en-US"/>
              </w:rPr>
              <w:t xml:space="preserve"> </w:t>
            </w:r>
            <w:proofErr w:type="spellStart"/>
            <w:r w:rsidRPr="004F1DA3">
              <w:rPr>
                <w:szCs w:val="22"/>
                <w:lang w:eastAsia="en-US"/>
              </w:rPr>
              <w:t>and</w:t>
            </w:r>
            <w:proofErr w:type="spellEnd"/>
            <w:r w:rsidRPr="004F1DA3">
              <w:rPr>
                <w:szCs w:val="22"/>
                <w:lang w:eastAsia="en-US"/>
              </w:rPr>
              <w:t xml:space="preserve"> </w:t>
            </w:r>
            <w:proofErr w:type="spellStart"/>
            <w:r w:rsidRPr="004F1DA3">
              <w:rPr>
                <w:szCs w:val="22"/>
                <w:lang w:eastAsia="en-US"/>
              </w:rPr>
              <w:t>Florsch</w:t>
            </w:r>
            <w:proofErr w:type="spellEnd"/>
            <w:r w:rsidRPr="004F1DA3">
              <w:rPr>
                <w:szCs w:val="22"/>
                <w:lang w:eastAsia="en-US"/>
              </w:rPr>
              <w:t>, 2010</w:t>
            </w:r>
          </w:p>
        </w:tc>
      </w:tr>
      <w:tr w:rsidR="002F1934" w:rsidTr="00C57275"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Каолинит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5,5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0,99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4F1DA3">
              <w:rPr>
                <w:szCs w:val="22"/>
                <w:lang w:eastAsia="en-US"/>
              </w:rPr>
              <w:t>Revil</w:t>
            </w:r>
            <w:proofErr w:type="spellEnd"/>
            <w:r w:rsidRPr="004F1DA3">
              <w:rPr>
                <w:szCs w:val="22"/>
                <w:lang w:eastAsia="en-US"/>
              </w:rPr>
              <w:t xml:space="preserve"> </w:t>
            </w:r>
            <w:proofErr w:type="spellStart"/>
            <w:r w:rsidRPr="004F1DA3">
              <w:rPr>
                <w:szCs w:val="22"/>
                <w:lang w:eastAsia="en-US"/>
              </w:rPr>
              <w:t>and</w:t>
            </w:r>
            <w:proofErr w:type="spellEnd"/>
            <w:r w:rsidRPr="004F1DA3">
              <w:rPr>
                <w:szCs w:val="22"/>
                <w:lang w:eastAsia="en-US"/>
              </w:rPr>
              <w:t xml:space="preserve"> </w:t>
            </w:r>
            <w:proofErr w:type="spellStart"/>
            <w:r w:rsidRPr="004F1DA3">
              <w:rPr>
                <w:szCs w:val="22"/>
                <w:lang w:eastAsia="en-US"/>
              </w:rPr>
              <w:t>Florsch</w:t>
            </w:r>
            <w:proofErr w:type="spellEnd"/>
            <w:r w:rsidRPr="004F1DA3">
              <w:rPr>
                <w:szCs w:val="22"/>
                <w:lang w:eastAsia="en-US"/>
              </w:rPr>
              <w:t>, 2010</w:t>
            </w:r>
          </w:p>
        </w:tc>
      </w:tr>
      <w:tr w:rsidR="002F1934" w:rsidTr="00C57275"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4F1DA3">
              <w:rPr>
                <w:szCs w:val="22"/>
                <w:lang w:eastAsia="en-US"/>
              </w:rPr>
              <w:t>Смектит</w:t>
            </w:r>
            <w:proofErr w:type="spellEnd"/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5,5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0,84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4F1DA3">
              <w:rPr>
                <w:szCs w:val="22"/>
                <w:lang w:eastAsia="en-US"/>
              </w:rPr>
              <w:t>Revil</w:t>
            </w:r>
            <w:proofErr w:type="spellEnd"/>
            <w:r w:rsidRPr="004F1DA3">
              <w:rPr>
                <w:szCs w:val="22"/>
                <w:lang w:eastAsia="en-US"/>
              </w:rPr>
              <w:t xml:space="preserve"> </w:t>
            </w:r>
            <w:proofErr w:type="spellStart"/>
            <w:r w:rsidRPr="004F1DA3">
              <w:rPr>
                <w:szCs w:val="22"/>
                <w:lang w:eastAsia="en-US"/>
              </w:rPr>
              <w:t>and</w:t>
            </w:r>
            <w:proofErr w:type="spellEnd"/>
            <w:r w:rsidRPr="004F1DA3">
              <w:rPr>
                <w:szCs w:val="22"/>
                <w:lang w:eastAsia="en-US"/>
              </w:rPr>
              <w:t xml:space="preserve"> </w:t>
            </w:r>
            <w:proofErr w:type="spellStart"/>
            <w:r w:rsidRPr="004F1DA3">
              <w:rPr>
                <w:szCs w:val="22"/>
                <w:lang w:eastAsia="en-US"/>
              </w:rPr>
              <w:t>Florsch</w:t>
            </w:r>
            <w:proofErr w:type="spellEnd"/>
            <w:r w:rsidRPr="004F1DA3">
              <w:rPr>
                <w:szCs w:val="22"/>
                <w:lang w:eastAsia="en-US"/>
              </w:rPr>
              <w:t>, 2010</w:t>
            </w:r>
          </w:p>
        </w:tc>
      </w:tr>
      <w:tr w:rsidR="002F1934" w:rsidTr="00C57275"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4F1DA3">
              <w:rPr>
                <w:szCs w:val="22"/>
                <w:lang w:eastAsia="en-US"/>
              </w:rPr>
              <w:t>Иллит</w:t>
            </w:r>
            <w:proofErr w:type="spellEnd"/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5,5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r w:rsidRPr="004F1DA3">
              <w:rPr>
                <w:szCs w:val="22"/>
                <w:lang w:eastAsia="en-US"/>
              </w:rPr>
              <w:t>0,89</w:t>
            </w:r>
          </w:p>
        </w:tc>
        <w:tc>
          <w:tcPr>
            <w:tcW w:w="0" w:type="auto"/>
            <w:vAlign w:val="center"/>
          </w:tcPr>
          <w:p w:rsidR="002F1934" w:rsidRPr="004F1DA3" w:rsidRDefault="002F1934" w:rsidP="00C57275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4F1DA3">
              <w:rPr>
                <w:szCs w:val="22"/>
                <w:lang w:eastAsia="en-US"/>
              </w:rPr>
              <w:t>Revil</w:t>
            </w:r>
            <w:proofErr w:type="spellEnd"/>
            <w:r w:rsidRPr="004F1DA3">
              <w:rPr>
                <w:szCs w:val="22"/>
                <w:lang w:eastAsia="en-US"/>
              </w:rPr>
              <w:t xml:space="preserve"> </w:t>
            </w:r>
            <w:proofErr w:type="spellStart"/>
            <w:r w:rsidRPr="004F1DA3">
              <w:rPr>
                <w:szCs w:val="22"/>
                <w:lang w:eastAsia="en-US"/>
              </w:rPr>
              <w:t>and</w:t>
            </w:r>
            <w:proofErr w:type="spellEnd"/>
            <w:r w:rsidRPr="004F1DA3">
              <w:rPr>
                <w:szCs w:val="22"/>
                <w:lang w:eastAsia="en-US"/>
              </w:rPr>
              <w:t xml:space="preserve"> </w:t>
            </w:r>
            <w:proofErr w:type="spellStart"/>
            <w:r w:rsidRPr="004F1DA3">
              <w:rPr>
                <w:szCs w:val="22"/>
                <w:lang w:eastAsia="en-US"/>
              </w:rPr>
              <w:t>Florsch</w:t>
            </w:r>
            <w:proofErr w:type="spellEnd"/>
            <w:r w:rsidRPr="004F1DA3">
              <w:rPr>
                <w:szCs w:val="22"/>
                <w:lang w:eastAsia="en-US"/>
              </w:rPr>
              <w:t>, 2010</w:t>
            </w:r>
          </w:p>
        </w:tc>
      </w:tr>
    </w:tbl>
    <w:p w:rsidR="002F1934" w:rsidRPr="00512C85" w:rsidRDefault="002F1934" w:rsidP="0072238B">
      <w:pPr>
        <w:pStyle w:val="1"/>
        <w:ind w:firstLine="0"/>
        <w:jc w:val="both"/>
        <w:rPr>
          <w:lang w:eastAsia="en-US"/>
        </w:rPr>
      </w:pPr>
    </w:p>
    <w:p w:rsidR="002F1934" w:rsidRPr="00CF44AD" w:rsidRDefault="002F1934" w:rsidP="0072238B">
      <w:pPr>
        <w:rPr>
          <w:lang w:eastAsia="en-US"/>
        </w:rPr>
      </w:pPr>
    </w:p>
    <w:p w:rsidR="002F1934" w:rsidRDefault="002F1934" w:rsidP="0072238B">
      <w:pPr>
        <w:spacing w:after="200" w:line="276" w:lineRule="auto"/>
        <w:ind w:firstLine="0"/>
        <w:jc w:val="left"/>
        <w:rPr>
          <w:b/>
          <w:bCs/>
          <w:color w:val="000000"/>
          <w:szCs w:val="28"/>
          <w:lang w:eastAsia="en-US"/>
        </w:rPr>
      </w:pPr>
      <w:bookmarkStart w:id="7" w:name="_Toc482700005"/>
      <w:r>
        <w:rPr>
          <w:lang w:eastAsia="en-US"/>
        </w:rPr>
        <w:br w:type="page"/>
      </w:r>
    </w:p>
    <w:p w:rsidR="002F1934" w:rsidRDefault="002F1934" w:rsidP="0072238B">
      <w:pPr>
        <w:pStyle w:val="1"/>
        <w:rPr>
          <w:lang w:eastAsia="en-US"/>
        </w:rPr>
      </w:pPr>
      <w:bookmarkStart w:id="8" w:name="_Toc483654933"/>
      <w:r>
        <w:rPr>
          <w:lang w:eastAsia="en-US"/>
        </w:rPr>
        <w:lastRenderedPageBreak/>
        <w:t>Глава 3. Результаты численного моделирования</w:t>
      </w:r>
      <w:bookmarkEnd w:id="8"/>
      <w:r>
        <w:rPr>
          <w:lang w:eastAsia="en-US"/>
        </w:rPr>
        <w:t xml:space="preserve"> </w:t>
      </w:r>
      <w:bookmarkEnd w:id="7"/>
    </w:p>
    <w:p w:rsidR="002F1934" w:rsidRDefault="002F1934" w:rsidP="0072238B">
      <w:pPr>
        <w:rPr>
          <w:lang w:eastAsia="en-US"/>
        </w:rPr>
      </w:pPr>
      <w:r>
        <w:rPr>
          <w:lang w:eastAsia="en-US"/>
        </w:rPr>
        <w:t xml:space="preserve">Моделирование проводилось с целью получения ответа на следующие вопросы. </w:t>
      </w:r>
    </w:p>
    <w:p w:rsidR="002F1934" w:rsidRDefault="002F1934" w:rsidP="0072238B">
      <w:pPr>
        <w:rPr>
          <w:lang w:eastAsia="en-US"/>
        </w:rPr>
      </w:pPr>
      <w:r>
        <w:rPr>
          <w:lang w:eastAsia="en-US"/>
        </w:rPr>
        <w:t>1) Будет ли сигнал ВП достаточно сильным, для того, чтобы его зарегистрировать?</w:t>
      </w:r>
    </w:p>
    <w:p w:rsidR="002F1934" w:rsidRDefault="002F1934" w:rsidP="0072238B">
      <w:pPr>
        <w:rPr>
          <w:lang w:eastAsia="en-US"/>
        </w:rPr>
      </w:pPr>
      <w:r>
        <w:rPr>
          <w:lang w:eastAsia="en-US"/>
        </w:rPr>
        <w:t>2) Каков характерный частотный диапазон этого сигнала?</w:t>
      </w:r>
    </w:p>
    <w:p w:rsidR="002F1934" w:rsidRPr="00466A23" w:rsidRDefault="002F1934" w:rsidP="0072238B">
      <w:pPr>
        <w:rPr>
          <w:lang w:eastAsia="en-US"/>
        </w:rPr>
      </w:pPr>
      <w:r>
        <w:rPr>
          <w:lang w:eastAsia="en-US"/>
        </w:rPr>
        <w:t xml:space="preserve">Вычисления были выполнены в программе </w:t>
      </w:r>
      <w:proofErr w:type="spellStart"/>
      <w:r>
        <w:rPr>
          <w:lang w:eastAsia="en-US"/>
        </w:rPr>
        <w:t>MathCad</w:t>
      </w:r>
      <w:proofErr w:type="spellEnd"/>
      <w:r>
        <w:rPr>
          <w:lang w:eastAsia="en-US"/>
        </w:rPr>
        <w:t>.</w:t>
      </w:r>
    </w:p>
    <w:p w:rsidR="002F1934" w:rsidRDefault="002F1934" w:rsidP="0072238B">
      <w:pPr>
        <w:rPr>
          <w:lang w:eastAsia="en-US"/>
        </w:rPr>
      </w:pPr>
      <w:r>
        <w:rPr>
          <w:lang w:eastAsia="en-US"/>
        </w:rPr>
        <w:t>Сначала была посчитана зависимость максимального значения фазового сдвига от радиуса пор, который изменялся от 10</w:t>
      </w:r>
      <w:r w:rsidRPr="004B1BB0">
        <w:rPr>
          <w:vertAlign w:val="superscript"/>
          <w:lang w:eastAsia="en-US"/>
        </w:rPr>
        <w:t>-8</w:t>
      </w:r>
      <w:r>
        <w:rPr>
          <w:lang w:eastAsia="en-US"/>
        </w:rPr>
        <w:t xml:space="preserve"> до 10</w:t>
      </w:r>
      <w:r w:rsidRPr="004B1BB0">
        <w:rPr>
          <w:vertAlign w:val="superscript"/>
          <w:lang w:eastAsia="en-US"/>
        </w:rPr>
        <w:t>-5</w:t>
      </w:r>
      <w:r>
        <w:rPr>
          <w:lang w:eastAsia="en-US"/>
        </w:rPr>
        <w:t xml:space="preserve"> м (рис. 1, 2). Такой диапазон был выбран по следующим причинам: а) недавно было установлено существование пор </w:t>
      </w:r>
      <w:proofErr w:type="spellStart"/>
      <w:r>
        <w:rPr>
          <w:lang w:eastAsia="en-US"/>
        </w:rPr>
        <w:t>наноразмера</w:t>
      </w:r>
      <w:proofErr w:type="spellEnd"/>
      <w:r>
        <w:rPr>
          <w:lang w:eastAsia="en-US"/>
        </w:rPr>
        <w:t xml:space="preserve"> в глинах (</w:t>
      </w:r>
      <w:proofErr w:type="spellStart"/>
      <w:r>
        <w:rPr>
          <w:lang w:eastAsia="en-US"/>
        </w:rPr>
        <w:t>Kuila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and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Prasad</w:t>
      </w:r>
      <w:proofErr w:type="spellEnd"/>
      <w:r>
        <w:rPr>
          <w:lang w:eastAsia="en-US"/>
        </w:rPr>
        <w:t xml:space="preserve"> </w:t>
      </w:r>
      <w:r w:rsidRPr="004B1BB0">
        <w:rPr>
          <w:lang w:eastAsia="en-US"/>
        </w:rPr>
        <w:t>2013</w:t>
      </w:r>
      <w:r>
        <w:rPr>
          <w:lang w:eastAsia="en-US"/>
        </w:rPr>
        <w:t>); б) максимальный размер глинистых частиц имеет порядок 10</w:t>
      </w:r>
      <w:r w:rsidRPr="004B1BB0">
        <w:rPr>
          <w:vertAlign w:val="superscript"/>
          <w:lang w:eastAsia="en-US"/>
        </w:rPr>
        <w:t>-</w:t>
      </w:r>
      <w:r>
        <w:rPr>
          <w:vertAlign w:val="superscript"/>
          <w:lang w:eastAsia="en-US"/>
        </w:rPr>
        <w:t>6</w:t>
      </w:r>
      <w:r>
        <w:rPr>
          <w:lang w:eastAsia="en-US"/>
        </w:rPr>
        <w:t xml:space="preserve"> м; в)</w:t>
      </w:r>
      <w:r w:rsidRPr="00AF7855">
        <w:rPr>
          <w:lang w:eastAsia="en-US"/>
        </w:rPr>
        <w:t xml:space="preserve"> </w:t>
      </w:r>
      <w:r>
        <w:rPr>
          <w:lang w:eastAsia="en-US"/>
        </w:rPr>
        <w:t>10</w:t>
      </w:r>
      <w:r w:rsidRPr="004B1BB0">
        <w:rPr>
          <w:vertAlign w:val="superscript"/>
          <w:lang w:eastAsia="en-US"/>
        </w:rPr>
        <w:t>-5</w:t>
      </w:r>
      <w:r w:rsidRPr="00AF7855">
        <w:rPr>
          <w:lang w:eastAsia="en-US"/>
        </w:rPr>
        <w:t xml:space="preserve"> </w:t>
      </w:r>
      <w:r>
        <w:rPr>
          <w:lang w:eastAsia="en-US"/>
        </w:rPr>
        <w:t xml:space="preserve">м – размер пор в крупнозернистых породах, например песчаниках. </w:t>
      </w:r>
    </w:p>
    <w:p w:rsidR="002F1934" w:rsidRDefault="002F1934" w:rsidP="0072238B">
      <w:pPr>
        <w:rPr>
          <w:lang w:eastAsia="en-US"/>
        </w:rPr>
      </w:pPr>
      <w:r>
        <w:rPr>
          <w:lang w:eastAsia="en-US"/>
        </w:rPr>
        <w:t>Затем были вычислены значения частоты, отвечающие максимальным фазовым сдвигам (рис. 3).</w:t>
      </w:r>
      <w:r w:rsidRPr="00AF7855">
        <w:rPr>
          <w:lang w:eastAsia="en-US"/>
        </w:rPr>
        <w:t xml:space="preserve"> </w:t>
      </w:r>
      <w:r>
        <w:rPr>
          <w:lang w:eastAsia="en-US"/>
        </w:rPr>
        <w:t>Частоты зависят от длин пор, и при моделировании использовались длины от 10</w:t>
      </w:r>
      <w:r w:rsidRPr="00AF7855">
        <w:rPr>
          <w:vertAlign w:val="superscript"/>
          <w:lang w:eastAsia="en-US"/>
        </w:rPr>
        <w:t>-7</w:t>
      </w:r>
      <w:r>
        <w:rPr>
          <w:lang w:eastAsia="en-US"/>
        </w:rPr>
        <w:t xml:space="preserve"> до 10</w:t>
      </w:r>
      <w:r w:rsidRPr="00AF7855">
        <w:rPr>
          <w:vertAlign w:val="superscript"/>
          <w:lang w:eastAsia="en-US"/>
        </w:rPr>
        <w:t>-4</w:t>
      </w:r>
      <w:r>
        <w:rPr>
          <w:lang w:eastAsia="en-US"/>
        </w:rPr>
        <w:t xml:space="preserve"> м (</w:t>
      </w:r>
      <w:proofErr w:type="spellStart"/>
      <w:r>
        <w:rPr>
          <w:lang w:eastAsia="en-US"/>
        </w:rPr>
        <w:t>чо</w:t>
      </w:r>
      <w:proofErr w:type="spellEnd"/>
      <w:r>
        <w:rPr>
          <w:lang w:eastAsia="en-US"/>
        </w:rPr>
        <w:t xml:space="preserve"> соответствует случаю пор длиной в 10 </w:t>
      </w:r>
      <w:proofErr w:type="spellStart"/>
      <w:r>
        <w:rPr>
          <w:lang w:eastAsia="en-US"/>
        </w:rPr>
        <w:t>каз</w:t>
      </w:r>
      <w:proofErr w:type="spellEnd"/>
      <w:r>
        <w:rPr>
          <w:lang w:eastAsia="en-US"/>
        </w:rPr>
        <w:t xml:space="preserve"> превышающих радиус). Помимо этого, моделировалось совместное влияние минералогического эффекта и классического эффекта мембранной поляризации (когда радиусы соседних пор различны, а разные межфазные свойства минералов не учитываются) (рис. 4).</w:t>
      </w:r>
    </w:p>
    <w:p w:rsidR="002F1934" w:rsidRDefault="002F1934" w:rsidP="0072238B">
      <w:r>
        <w:rPr>
          <w:lang w:eastAsia="en-US"/>
        </w:rPr>
        <w:t xml:space="preserve">Эффекты </w:t>
      </w:r>
      <w:proofErr w:type="spellStart"/>
      <w:r>
        <w:rPr>
          <w:lang w:eastAsia="en-US"/>
        </w:rPr>
        <w:t>дзета</w:t>
      </w:r>
      <w:proofErr w:type="spellEnd"/>
      <w:r>
        <w:rPr>
          <w:lang w:eastAsia="en-US"/>
        </w:rPr>
        <w:t xml:space="preserve"> потенциала и коэффициента разделения были посчитаны сначала по отдельности (рис. 1). В моделях используются равные длины пор. Максимальный фазовый сдвиг достигает значения 80 мрад при концентрации электролита 10 </w:t>
      </w:r>
      <w:r>
        <w:t>м</w:t>
      </w:r>
      <w:r w:rsidRPr="00FB0A69">
        <w:t>оль·м</w:t>
      </w:r>
      <w:r w:rsidRPr="00FB0A69">
        <w:rPr>
          <w:vertAlign w:val="superscript"/>
        </w:rPr>
        <w:t>-</w:t>
      </w:r>
      <w:r>
        <w:rPr>
          <w:vertAlign w:val="superscript"/>
        </w:rPr>
        <w:t>3</w:t>
      </w:r>
      <w:r>
        <w:t xml:space="preserve">. С увеличением разности значений </w:t>
      </w:r>
      <w:proofErr w:type="spellStart"/>
      <w:r>
        <w:t>дзета</w:t>
      </w:r>
      <w:proofErr w:type="spellEnd"/>
      <w:r>
        <w:t xml:space="preserve"> потенциала происходит увеличение максимального фазового сдвига (рис. 1 а, б), что отражает возрастающую разность чисел переноса ионов в порах. В большинстве случаев с увеличением радиуса пор фазовый сдвиг достигает максимального значения и, затем, уменьшается. </w:t>
      </w:r>
    </w:p>
    <w:p w:rsidR="002F1934" w:rsidRDefault="002F1934" w:rsidP="0072238B">
      <w:pPr>
        <w:rPr>
          <w:lang w:eastAsia="en-US"/>
        </w:rPr>
      </w:pPr>
      <w:r>
        <w:t xml:space="preserve">На рис.1 а, б видно, что максимальный эффект ВП достигается у пор с радиусом около </w:t>
      </w:r>
      <w:r>
        <w:rPr>
          <w:lang w:eastAsia="en-US"/>
        </w:rPr>
        <w:t>10</w:t>
      </w:r>
      <w:r w:rsidRPr="00AF7855">
        <w:rPr>
          <w:vertAlign w:val="superscript"/>
          <w:lang w:eastAsia="en-US"/>
        </w:rPr>
        <w:t>-7</w:t>
      </w:r>
      <w:r>
        <w:rPr>
          <w:vertAlign w:val="superscript"/>
          <w:lang w:eastAsia="en-US"/>
        </w:rPr>
        <w:t xml:space="preserve"> </w:t>
      </w:r>
      <w:r>
        <w:rPr>
          <w:lang w:eastAsia="en-US"/>
        </w:rPr>
        <w:t>м. Расчёты для различных коэффициентов разделения дают приблизительно ту же картину (рис. 1 в). Даже если значения коэффициентов разделения соседних пор близки (0.8 и 0.99), максимальный фазовый сдвиг достигает 40 мрад, что заметно выше порога регистрации ВП (он составляет около 1 мрад в лабораторных условиях).</w:t>
      </w:r>
    </w:p>
    <w:p w:rsidR="002F1934" w:rsidRPr="00CF44AD" w:rsidRDefault="002F1934" w:rsidP="0072238B">
      <w:pPr>
        <w:rPr>
          <w:lang w:eastAsia="en-US"/>
        </w:rPr>
      </w:pPr>
    </w:p>
    <w:p w:rsidR="002F1934" w:rsidRDefault="002A482E" w:rsidP="0072238B">
      <w:pPr>
        <w:ind w:firstLine="0"/>
        <w:jc w:val="center"/>
        <w:rPr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5238750" cy="4829175"/>
            <wp:effectExtent l="0" t="0" r="0" b="0"/>
            <wp:docPr id="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934" w:rsidRPr="006947CC" w:rsidRDefault="002F1934" w:rsidP="0072238B">
      <w:pPr>
        <w:rPr>
          <w:sz w:val="20"/>
        </w:rPr>
      </w:pPr>
      <w:r w:rsidRPr="006947CC">
        <w:rPr>
          <w:sz w:val="20"/>
          <w:lang w:eastAsia="en-US"/>
        </w:rPr>
        <w:t xml:space="preserve">Рис. 1. Зависимость максимального фазового сдвига от радиуса пор: </w:t>
      </w:r>
      <w:r w:rsidRPr="006947CC">
        <w:rPr>
          <w:sz w:val="20"/>
          <w:lang w:val="en-GB"/>
        </w:rPr>
        <w:t>a</w:t>
      </w:r>
      <w:r w:rsidRPr="006947CC">
        <w:rPr>
          <w:sz w:val="20"/>
        </w:rPr>
        <w:t xml:space="preserve">, </w:t>
      </w:r>
      <w:r w:rsidRPr="006947CC">
        <w:rPr>
          <w:sz w:val="20"/>
          <w:lang w:val="en-GB"/>
        </w:rPr>
        <w:t>b</w:t>
      </w:r>
      <w:r w:rsidRPr="006947CC">
        <w:rPr>
          <w:sz w:val="20"/>
        </w:rPr>
        <w:t xml:space="preserve"> -  </w:t>
      </w:r>
      <w:r w:rsidRPr="006947CC">
        <w:rPr>
          <w:position w:val="-10"/>
          <w:sz w:val="20"/>
          <w:lang w:val="en-GB"/>
        </w:rPr>
        <w:object w:dxaOrig="900" w:dyaOrig="340">
          <v:shape id="_x0000_i1069" type="#_x0000_t75" style="width:45pt;height:17.25pt" o:ole="">
            <v:imagedata r:id="rId97" o:title=""/>
          </v:shape>
          <o:OLEObject Type="Embed" ProgID="Equation.3" ShapeID="_x0000_i1069" DrawAspect="Content" ObjectID="_1557397490" r:id="rId98"/>
        </w:object>
      </w:r>
      <w:r w:rsidRPr="006947CC">
        <w:rPr>
          <w:sz w:val="20"/>
        </w:rPr>
        <w:t xml:space="preserve">мВ, </w:t>
      </w:r>
      <w:r w:rsidRPr="006947CC">
        <w:rPr>
          <w:position w:val="-10"/>
          <w:sz w:val="20"/>
        </w:rPr>
        <w:object w:dxaOrig="260" w:dyaOrig="340">
          <v:shape id="_x0000_i1070" type="#_x0000_t75" style="width:12.75pt;height:17.25pt" o:ole="">
            <v:imagedata r:id="rId99" o:title=""/>
          </v:shape>
          <o:OLEObject Type="Embed" ProgID="Equation.3" ShapeID="_x0000_i1070" DrawAspect="Content" ObjectID="_1557397491" r:id="rId100"/>
        </w:object>
      </w:r>
      <w:r w:rsidRPr="006947CC">
        <w:rPr>
          <w:sz w:val="20"/>
        </w:rPr>
        <w:t xml:space="preserve"> </w:t>
      </w:r>
      <w:r>
        <w:rPr>
          <w:sz w:val="20"/>
        </w:rPr>
        <w:t>из</w:t>
      </w:r>
      <w:r w:rsidRPr="006947CC">
        <w:rPr>
          <w:sz w:val="20"/>
        </w:rPr>
        <w:t xml:space="preserve">меняется от -5 до -100 мВ; </w:t>
      </w:r>
      <w:r w:rsidRPr="006947CC">
        <w:rPr>
          <w:position w:val="-14"/>
          <w:sz w:val="20"/>
        </w:rPr>
        <w:object w:dxaOrig="1620" w:dyaOrig="380">
          <v:shape id="_x0000_i1071" type="#_x0000_t75" style="width:81pt;height:18.75pt" o:ole="">
            <v:imagedata r:id="rId101" o:title=""/>
          </v:shape>
          <o:OLEObject Type="Embed" ProgID="Equation.3" ShapeID="_x0000_i1071" DrawAspect="Content" ObjectID="_1557397492" r:id="rId102"/>
        </w:object>
      </w:r>
      <w:r w:rsidRPr="006947CC">
        <w:rPr>
          <w:sz w:val="20"/>
        </w:rPr>
        <w:t xml:space="preserve">; c - </w:t>
      </w:r>
      <w:r w:rsidRPr="006947CC">
        <w:rPr>
          <w:position w:val="-10"/>
          <w:sz w:val="20"/>
        </w:rPr>
        <w:object w:dxaOrig="1359" w:dyaOrig="340">
          <v:shape id="_x0000_i1072" type="#_x0000_t75" style="width:68.25pt;height:17.25pt" o:ole="">
            <v:imagedata r:id="rId103" o:title=""/>
          </v:shape>
          <o:OLEObject Type="Embed" ProgID="Equation.3" ShapeID="_x0000_i1072" DrawAspect="Content" ObjectID="_1557397493" r:id="rId104"/>
        </w:object>
      </w:r>
      <w:r w:rsidRPr="006947CC">
        <w:rPr>
          <w:sz w:val="20"/>
        </w:rPr>
        <w:t xml:space="preserve"> мВ; </w:t>
      </w:r>
      <w:r w:rsidRPr="006947CC">
        <w:rPr>
          <w:position w:val="-14"/>
          <w:sz w:val="20"/>
        </w:rPr>
        <w:object w:dxaOrig="1040" w:dyaOrig="380">
          <v:shape id="_x0000_i1073" type="#_x0000_t75" style="width:51.75pt;height:18.75pt" o:ole="">
            <v:imagedata r:id="rId105" o:title=""/>
          </v:shape>
          <o:OLEObject Type="Embed" ProgID="Equation.3" ShapeID="_x0000_i1073" DrawAspect="Content" ObjectID="_1557397494" r:id="rId106"/>
        </w:object>
      </w:r>
      <w:r w:rsidRPr="006947CC">
        <w:rPr>
          <w:sz w:val="20"/>
        </w:rPr>
        <w:t xml:space="preserve">, </w:t>
      </w:r>
      <w:r w:rsidRPr="006947CC">
        <w:rPr>
          <w:position w:val="-14"/>
          <w:sz w:val="20"/>
        </w:rPr>
        <w:object w:dxaOrig="380" w:dyaOrig="380">
          <v:shape id="_x0000_i1074" type="#_x0000_t75" style="width:18.75pt;height:18.75pt" o:ole="">
            <v:imagedata r:id="rId107" o:title=""/>
          </v:shape>
          <o:OLEObject Type="Embed" ProgID="Equation.3" ShapeID="_x0000_i1074" DrawAspect="Content" ObjectID="_1557397495" r:id="rId108"/>
        </w:object>
      </w:r>
      <w:r w:rsidRPr="006947CC">
        <w:rPr>
          <w:sz w:val="20"/>
        </w:rPr>
        <w:t xml:space="preserve"> меняется от 0 до 0.8. Длины пор </w:t>
      </w:r>
      <w:r w:rsidRPr="006947CC">
        <w:rPr>
          <w:position w:val="-10"/>
          <w:sz w:val="20"/>
        </w:rPr>
        <w:object w:dxaOrig="1400" w:dyaOrig="360">
          <v:shape id="_x0000_i1075" type="#_x0000_t75" style="width:68.25pt;height:18pt" o:ole="">
            <v:imagedata r:id="rId109" o:title=""/>
          </v:shape>
          <o:OLEObject Type="Embed" ProgID="Equation.3" ShapeID="_x0000_i1075" DrawAspect="Content" ObjectID="_1557397496" r:id="rId110"/>
        </w:object>
      </w:r>
      <w:r w:rsidRPr="006947CC">
        <w:rPr>
          <w:sz w:val="20"/>
        </w:rPr>
        <w:t xml:space="preserve">м, подвижность и концентрация ионов в свободном растворе 5 </w:t>
      </w:r>
      <w:r w:rsidRPr="006947CC">
        <w:rPr>
          <w:sz w:val="20"/>
          <w:lang w:val="en-US"/>
        </w:rPr>
        <w:t>x</w:t>
      </w:r>
      <w:r w:rsidRPr="006947CC">
        <w:rPr>
          <w:sz w:val="20"/>
        </w:rPr>
        <w:t xml:space="preserve"> 10</w:t>
      </w:r>
      <w:r w:rsidRPr="006947CC">
        <w:rPr>
          <w:sz w:val="20"/>
          <w:vertAlign w:val="superscript"/>
        </w:rPr>
        <w:t>-8</w:t>
      </w:r>
      <w:r w:rsidRPr="006947CC">
        <w:rPr>
          <w:sz w:val="20"/>
        </w:rPr>
        <w:t xml:space="preserve"> м</w:t>
      </w:r>
      <w:r w:rsidRPr="006947CC">
        <w:rPr>
          <w:sz w:val="20"/>
          <w:vertAlign w:val="superscript"/>
        </w:rPr>
        <w:t>2</w:t>
      </w:r>
      <w:r w:rsidRPr="006947CC">
        <w:rPr>
          <w:sz w:val="20"/>
        </w:rPr>
        <w:t>∙ (</w:t>
      </w:r>
      <w:proofErr w:type="spellStart"/>
      <w:r w:rsidRPr="006947CC">
        <w:rPr>
          <w:sz w:val="20"/>
        </w:rPr>
        <w:t>В∙с</w:t>
      </w:r>
      <w:proofErr w:type="spellEnd"/>
      <w:r w:rsidRPr="006947CC">
        <w:rPr>
          <w:sz w:val="20"/>
        </w:rPr>
        <w:t>)</w:t>
      </w:r>
      <w:r w:rsidRPr="006947CC">
        <w:rPr>
          <w:sz w:val="20"/>
          <w:vertAlign w:val="superscript"/>
        </w:rPr>
        <w:t>-1</w:t>
      </w:r>
      <w:r w:rsidRPr="006947CC">
        <w:rPr>
          <w:sz w:val="20"/>
        </w:rPr>
        <w:t>, и 10 моль∙м</w:t>
      </w:r>
      <w:r w:rsidRPr="006947CC">
        <w:rPr>
          <w:sz w:val="20"/>
          <w:vertAlign w:val="superscript"/>
        </w:rPr>
        <w:t>-3</w:t>
      </w:r>
      <w:r w:rsidRPr="006947CC">
        <w:rPr>
          <w:sz w:val="20"/>
        </w:rPr>
        <w:t>, соответственно.</w:t>
      </w:r>
    </w:p>
    <w:p w:rsidR="002F1934" w:rsidRPr="00CF44AD" w:rsidRDefault="002F1934" w:rsidP="0072238B">
      <w:pPr>
        <w:rPr>
          <w:lang w:eastAsia="en-US"/>
        </w:rPr>
      </w:pPr>
    </w:p>
    <w:p w:rsidR="002F1934" w:rsidRPr="008F742C" w:rsidRDefault="002F1934" w:rsidP="0072238B">
      <w:r>
        <w:rPr>
          <w:lang w:eastAsia="en-US"/>
        </w:rPr>
        <w:t xml:space="preserve">На рис. 2 показано изменение максимального фазового сдвига в зависимости от радиуса пор для трёх пар минералов, свойства которых показаны в табл. 1 и 2: кварц-каолинит, </w:t>
      </w:r>
      <w:proofErr w:type="spellStart"/>
      <w:r>
        <w:rPr>
          <w:lang w:eastAsia="en-US"/>
        </w:rPr>
        <w:t>смектит-иллит</w:t>
      </w:r>
      <w:proofErr w:type="spellEnd"/>
      <w:r>
        <w:rPr>
          <w:lang w:eastAsia="en-US"/>
        </w:rPr>
        <w:t xml:space="preserve"> и каолинит-</w:t>
      </w:r>
      <w:proofErr w:type="spellStart"/>
      <w:r>
        <w:rPr>
          <w:lang w:eastAsia="en-US"/>
        </w:rPr>
        <w:t>смектит</w:t>
      </w:r>
      <w:proofErr w:type="spellEnd"/>
      <w:r>
        <w:rPr>
          <w:lang w:eastAsia="en-US"/>
        </w:rPr>
        <w:t>. Максимумы фаз приходятся на поры радиуса от 2</w:t>
      </w:r>
      <w:r w:rsidRPr="00FB0A69">
        <w:t>·</w:t>
      </w:r>
      <w:r>
        <w:t>10</w:t>
      </w:r>
      <w:r w:rsidRPr="00FE15C5">
        <w:rPr>
          <w:vertAlign w:val="superscript"/>
        </w:rPr>
        <w:t>-8</w:t>
      </w:r>
      <w:r>
        <w:t xml:space="preserve"> до 2</w:t>
      </w:r>
      <w:r w:rsidRPr="00FB0A69">
        <w:t>·</w:t>
      </w:r>
      <w:r>
        <w:t>10</w:t>
      </w:r>
      <w:r w:rsidRPr="00FE15C5">
        <w:rPr>
          <w:vertAlign w:val="superscript"/>
        </w:rPr>
        <w:t>-7</w:t>
      </w:r>
      <w:r>
        <w:t xml:space="preserve"> м. Наибольшие значения фазового сдвига возникают в случаях кварц-каолинита и каолинит-</w:t>
      </w:r>
      <w:proofErr w:type="spellStart"/>
      <w:r>
        <w:t>смектита</w:t>
      </w:r>
      <w:proofErr w:type="spellEnd"/>
      <w:r>
        <w:t xml:space="preserve"> (около 60 мрад). Для этих пар минералов значения </w:t>
      </w:r>
      <w:proofErr w:type="spellStart"/>
      <w:r>
        <w:t>дзета</w:t>
      </w:r>
      <w:proofErr w:type="spellEnd"/>
      <w:r>
        <w:t xml:space="preserve"> потенциалов достаточно близки, но показатели коэффициентов разделения очень сильно различаются и являются решающим фактором, который определяет высокие значения фазового сдвига. Следует отметить, что в целом, за рост фазового сдвига отвечает </w:t>
      </w:r>
      <w:r w:rsidRPr="003B1443">
        <w:t>“</w:t>
      </w:r>
      <w:r>
        <w:t>совместный эффект</w:t>
      </w:r>
      <w:r w:rsidRPr="003B1443">
        <w:t>”</w:t>
      </w:r>
      <w:r>
        <w:t xml:space="preserve">, при котором и модуль </w:t>
      </w:r>
      <w:proofErr w:type="spellStart"/>
      <w:r>
        <w:t>дзета</w:t>
      </w:r>
      <w:proofErr w:type="spellEnd"/>
      <w:r>
        <w:t xml:space="preserve"> потенциала, и коэффициент разделения выше в одной из пор, по сравнению с другой.</w:t>
      </w:r>
      <w:r w:rsidRPr="003B1443">
        <w:t xml:space="preserve"> </w:t>
      </w:r>
      <w:r>
        <w:t>В противном случае эффекты разности потенциала и коэффициента разделения могут взаимно компенсироваться.</w:t>
      </w:r>
    </w:p>
    <w:p w:rsidR="002F1934" w:rsidRDefault="002F1934" w:rsidP="0072238B"/>
    <w:p w:rsidR="002F1934" w:rsidRDefault="002A482E" w:rsidP="0072238B">
      <w:pPr>
        <w:ind w:firstLine="0"/>
        <w:jc w:val="center"/>
      </w:pPr>
      <w:r>
        <w:rPr>
          <w:noProof/>
        </w:rPr>
        <w:drawing>
          <wp:inline distT="0" distB="0" distL="0" distR="0">
            <wp:extent cx="4095750" cy="3943350"/>
            <wp:effectExtent l="0" t="0" r="0" b="0"/>
            <wp:docPr id="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934" w:rsidRPr="006947CC" w:rsidRDefault="002F1934" w:rsidP="0072238B">
      <w:pPr>
        <w:rPr>
          <w:sz w:val="20"/>
        </w:rPr>
      </w:pPr>
      <w:r w:rsidRPr="006947CC">
        <w:rPr>
          <w:sz w:val="20"/>
          <w:lang w:eastAsia="en-US"/>
        </w:rPr>
        <w:t>Рис. 2. Зависимость максимального фазового сдвига от радиуса пор для пар минералов, слагающих стенки двух последовательно соединённых пор: 1 – каолинит-</w:t>
      </w:r>
      <w:proofErr w:type="spellStart"/>
      <w:r w:rsidRPr="006947CC">
        <w:rPr>
          <w:sz w:val="20"/>
          <w:lang w:eastAsia="en-US"/>
        </w:rPr>
        <w:t>смектит</w:t>
      </w:r>
      <w:proofErr w:type="spellEnd"/>
      <w:r w:rsidRPr="006947CC">
        <w:rPr>
          <w:sz w:val="20"/>
          <w:lang w:eastAsia="en-US"/>
        </w:rPr>
        <w:t xml:space="preserve">, 2 – кварц-каолинит и 3 – </w:t>
      </w:r>
      <w:proofErr w:type="spellStart"/>
      <w:r w:rsidRPr="006947CC">
        <w:rPr>
          <w:sz w:val="20"/>
          <w:lang w:eastAsia="en-US"/>
        </w:rPr>
        <w:t>смектит-иллит</w:t>
      </w:r>
      <w:proofErr w:type="spellEnd"/>
      <w:r w:rsidRPr="006947CC">
        <w:rPr>
          <w:sz w:val="20"/>
          <w:lang w:eastAsia="en-US"/>
        </w:rPr>
        <w:t xml:space="preserve">. Значения </w:t>
      </w:r>
      <w:proofErr w:type="spellStart"/>
      <w:r w:rsidRPr="006947CC">
        <w:rPr>
          <w:sz w:val="20"/>
          <w:lang w:eastAsia="en-US"/>
        </w:rPr>
        <w:t>дзета</w:t>
      </w:r>
      <w:proofErr w:type="spellEnd"/>
      <w:r w:rsidRPr="006947CC">
        <w:rPr>
          <w:sz w:val="20"/>
          <w:lang w:eastAsia="en-US"/>
        </w:rPr>
        <w:t>-потенциалов и коэффициентов разделения указаны в таблицах 1 и 2.</w:t>
      </w:r>
      <w:r w:rsidRPr="006947CC">
        <w:rPr>
          <w:sz w:val="20"/>
        </w:rPr>
        <w:t xml:space="preserve"> Длины пор </w:t>
      </w:r>
      <w:r w:rsidRPr="006947CC">
        <w:rPr>
          <w:position w:val="-10"/>
          <w:sz w:val="20"/>
        </w:rPr>
        <w:object w:dxaOrig="1400" w:dyaOrig="360">
          <v:shape id="_x0000_i1076" type="#_x0000_t75" style="width:68.25pt;height:18pt" o:ole="">
            <v:imagedata r:id="rId109" o:title=""/>
          </v:shape>
          <o:OLEObject Type="Embed" ProgID="Equation.3" ShapeID="_x0000_i1076" DrawAspect="Content" ObjectID="_1557397497" r:id="rId112"/>
        </w:object>
      </w:r>
      <w:r w:rsidRPr="006947CC">
        <w:rPr>
          <w:sz w:val="20"/>
        </w:rPr>
        <w:t xml:space="preserve">м, подвижность и концентрация ионов в свободном растворе 5 </w:t>
      </w:r>
      <w:r w:rsidRPr="006947CC">
        <w:rPr>
          <w:sz w:val="20"/>
          <w:lang w:val="en-US"/>
        </w:rPr>
        <w:t>x</w:t>
      </w:r>
      <w:r w:rsidRPr="006947CC">
        <w:rPr>
          <w:sz w:val="20"/>
        </w:rPr>
        <w:t xml:space="preserve"> 10</w:t>
      </w:r>
      <w:r w:rsidRPr="006947CC">
        <w:rPr>
          <w:sz w:val="20"/>
          <w:vertAlign w:val="superscript"/>
        </w:rPr>
        <w:t>-8</w:t>
      </w:r>
      <w:r w:rsidRPr="006947CC">
        <w:rPr>
          <w:sz w:val="20"/>
        </w:rPr>
        <w:t xml:space="preserve"> м</w:t>
      </w:r>
      <w:r w:rsidRPr="006947CC">
        <w:rPr>
          <w:sz w:val="20"/>
          <w:vertAlign w:val="superscript"/>
        </w:rPr>
        <w:t>2</w:t>
      </w:r>
      <w:r w:rsidRPr="006947CC">
        <w:rPr>
          <w:sz w:val="20"/>
        </w:rPr>
        <w:t>∙ (</w:t>
      </w:r>
      <w:proofErr w:type="spellStart"/>
      <w:r w:rsidRPr="006947CC">
        <w:rPr>
          <w:sz w:val="20"/>
        </w:rPr>
        <w:t>В∙с</w:t>
      </w:r>
      <w:proofErr w:type="spellEnd"/>
      <w:r w:rsidRPr="006947CC">
        <w:rPr>
          <w:sz w:val="20"/>
        </w:rPr>
        <w:t>)</w:t>
      </w:r>
      <w:r w:rsidRPr="006947CC">
        <w:rPr>
          <w:sz w:val="20"/>
          <w:vertAlign w:val="superscript"/>
        </w:rPr>
        <w:t>-1</w:t>
      </w:r>
      <w:r w:rsidRPr="006947CC">
        <w:rPr>
          <w:sz w:val="20"/>
        </w:rPr>
        <w:t>, и 10 моль∙м</w:t>
      </w:r>
      <w:r w:rsidRPr="006947CC">
        <w:rPr>
          <w:sz w:val="20"/>
          <w:vertAlign w:val="superscript"/>
        </w:rPr>
        <w:t>-3</w:t>
      </w:r>
      <w:r w:rsidRPr="006947CC">
        <w:rPr>
          <w:sz w:val="20"/>
        </w:rPr>
        <w:t>, соответственно.</w:t>
      </w:r>
    </w:p>
    <w:p w:rsidR="002F1934" w:rsidRPr="00D71C00" w:rsidRDefault="002F1934" w:rsidP="0072238B"/>
    <w:p w:rsidR="002F1934" w:rsidRPr="001F2F56" w:rsidRDefault="002F1934" w:rsidP="0072238B">
      <w:pPr>
        <w:rPr>
          <w:lang w:eastAsia="en-US"/>
        </w:rPr>
      </w:pPr>
      <w:r>
        <w:rPr>
          <w:lang w:eastAsia="en-US"/>
        </w:rPr>
        <w:t>На рис. 3 дана зависимость десятичного логарифма критической частоты (соответствующей максимуму спектра фазы) от длин пор. На рис. 3 показаны изолинии только для тех моделей, для которых значения фазового сдвига превысили 10 мрад (т.е. позволяют уверенное детектирование ВП в лабораторных условиях). Как и ожидалось, с увеличением длин пор наблюдалось понижение критической частоты, так как повышалась характеристическая диффузионная длина. По результатам моделирования, значения пиковых частот находятся в пределах от 0,5 Гц (для относительно длинных пор) до 160 кГц (для очень коротких пор). Также на рис. 3 видно, что моделям с длинами пор от 10</w:t>
      </w:r>
      <w:r w:rsidRPr="009A5120">
        <w:rPr>
          <w:vertAlign w:val="superscript"/>
          <w:lang w:eastAsia="en-US"/>
        </w:rPr>
        <w:t>-6</w:t>
      </w:r>
      <w:r>
        <w:rPr>
          <w:lang w:eastAsia="en-US"/>
        </w:rPr>
        <w:t xml:space="preserve"> до 10</w:t>
      </w:r>
      <w:r w:rsidRPr="009A5120">
        <w:rPr>
          <w:vertAlign w:val="superscript"/>
          <w:lang w:eastAsia="en-US"/>
        </w:rPr>
        <w:t>-4</w:t>
      </w:r>
      <w:r>
        <w:rPr>
          <w:lang w:eastAsia="en-US"/>
        </w:rPr>
        <w:t xml:space="preserve"> м соответствуют значения пиковых частот, которые, относятся к диапазону частот спектральной ВП (от 1 </w:t>
      </w:r>
      <w:proofErr w:type="spellStart"/>
      <w:r>
        <w:rPr>
          <w:lang w:eastAsia="en-US"/>
        </w:rPr>
        <w:t>мГц</w:t>
      </w:r>
      <w:proofErr w:type="spellEnd"/>
      <w:r>
        <w:rPr>
          <w:lang w:eastAsia="en-US"/>
        </w:rPr>
        <w:t xml:space="preserve"> до 20 кГц). Следовательно, теоретически предсказанный минералогический эффект может быть зарегистрирован</w:t>
      </w:r>
      <w:r w:rsidRPr="001F2F56">
        <w:rPr>
          <w:lang w:eastAsia="en-US"/>
        </w:rPr>
        <w:t xml:space="preserve"> </w:t>
      </w:r>
      <w:r>
        <w:rPr>
          <w:lang w:eastAsia="en-US"/>
        </w:rPr>
        <w:t>методом спектральной ВП.</w:t>
      </w:r>
    </w:p>
    <w:p w:rsidR="002F1934" w:rsidRPr="001F2F56" w:rsidRDefault="002F1934" w:rsidP="0072238B">
      <w:pPr>
        <w:rPr>
          <w:lang w:eastAsia="en-US"/>
        </w:rPr>
      </w:pPr>
    </w:p>
    <w:p w:rsidR="002F1934" w:rsidRDefault="002A482E" w:rsidP="0072238B">
      <w:pPr>
        <w:ind w:firstLine="0"/>
        <w:jc w:val="center"/>
        <w:rPr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3971925" cy="4019550"/>
            <wp:effectExtent l="0" t="0" r="0" b="0"/>
            <wp:docPr id="5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934" w:rsidRPr="006947CC" w:rsidRDefault="002F1934" w:rsidP="0072238B">
      <w:pPr>
        <w:rPr>
          <w:sz w:val="20"/>
          <w:lang w:eastAsia="en-US"/>
        </w:rPr>
      </w:pPr>
      <w:r w:rsidRPr="006947CC">
        <w:rPr>
          <w:sz w:val="20"/>
          <w:lang w:eastAsia="en-US"/>
        </w:rPr>
        <w:t xml:space="preserve">Рис. 3. Десятичный логарифм критической частоты (соответствующей максимальному фазовому сдвигу) для различных длин пор </w:t>
      </w:r>
      <w:r w:rsidRPr="006947CC">
        <w:rPr>
          <w:b/>
          <w:position w:val="-10"/>
          <w:sz w:val="20"/>
          <w:lang w:val="en-GB"/>
        </w:rPr>
        <w:object w:dxaOrig="260" w:dyaOrig="340">
          <v:shape id="_x0000_i1077" type="#_x0000_t75" style="width:12.75pt;height:17.25pt" o:ole="">
            <v:imagedata r:id="rId114" o:title=""/>
          </v:shape>
          <o:OLEObject Type="Embed" ProgID="Equation.3" ShapeID="_x0000_i1077" DrawAspect="Content" ObjectID="_1557397498" r:id="rId115"/>
        </w:object>
      </w:r>
      <w:r w:rsidRPr="006947CC">
        <w:rPr>
          <w:b/>
          <w:sz w:val="20"/>
        </w:rPr>
        <w:t xml:space="preserve"> </w:t>
      </w:r>
      <w:r w:rsidRPr="006947CC">
        <w:rPr>
          <w:sz w:val="20"/>
        </w:rPr>
        <w:t>и</w:t>
      </w:r>
      <w:r w:rsidRPr="006947CC">
        <w:rPr>
          <w:b/>
          <w:sz w:val="20"/>
        </w:rPr>
        <w:t xml:space="preserve"> </w:t>
      </w:r>
      <w:r w:rsidRPr="006947CC">
        <w:rPr>
          <w:b/>
          <w:position w:val="-10"/>
          <w:sz w:val="20"/>
          <w:lang w:val="en-GB"/>
        </w:rPr>
        <w:object w:dxaOrig="279" w:dyaOrig="340">
          <v:shape id="_x0000_i1078" type="#_x0000_t75" style="width:14.25pt;height:17.25pt" o:ole="">
            <v:imagedata r:id="rId116" o:title=""/>
          </v:shape>
          <o:OLEObject Type="Embed" ProgID="Equation.3" ShapeID="_x0000_i1078" DrawAspect="Content" ObjectID="_1557397499" r:id="rId117"/>
        </w:object>
      </w:r>
      <w:r w:rsidRPr="006947CC">
        <w:rPr>
          <w:sz w:val="20"/>
        </w:rPr>
        <w:t>. Изолинии построены только для тех моделей, которые создают фазовый сдвиг более 10 мрад. Радиус пор 10</w:t>
      </w:r>
      <w:r w:rsidRPr="006947CC">
        <w:rPr>
          <w:sz w:val="20"/>
          <w:vertAlign w:val="superscript"/>
        </w:rPr>
        <w:t>-6</w:t>
      </w:r>
      <w:r w:rsidRPr="006947CC">
        <w:rPr>
          <w:sz w:val="20"/>
        </w:rPr>
        <w:t xml:space="preserve"> м, </w:t>
      </w:r>
      <w:proofErr w:type="spellStart"/>
      <w:r w:rsidRPr="006947CC">
        <w:rPr>
          <w:sz w:val="20"/>
        </w:rPr>
        <w:t>дзета</w:t>
      </w:r>
      <w:proofErr w:type="spellEnd"/>
      <w:r w:rsidRPr="006947CC">
        <w:rPr>
          <w:sz w:val="20"/>
        </w:rPr>
        <w:t xml:space="preserve">-потенциал и коэффициент разделения соответствуют каолиниту и </w:t>
      </w:r>
      <w:proofErr w:type="spellStart"/>
      <w:r w:rsidRPr="006947CC">
        <w:rPr>
          <w:sz w:val="20"/>
        </w:rPr>
        <w:t>смектиту</w:t>
      </w:r>
      <w:proofErr w:type="spellEnd"/>
      <w:r w:rsidRPr="006947CC">
        <w:rPr>
          <w:sz w:val="20"/>
        </w:rPr>
        <w:t xml:space="preserve"> в таблицах 1 и 2. Подвижность и концентрация ионов в свободном растворе 5 </w:t>
      </w:r>
      <w:r w:rsidRPr="006947CC">
        <w:rPr>
          <w:sz w:val="20"/>
          <w:lang w:val="en-US"/>
        </w:rPr>
        <w:t>x</w:t>
      </w:r>
      <w:r w:rsidRPr="006947CC">
        <w:rPr>
          <w:sz w:val="20"/>
        </w:rPr>
        <w:t xml:space="preserve"> 10</w:t>
      </w:r>
      <w:r w:rsidRPr="006947CC">
        <w:rPr>
          <w:sz w:val="20"/>
          <w:vertAlign w:val="superscript"/>
        </w:rPr>
        <w:t>-8</w:t>
      </w:r>
      <w:r w:rsidRPr="006947CC">
        <w:rPr>
          <w:sz w:val="20"/>
        </w:rPr>
        <w:t xml:space="preserve"> м</w:t>
      </w:r>
      <w:r w:rsidRPr="006947CC">
        <w:rPr>
          <w:sz w:val="20"/>
          <w:vertAlign w:val="superscript"/>
        </w:rPr>
        <w:t>2</w:t>
      </w:r>
      <w:r w:rsidRPr="006947CC">
        <w:rPr>
          <w:sz w:val="20"/>
        </w:rPr>
        <w:t>∙ (</w:t>
      </w:r>
      <w:proofErr w:type="spellStart"/>
      <w:r w:rsidRPr="006947CC">
        <w:rPr>
          <w:sz w:val="20"/>
        </w:rPr>
        <w:t>В∙с</w:t>
      </w:r>
      <w:proofErr w:type="spellEnd"/>
      <w:r w:rsidRPr="006947CC">
        <w:rPr>
          <w:sz w:val="20"/>
        </w:rPr>
        <w:t>)</w:t>
      </w:r>
      <w:r w:rsidRPr="006947CC">
        <w:rPr>
          <w:sz w:val="20"/>
          <w:vertAlign w:val="superscript"/>
        </w:rPr>
        <w:t>-1</w:t>
      </w:r>
      <w:r w:rsidRPr="006947CC">
        <w:rPr>
          <w:sz w:val="20"/>
        </w:rPr>
        <w:t>, и 10 моль∙м</w:t>
      </w:r>
      <w:r w:rsidRPr="006947CC">
        <w:rPr>
          <w:sz w:val="20"/>
          <w:vertAlign w:val="superscript"/>
        </w:rPr>
        <w:t>-3</w:t>
      </w:r>
      <w:r w:rsidRPr="006947CC">
        <w:rPr>
          <w:sz w:val="20"/>
        </w:rPr>
        <w:t>, соответственно.</w:t>
      </w:r>
    </w:p>
    <w:p w:rsidR="002F1934" w:rsidRPr="001F2F56" w:rsidRDefault="002F1934" w:rsidP="0072238B">
      <w:pPr>
        <w:rPr>
          <w:lang w:eastAsia="en-US"/>
        </w:rPr>
      </w:pPr>
    </w:p>
    <w:p w:rsidR="002F1934" w:rsidRDefault="002F1934" w:rsidP="0072238B">
      <w:pPr>
        <w:rPr>
          <w:lang w:eastAsia="en-US"/>
        </w:rPr>
      </w:pPr>
      <w:r>
        <w:rPr>
          <w:lang w:eastAsia="en-US"/>
        </w:rPr>
        <w:t>На рис. 4 показаны фазовые спектры для двух случаев</w:t>
      </w:r>
      <w:r w:rsidRPr="003758E6">
        <w:rPr>
          <w:lang w:eastAsia="en-US"/>
        </w:rPr>
        <w:t xml:space="preserve">: </w:t>
      </w:r>
      <w:r>
        <w:rPr>
          <w:lang w:eastAsia="en-US"/>
        </w:rPr>
        <w:t>классической мембранной поляризации (только радиусы пор - различны) и результирующего эффекта различия минерального состава стенок пор и классической мембранной вызванной поляризации (радиусы пор и минеральный состав их стенок различны). Для модели, учитывающей минеральный состав, были использованы параметры для кварца и каолинита из табл. 1 и 2. Для модели классической мембранной вызванной поляризации были взяты параметры для каолинита. В обоих случаях пиковые частоты не меняются, потому что их изменение определяется в основном длинами пор. В то же время интенсивность спектра для случая результирующего эффекта увеличивается примерно в три раза.</w:t>
      </w:r>
    </w:p>
    <w:p w:rsidR="002F1934" w:rsidRDefault="002F1934" w:rsidP="0072238B">
      <w:pPr>
        <w:rPr>
          <w:lang w:eastAsia="en-US"/>
        </w:rPr>
      </w:pPr>
    </w:p>
    <w:p w:rsidR="002F1934" w:rsidRDefault="002A482E" w:rsidP="0072238B">
      <w:pPr>
        <w:ind w:firstLine="0"/>
        <w:jc w:val="center"/>
        <w:rPr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4238625" cy="3962400"/>
            <wp:effectExtent l="0" t="0" r="0" b="0"/>
            <wp:docPr id="6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934" w:rsidRDefault="002F1934" w:rsidP="0072238B">
      <w:pPr>
        <w:jc w:val="center"/>
        <w:rPr>
          <w:lang w:eastAsia="en-US"/>
        </w:rPr>
      </w:pPr>
    </w:p>
    <w:p w:rsidR="002F1934" w:rsidRPr="006947CC" w:rsidRDefault="002F1934" w:rsidP="0072238B">
      <w:pPr>
        <w:rPr>
          <w:sz w:val="20"/>
          <w:lang w:eastAsia="en-US"/>
        </w:rPr>
      </w:pPr>
      <w:r w:rsidRPr="006947CC">
        <w:rPr>
          <w:sz w:val="20"/>
          <w:lang w:eastAsia="en-US"/>
        </w:rPr>
        <w:t>Рис. 4. Сравнение фазовых спектров ВП для случаев когда: 1 – минералогический эффект учтён и 2 – учитывается только классический эффект мембранной вызванной поляризации. Радиусы пор 10</w:t>
      </w:r>
      <w:r w:rsidRPr="006947CC">
        <w:rPr>
          <w:sz w:val="20"/>
          <w:vertAlign w:val="superscript"/>
          <w:lang w:eastAsia="en-US"/>
        </w:rPr>
        <w:t>-7</w:t>
      </w:r>
      <w:r w:rsidRPr="006947CC">
        <w:rPr>
          <w:sz w:val="20"/>
          <w:lang w:eastAsia="en-US"/>
        </w:rPr>
        <w:t xml:space="preserve"> м и 10</w:t>
      </w:r>
      <w:r w:rsidRPr="006947CC">
        <w:rPr>
          <w:sz w:val="20"/>
          <w:vertAlign w:val="superscript"/>
          <w:lang w:eastAsia="en-US"/>
        </w:rPr>
        <w:t>-6</w:t>
      </w:r>
      <w:r w:rsidRPr="006947CC">
        <w:rPr>
          <w:sz w:val="20"/>
          <w:lang w:eastAsia="en-US"/>
        </w:rPr>
        <w:t xml:space="preserve"> м . Длины пор в обоих случаях равны 10</w:t>
      </w:r>
      <w:r w:rsidRPr="006947CC">
        <w:rPr>
          <w:sz w:val="20"/>
          <w:vertAlign w:val="superscript"/>
          <w:lang w:eastAsia="en-US"/>
        </w:rPr>
        <w:t>-5</w:t>
      </w:r>
      <w:r w:rsidRPr="006947CC">
        <w:rPr>
          <w:sz w:val="20"/>
          <w:lang w:eastAsia="en-US"/>
        </w:rPr>
        <w:t xml:space="preserve"> м. Подвижность ионов и концентрацию раствора см. в подписи к рис. 1.</w:t>
      </w:r>
    </w:p>
    <w:p w:rsidR="002F1934" w:rsidRDefault="002F1934" w:rsidP="0072238B">
      <w:pPr>
        <w:rPr>
          <w:lang w:eastAsia="en-US"/>
        </w:rPr>
      </w:pPr>
    </w:p>
    <w:p w:rsidR="002F1934" w:rsidRDefault="002F1934" w:rsidP="0072238B">
      <w:pPr>
        <w:spacing w:after="200" w:line="276" w:lineRule="auto"/>
        <w:ind w:firstLine="0"/>
        <w:jc w:val="left"/>
        <w:rPr>
          <w:b/>
          <w:bCs/>
          <w:color w:val="000000"/>
          <w:szCs w:val="28"/>
          <w:lang w:eastAsia="en-US"/>
        </w:rPr>
      </w:pPr>
      <w:r>
        <w:rPr>
          <w:lang w:eastAsia="en-US"/>
        </w:rPr>
        <w:br w:type="page"/>
      </w:r>
    </w:p>
    <w:p w:rsidR="002F1934" w:rsidRPr="002F1934" w:rsidRDefault="002F1934" w:rsidP="0072238B">
      <w:pPr>
        <w:pStyle w:val="1"/>
        <w:rPr>
          <w:lang w:eastAsia="en-US"/>
        </w:rPr>
      </w:pPr>
      <w:bookmarkStart w:id="9" w:name="_Toc483654934"/>
      <w:r>
        <w:rPr>
          <w:lang w:eastAsia="en-US"/>
        </w:rPr>
        <w:lastRenderedPageBreak/>
        <w:t>Глава 4. Нерешённые проблемы и перспективы дальнейших исследований</w:t>
      </w:r>
      <w:bookmarkEnd w:id="9"/>
    </w:p>
    <w:p w:rsidR="002F1934" w:rsidRDefault="002F1934" w:rsidP="0072238B">
      <w:pPr>
        <w:rPr>
          <w:lang w:eastAsia="en-US"/>
        </w:rPr>
      </w:pPr>
      <w:r>
        <w:rPr>
          <w:lang w:eastAsia="en-US"/>
        </w:rPr>
        <w:t>При построении теоретической основы моделирования минералогического эффекта мембранной ВП были использованы некоторые допущения, которые не совсем точно и полно описывают эту модель. Эти допущения наследуют предшествовавшие теории и были сделаны для упрощения вычислений. В дальнейшем предполагается получение более точных решений.</w:t>
      </w:r>
    </w:p>
    <w:p w:rsidR="002F1934" w:rsidRPr="00E0256C" w:rsidRDefault="002F1934" w:rsidP="0072238B">
      <w:pPr>
        <w:rPr>
          <w:lang w:eastAsia="en-US"/>
        </w:rPr>
      </w:pPr>
    </w:p>
    <w:p w:rsidR="002F1934" w:rsidRDefault="002F1934" w:rsidP="0072238B">
      <w:pPr>
        <w:pStyle w:val="2"/>
        <w:rPr>
          <w:lang w:eastAsia="en-US"/>
        </w:rPr>
      </w:pPr>
      <w:bookmarkStart w:id="10" w:name="_Toc483654935"/>
      <w:r>
        <w:rPr>
          <w:lang w:eastAsia="en-US"/>
        </w:rPr>
        <w:t>4.1. Распределение потенциала</w:t>
      </w:r>
      <w:bookmarkEnd w:id="10"/>
    </w:p>
    <w:p w:rsidR="002F1934" w:rsidRDefault="002F1934" w:rsidP="0072238B">
      <w:pPr>
        <w:rPr>
          <w:lang w:eastAsia="en-US"/>
        </w:rPr>
      </w:pPr>
      <w:r>
        <w:rPr>
          <w:lang w:eastAsia="en-US"/>
        </w:rPr>
        <w:t>При</w:t>
      </w:r>
      <w:r w:rsidRPr="007D27CE">
        <w:rPr>
          <w:lang w:eastAsia="en-US"/>
        </w:rPr>
        <w:t xml:space="preserve"> </w:t>
      </w:r>
      <w:r>
        <w:rPr>
          <w:lang w:eastAsia="en-US"/>
        </w:rPr>
        <w:t xml:space="preserve">расчётах в работе </w:t>
      </w:r>
      <w:r>
        <w:rPr>
          <w:lang w:val="en-US" w:eastAsia="en-US"/>
        </w:rPr>
        <w:t>B</w:t>
      </w:r>
      <w:r w:rsidRPr="000F6D49">
        <w:rPr>
          <w:lang w:eastAsia="en-US"/>
        </w:rPr>
        <w:t>ü</w:t>
      </w:r>
      <w:proofErr w:type="spellStart"/>
      <w:r>
        <w:rPr>
          <w:lang w:val="en-US" w:eastAsia="en-US"/>
        </w:rPr>
        <w:t>cker</w:t>
      </w:r>
      <w:proofErr w:type="spellEnd"/>
      <w:r w:rsidRPr="007D27CE">
        <w:rPr>
          <w:lang w:eastAsia="en-US"/>
        </w:rPr>
        <w:t xml:space="preserve"> </w:t>
      </w:r>
      <w:r>
        <w:rPr>
          <w:lang w:val="en-US" w:eastAsia="en-US"/>
        </w:rPr>
        <w:t>and</w:t>
      </w:r>
      <w:r w:rsidRPr="007D27CE">
        <w:rPr>
          <w:lang w:eastAsia="en-US"/>
        </w:rPr>
        <w:t xml:space="preserve"> </w:t>
      </w:r>
      <w:r>
        <w:rPr>
          <w:lang w:val="en-US" w:eastAsia="en-US"/>
        </w:rPr>
        <w:t>H</w:t>
      </w:r>
      <w:r w:rsidRPr="000F6D49">
        <w:rPr>
          <w:lang w:eastAsia="en-US"/>
        </w:rPr>
        <w:t>ö</w:t>
      </w:r>
      <w:proofErr w:type="spellStart"/>
      <w:r>
        <w:rPr>
          <w:lang w:val="en-US" w:eastAsia="en-US"/>
        </w:rPr>
        <w:t>rdt</w:t>
      </w:r>
      <w:proofErr w:type="spellEnd"/>
      <w:r w:rsidRPr="007D27CE">
        <w:rPr>
          <w:lang w:eastAsia="en-US"/>
        </w:rPr>
        <w:t xml:space="preserve"> (2013)</w:t>
      </w:r>
      <w:r>
        <w:rPr>
          <w:lang w:eastAsia="en-US"/>
        </w:rPr>
        <w:t xml:space="preserve"> этой в работе и используется приближённая формула распределения электрического потенциала в двойном электрическом слое. Эта формула подходит только для тех случаев, когда значения радиусов пор намного больше, чем </w:t>
      </w:r>
      <w:proofErr w:type="spellStart"/>
      <w:r>
        <w:rPr>
          <w:lang w:eastAsia="en-US"/>
        </w:rPr>
        <w:t>Дебаевская</w:t>
      </w:r>
      <w:proofErr w:type="spellEnd"/>
      <w:r>
        <w:rPr>
          <w:lang w:eastAsia="en-US"/>
        </w:rPr>
        <w:t xml:space="preserve"> длина. В то же время встречаются ситуации, когда порода содержит очень узкие поры. Следовательно, необходимо получить точное решение для электрического потенциала и провести уточненное численное интегрирование концентрации при расчёте эффекта мембранной ВП.</w:t>
      </w:r>
    </w:p>
    <w:p w:rsidR="002F1934" w:rsidRDefault="002F1934" w:rsidP="0072238B">
      <w:pPr>
        <w:pStyle w:val="2"/>
        <w:rPr>
          <w:lang w:eastAsia="en-US"/>
        </w:rPr>
      </w:pPr>
      <w:bookmarkStart w:id="11" w:name="_Toc483654936"/>
      <w:r>
        <w:rPr>
          <w:lang w:eastAsia="en-US"/>
        </w:rPr>
        <w:t>4.2. Вклад плотного слоя в поляризационный эффект</w:t>
      </w:r>
      <w:bookmarkEnd w:id="11"/>
    </w:p>
    <w:p w:rsidR="002F1934" w:rsidRPr="003F44CA" w:rsidRDefault="002F1934" w:rsidP="0072238B">
      <w:pPr>
        <w:rPr>
          <w:lang w:eastAsia="en-US"/>
        </w:rPr>
      </w:pPr>
      <w:r>
        <w:rPr>
          <w:lang w:eastAsia="en-US"/>
        </w:rPr>
        <w:t xml:space="preserve">Вклад слоя Гельмгольца в общий </w:t>
      </w:r>
      <w:proofErr w:type="spellStart"/>
      <w:r>
        <w:rPr>
          <w:lang w:eastAsia="en-US"/>
        </w:rPr>
        <w:t>поляризацонный</w:t>
      </w:r>
      <w:proofErr w:type="spellEnd"/>
      <w:r>
        <w:rPr>
          <w:lang w:eastAsia="en-US"/>
        </w:rPr>
        <w:t xml:space="preserve"> эффект необходимо учитывать только в том случае, если слой является прерывистым. Если слой является непрерывным, то он поляризуется только в начале и в конце поры. </w:t>
      </w:r>
      <w:r>
        <w:rPr>
          <w:lang w:val="en-US" w:eastAsia="en-US"/>
        </w:rPr>
        <w:t>B</w:t>
      </w:r>
      <w:r w:rsidRPr="000F6D49">
        <w:rPr>
          <w:lang w:eastAsia="en-US"/>
        </w:rPr>
        <w:t>ü</w:t>
      </w:r>
      <w:proofErr w:type="spellStart"/>
      <w:r>
        <w:rPr>
          <w:lang w:val="en-US" w:eastAsia="en-US"/>
        </w:rPr>
        <w:t>cker</w:t>
      </w:r>
      <w:proofErr w:type="spellEnd"/>
      <w:r w:rsidRPr="007D27CE">
        <w:rPr>
          <w:lang w:eastAsia="en-US"/>
        </w:rPr>
        <w:t xml:space="preserve"> </w:t>
      </w:r>
      <w:r>
        <w:rPr>
          <w:lang w:val="en-US" w:eastAsia="en-US"/>
        </w:rPr>
        <w:t>and</w:t>
      </w:r>
      <w:r w:rsidRPr="007D27CE">
        <w:rPr>
          <w:lang w:eastAsia="en-US"/>
        </w:rPr>
        <w:t xml:space="preserve"> </w:t>
      </w:r>
      <w:r>
        <w:rPr>
          <w:lang w:val="en-US" w:eastAsia="en-US"/>
        </w:rPr>
        <w:t>H</w:t>
      </w:r>
      <w:r w:rsidRPr="000F6D49">
        <w:rPr>
          <w:lang w:eastAsia="en-US"/>
        </w:rPr>
        <w:t>ö</w:t>
      </w:r>
      <w:proofErr w:type="spellStart"/>
      <w:r>
        <w:rPr>
          <w:lang w:val="en-US" w:eastAsia="en-US"/>
        </w:rPr>
        <w:t>rdt</w:t>
      </w:r>
      <w:proofErr w:type="spellEnd"/>
      <w:r w:rsidRPr="007D27CE">
        <w:rPr>
          <w:lang w:eastAsia="en-US"/>
        </w:rPr>
        <w:t xml:space="preserve"> (2013)</w:t>
      </w:r>
      <w:r>
        <w:rPr>
          <w:lang w:eastAsia="en-US"/>
        </w:rPr>
        <w:t xml:space="preserve"> впервые предложили свой вариант учёта поляризации плотного слоя, но после изучения их подхода стало ясно, что его необходимо исправить. Их вариант может приводить как к </w:t>
      </w:r>
      <w:proofErr w:type="spellStart"/>
      <w:r>
        <w:rPr>
          <w:lang w:eastAsia="en-US"/>
        </w:rPr>
        <w:t>переоцениванию</w:t>
      </w:r>
      <w:proofErr w:type="spellEnd"/>
      <w:r>
        <w:rPr>
          <w:lang w:eastAsia="en-US"/>
        </w:rPr>
        <w:t xml:space="preserve">, так и </w:t>
      </w:r>
      <w:proofErr w:type="spellStart"/>
      <w:r>
        <w:rPr>
          <w:lang w:eastAsia="en-US"/>
        </w:rPr>
        <w:t>недооцениванию</w:t>
      </w:r>
      <w:proofErr w:type="spellEnd"/>
      <w:r>
        <w:rPr>
          <w:lang w:eastAsia="en-US"/>
        </w:rPr>
        <w:t xml:space="preserve"> вклада слоя Гельмгольца </w:t>
      </w:r>
      <w:r w:rsidR="003F44CA">
        <w:rPr>
          <w:lang w:eastAsia="en-US"/>
        </w:rPr>
        <w:t>в общий поляризационный эффект.</w:t>
      </w:r>
    </w:p>
    <w:p w:rsidR="002F1934" w:rsidRDefault="002F1934" w:rsidP="0072238B">
      <w:pPr>
        <w:pStyle w:val="2"/>
        <w:rPr>
          <w:lang w:eastAsia="en-US"/>
        </w:rPr>
      </w:pPr>
      <w:bookmarkStart w:id="12" w:name="_Toc483654937"/>
      <w:r>
        <w:rPr>
          <w:lang w:eastAsia="en-US"/>
        </w:rPr>
        <w:t>4.3. Подвижность ионов</w:t>
      </w:r>
      <w:bookmarkEnd w:id="12"/>
    </w:p>
    <w:p w:rsidR="002F1934" w:rsidRPr="00E0256C" w:rsidRDefault="002F1934" w:rsidP="0072238B">
      <w:pPr>
        <w:rPr>
          <w:lang w:eastAsia="en-US"/>
        </w:rPr>
      </w:pPr>
      <w:r>
        <w:rPr>
          <w:lang w:eastAsia="en-US"/>
        </w:rPr>
        <w:t xml:space="preserve">В данной работе производится расчёт чисел переноса, который связан с подвижностями ионов электролита. Здесь подвижности </w:t>
      </w:r>
      <w:r w:rsidRPr="002A482E">
        <w:rPr>
          <w:lang w:eastAsia="en-US"/>
        </w:rPr>
        <w:t>катионов и анионов</w:t>
      </w:r>
      <w:r>
        <w:rPr>
          <w:lang w:eastAsia="en-US"/>
        </w:rPr>
        <w:t xml:space="preserve"> полагались равными, например, как в случае раствора </w:t>
      </w:r>
      <w:proofErr w:type="spellStart"/>
      <w:r>
        <w:rPr>
          <w:lang w:val="en-US" w:eastAsia="en-US"/>
        </w:rPr>
        <w:t>KCl</w:t>
      </w:r>
      <w:proofErr w:type="spellEnd"/>
      <w:r w:rsidRPr="000F6D49">
        <w:rPr>
          <w:lang w:eastAsia="en-US"/>
        </w:rPr>
        <w:t xml:space="preserve">. </w:t>
      </w:r>
      <w:r>
        <w:rPr>
          <w:lang w:eastAsia="en-US"/>
        </w:rPr>
        <w:t>В то же время, в общем случае, подвижности ионов различаются и это обстоятельство должно быть учтено при расчётах, так как может вызвать существенный эффект для значений фазовых сдвигов (рис. 6).</w:t>
      </w:r>
    </w:p>
    <w:p w:rsidR="002F1934" w:rsidRPr="00E0256C" w:rsidRDefault="002F1934" w:rsidP="0072238B">
      <w:pPr>
        <w:rPr>
          <w:lang w:eastAsia="en-US"/>
        </w:rPr>
      </w:pPr>
    </w:p>
    <w:p w:rsidR="002F1934" w:rsidRDefault="002A482E" w:rsidP="0072238B">
      <w:pPr>
        <w:ind w:firstLine="0"/>
        <w:jc w:val="center"/>
        <w:rPr>
          <w:lang w:val="en-US" w:eastAsia="en-US"/>
        </w:rPr>
      </w:pPr>
      <w:r>
        <w:rPr>
          <w:noProof/>
        </w:rPr>
        <w:lastRenderedPageBreak/>
        <w:drawing>
          <wp:inline distT="0" distB="0" distL="0" distR="0">
            <wp:extent cx="3714750" cy="3619500"/>
            <wp:effectExtent l="0" t="0" r="0" b="0"/>
            <wp:docPr id="6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934" w:rsidRDefault="002F1934" w:rsidP="0072238B">
      <w:pPr>
        <w:ind w:firstLine="0"/>
        <w:jc w:val="center"/>
        <w:rPr>
          <w:lang w:val="en-US" w:eastAsia="en-US"/>
        </w:rPr>
      </w:pPr>
    </w:p>
    <w:p w:rsidR="002F1934" w:rsidRDefault="002F1934" w:rsidP="0072238B">
      <w:pPr>
        <w:ind w:firstLine="0"/>
        <w:jc w:val="center"/>
        <w:rPr>
          <w:sz w:val="20"/>
          <w:lang w:eastAsia="en-US"/>
        </w:rPr>
      </w:pPr>
      <w:r w:rsidRPr="006947CC">
        <w:rPr>
          <w:sz w:val="20"/>
          <w:lang w:eastAsia="en-US"/>
        </w:rPr>
        <w:t xml:space="preserve">Рис. </w:t>
      </w:r>
      <w:r w:rsidRPr="00FD5241">
        <w:rPr>
          <w:sz w:val="20"/>
          <w:lang w:eastAsia="en-US"/>
        </w:rPr>
        <w:t>6</w:t>
      </w:r>
      <w:r w:rsidRPr="006947CC">
        <w:rPr>
          <w:sz w:val="20"/>
          <w:lang w:eastAsia="en-US"/>
        </w:rPr>
        <w:t>.</w:t>
      </w:r>
      <w:r w:rsidRPr="00FD5241">
        <w:rPr>
          <w:sz w:val="20"/>
          <w:lang w:eastAsia="en-US"/>
        </w:rPr>
        <w:t xml:space="preserve"> </w:t>
      </w:r>
      <w:r>
        <w:rPr>
          <w:sz w:val="20"/>
          <w:lang w:eastAsia="en-US"/>
        </w:rPr>
        <w:t>Зависимость фазового сдвига от радиусов пор в двух случаях: 1 – подвижности ионов электролита различны (</w:t>
      </w:r>
      <w:proofErr w:type="spellStart"/>
      <w:r>
        <w:rPr>
          <w:sz w:val="20"/>
          <w:lang w:val="en-US" w:eastAsia="en-US"/>
        </w:rPr>
        <w:t>NaCl</w:t>
      </w:r>
      <w:proofErr w:type="spellEnd"/>
      <w:r w:rsidRPr="00FD5241">
        <w:rPr>
          <w:sz w:val="20"/>
          <w:lang w:eastAsia="en-US"/>
        </w:rPr>
        <w:t xml:space="preserve">), </w:t>
      </w:r>
      <w:r>
        <w:rPr>
          <w:sz w:val="20"/>
          <w:lang w:eastAsia="en-US"/>
        </w:rPr>
        <w:t>2 – подвижности ионов равны друг другу (</w:t>
      </w:r>
      <w:proofErr w:type="spellStart"/>
      <w:r>
        <w:rPr>
          <w:sz w:val="20"/>
          <w:lang w:val="en-US" w:eastAsia="en-US"/>
        </w:rPr>
        <w:t>KCl</w:t>
      </w:r>
      <w:proofErr w:type="spellEnd"/>
      <w:r w:rsidRPr="00FD5241">
        <w:rPr>
          <w:sz w:val="20"/>
          <w:lang w:eastAsia="en-US"/>
        </w:rPr>
        <w:t xml:space="preserve">). </w:t>
      </w:r>
      <w:r>
        <w:rPr>
          <w:sz w:val="20"/>
          <w:lang w:eastAsia="en-US"/>
        </w:rPr>
        <w:t xml:space="preserve">Остальные параметры взяты для каолинита и </w:t>
      </w:r>
      <w:proofErr w:type="spellStart"/>
      <w:r>
        <w:rPr>
          <w:sz w:val="20"/>
          <w:lang w:eastAsia="en-US"/>
        </w:rPr>
        <w:t>смектита</w:t>
      </w:r>
      <w:proofErr w:type="spellEnd"/>
      <w:r>
        <w:rPr>
          <w:sz w:val="20"/>
          <w:lang w:eastAsia="en-US"/>
        </w:rPr>
        <w:t>, см. табл. 1 и 2.</w:t>
      </w:r>
    </w:p>
    <w:p w:rsidR="002F1934" w:rsidRDefault="002F1934" w:rsidP="0072238B">
      <w:pPr>
        <w:spacing w:after="200" w:line="276" w:lineRule="auto"/>
        <w:ind w:firstLine="0"/>
        <w:jc w:val="left"/>
        <w:rPr>
          <w:b/>
          <w:bCs/>
          <w:color w:val="000000"/>
          <w:szCs w:val="28"/>
          <w:lang w:eastAsia="en-US"/>
        </w:rPr>
      </w:pPr>
      <w:bookmarkStart w:id="13" w:name="_Toc482700006"/>
      <w:r>
        <w:rPr>
          <w:lang w:eastAsia="en-US"/>
        </w:rPr>
        <w:br w:type="page"/>
      </w:r>
    </w:p>
    <w:p w:rsidR="002F1934" w:rsidRDefault="002F1934" w:rsidP="0072238B">
      <w:pPr>
        <w:pStyle w:val="1"/>
        <w:rPr>
          <w:lang w:eastAsia="en-US"/>
        </w:rPr>
      </w:pPr>
      <w:bookmarkStart w:id="14" w:name="_Toc483654938"/>
      <w:r>
        <w:rPr>
          <w:lang w:eastAsia="en-US"/>
        </w:rPr>
        <w:lastRenderedPageBreak/>
        <w:t>Заключение</w:t>
      </w:r>
      <w:bookmarkEnd w:id="13"/>
      <w:bookmarkEnd w:id="14"/>
    </w:p>
    <w:p w:rsidR="002F1934" w:rsidRDefault="002F1934" w:rsidP="00B93778">
      <w:pPr>
        <w:rPr>
          <w:lang w:eastAsia="en-US"/>
        </w:rPr>
      </w:pPr>
      <w:r>
        <w:rPr>
          <w:lang w:eastAsia="en-US"/>
        </w:rPr>
        <w:t>В работе изложено теоретическое обоснование возникновения эффекта мембранной вызванной поляризации, связанного с различием межфазных свойств минералов, слагающих стенки пор (</w:t>
      </w:r>
      <w:r w:rsidR="003F44CA">
        <w:rPr>
          <w:lang w:eastAsia="en-US"/>
        </w:rPr>
        <w:t>минералогический эффект</w:t>
      </w:r>
      <w:r>
        <w:rPr>
          <w:lang w:eastAsia="en-US"/>
        </w:rPr>
        <w:t xml:space="preserve">). </w:t>
      </w:r>
    </w:p>
    <w:p w:rsidR="002F1934" w:rsidRDefault="002F1934" w:rsidP="0072238B">
      <w:pPr>
        <w:rPr>
          <w:lang w:eastAsia="en-US"/>
        </w:rPr>
      </w:pPr>
      <w:r>
        <w:rPr>
          <w:lang w:eastAsia="en-US"/>
        </w:rPr>
        <w:t>Теоретические исследования привели к следующим результатам:</w:t>
      </w:r>
    </w:p>
    <w:p w:rsidR="002F1934" w:rsidRDefault="002F1934" w:rsidP="0072238B">
      <w:pPr>
        <w:numPr>
          <w:ilvl w:val="0"/>
          <w:numId w:val="5"/>
        </w:numPr>
        <w:ind w:left="1134" w:hanging="426"/>
        <w:rPr>
          <w:lang w:eastAsia="en-US"/>
        </w:rPr>
      </w:pPr>
      <w:r>
        <w:rPr>
          <w:lang w:eastAsia="en-US"/>
        </w:rPr>
        <w:t>Эффект может создавать фазовые с</w:t>
      </w:r>
      <w:r w:rsidR="003F44CA">
        <w:rPr>
          <w:lang w:eastAsia="en-US"/>
        </w:rPr>
        <w:t>двиги, которые намного превышаю</w:t>
      </w:r>
      <w:r>
        <w:rPr>
          <w:lang w:eastAsia="en-US"/>
        </w:rPr>
        <w:t>т порог обнаружения ВП.</w:t>
      </w:r>
    </w:p>
    <w:p w:rsidR="002F1934" w:rsidRDefault="002F1934" w:rsidP="0072238B">
      <w:pPr>
        <w:numPr>
          <w:ilvl w:val="0"/>
          <w:numId w:val="5"/>
        </w:numPr>
        <w:ind w:left="1134" w:hanging="426"/>
        <w:rPr>
          <w:lang w:eastAsia="en-US"/>
        </w:rPr>
      </w:pPr>
      <w:r>
        <w:rPr>
          <w:lang w:eastAsia="en-US"/>
        </w:rPr>
        <w:t xml:space="preserve">Значения пиковых частот зависят в основном от длин пор; они попадают в область частот измерений ВП и, следовательно, могут быть зарегистрированы. </w:t>
      </w:r>
    </w:p>
    <w:p w:rsidR="002F1934" w:rsidRPr="00B93778" w:rsidRDefault="002F1934" w:rsidP="002A482E">
      <w:pPr>
        <w:numPr>
          <w:ilvl w:val="0"/>
          <w:numId w:val="5"/>
        </w:numPr>
        <w:ind w:left="1134" w:hanging="426"/>
        <w:rPr>
          <w:lang w:eastAsia="en-US"/>
        </w:rPr>
      </w:pPr>
      <w:r>
        <w:rPr>
          <w:lang w:eastAsia="en-US"/>
        </w:rPr>
        <w:t>При наложении минерального эффекта на классический эффект мембранной поляризации возникает значительный скачок фазового сдвига. Возможно, этот же эффект может быть наложен на эффект поляризации слоя Штерна, окружающего зёрна минералов.</w:t>
      </w:r>
    </w:p>
    <w:p w:rsidR="002F1934" w:rsidRDefault="002F1934" w:rsidP="0072238B">
      <w:pPr>
        <w:rPr>
          <w:lang w:eastAsia="en-US"/>
        </w:rPr>
      </w:pPr>
      <w:r>
        <w:rPr>
          <w:lang w:eastAsia="en-US"/>
        </w:rPr>
        <w:t>Дальнейшие работы будут направлены на решение вышеупомянутых задач</w:t>
      </w:r>
      <w:r w:rsidRPr="002A482E">
        <w:rPr>
          <w:lang w:eastAsia="en-US"/>
        </w:rPr>
        <w:t>:</w:t>
      </w:r>
      <w:r>
        <w:rPr>
          <w:lang w:eastAsia="en-US"/>
        </w:rPr>
        <w:t xml:space="preserve"> :</w:t>
      </w:r>
    </w:p>
    <w:p w:rsidR="002F1934" w:rsidRDefault="002F1934" w:rsidP="0072238B">
      <w:pPr>
        <w:numPr>
          <w:ilvl w:val="0"/>
          <w:numId w:val="7"/>
        </w:numPr>
        <w:ind w:left="993" w:hanging="284"/>
        <w:rPr>
          <w:lang w:eastAsia="en-US"/>
        </w:rPr>
      </w:pPr>
      <w:r>
        <w:rPr>
          <w:lang w:eastAsia="en-US"/>
        </w:rPr>
        <w:t>Получение более точного распределения электрического потенциала внутри поры</w:t>
      </w:r>
    </w:p>
    <w:p w:rsidR="002F1934" w:rsidRDefault="002F1934" w:rsidP="0072238B">
      <w:pPr>
        <w:numPr>
          <w:ilvl w:val="0"/>
          <w:numId w:val="7"/>
        </w:numPr>
        <w:ind w:left="993" w:hanging="284"/>
        <w:rPr>
          <w:lang w:eastAsia="en-US"/>
        </w:rPr>
      </w:pPr>
      <w:r>
        <w:rPr>
          <w:lang w:eastAsia="en-US"/>
        </w:rPr>
        <w:t xml:space="preserve">Включение вклада плотного слоя в поляризационный эффект и учёт подвижностей ионов </w:t>
      </w:r>
    </w:p>
    <w:p w:rsidR="002F1934" w:rsidRDefault="002F1934" w:rsidP="0072238B">
      <w:pPr>
        <w:numPr>
          <w:ilvl w:val="0"/>
          <w:numId w:val="7"/>
        </w:numPr>
        <w:ind w:left="993" w:hanging="284"/>
        <w:rPr>
          <w:lang w:eastAsia="en-US"/>
        </w:rPr>
      </w:pPr>
      <w:r>
        <w:rPr>
          <w:lang w:eastAsia="en-US"/>
        </w:rPr>
        <w:t>Экспериментальная проверка эффекта.</w:t>
      </w:r>
    </w:p>
    <w:p w:rsidR="002F1934" w:rsidRDefault="002F1934" w:rsidP="0072238B">
      <w:pPr>
        <w:rPr>
          <w:lang w:eastAsia="en-US"/>
        </w:rPr>
      </w:pPr>
    </w:p>
    <w:p w:rsidR="002F1934" w:rsidRDefault="002F1934" w:rsidP="0072238B">
      <w:pPr>
        <w:spacing w:after="200" w:line="276" w:lineRule="auto"/>
        <w:ind w:firstLine="0"/>
        <w:jc w:val="left"/>
        <w:rPr>
          <w:b/>
          <w:bCs/>
          <w:color w:val="000000"/>
          <w:szCs w:val="28"/>
          <w:lang w:eastAsia="en-US"/>
        </w:rPr>
      </w:pPr>
      <w:r>
        <w:rPr>
          <w:lang w:eastAsia="en-US"/>
        </w:rPr>
        <w:br w:type="page"/>
      </w:r>
    </w:p>
    <w:p w:rsidR="002F1934" w:rsidRDefault="002F1934" w:rsidP="0072238B">
      <w:pPr>
        <w:pStyle w:val="1"/>
        <w:rPr>
          <w:lang w:eastAsia="en-US"/>
        </w:rPr>
      </w:pPr>
      <w:bookmarkStart w:id="15" w:name="_Toc483654939"/>
      <w:r>
        <w:rPr>
          <w:lang w:eastAsia="en-US"/>
        </w:rPr>
        <w:lastRenderedPageBreak/>
        <w:t>Литература</w:t>
      </w:r>
      <w:bookmarkEnd w:id="15"/>
    </w:p>
    <w:p w:rsidR="002F1934" w:rsidRPr="000639FF" w:rsidRDefault="002F1934" w:rsidP="0072238B">
      <w:pPr>
        <w:pStyle w:val="a7"/>
        <w:numPr>
          <w:ilvl w:val="0"/>
          <w:numId w:val="1"/>
        </w:numPr>
        <w:ind w:left="567" w:hanging="567"/>
      </w:pPr>
      <w:r w:rsidRPr="000639FF">
        <w:t xml:space="preserve">Кормильцев В.В. О возбуждении и спаде вызванной поляризации в капиллярной среде // </w:t>
      </w:r>
      <w:proofErr w:type="spellStart"/>
      <w:r w:rsidRPr="000639FF">
        <w:t>Изв</w:t>
      </w:r>
      <w:proofErr w:type="spellEnd"/>
      <w:r w:rsidRPr="000639FF">
        <w:t xml:space="preserve">. АН СССР. Сер. геофизическая. 1963, </w:t>
      </w:r>
      <w:r w:rsidRPr="000639FF">
        <w:rPr>
          <w:lang w:val="en-US"/>
        </w:rPr>
        <w:t>N</w:t>
      </w:r>
      <w:r w:rsidRPr="000639FF">
        <w:t xml:space="preserve"> 11.- с.1658-1666.</w:t>
      </w:r>
    </w:p>
    <w:p w:rsidR="002F1934" w:rsidRPr="000875F8" w:rsidRDefault="002F1934" w:rsidP="0072238B">
      <w:pPr>
        <w:pStyle w:val="a7"/>
        <w:numPr>
          <w:ilvl w:val="0"/>
          <w:numId w:val="1"/>
        </w:numPr>
        <w:ind w:left="567" w:hanging="567"/>
      </w:pPr>
      <w:proofErr w:type="spellStart"/>
      <w:r>
        <w:t>Фридрихсберг</w:t>
      </w:r>
      <w:proofErr w:type="spellEnd"/>
      <w:r>
        <w:t xml:space="preserve"> Д.А., Сидорова М.П Исследование связи явления вызванной поляризации с электрокинетическими свойствами капиллярных систем. Вестник ЛГУ. Сер. Химия, 1961, </w:t>
      </w:r>
      <w:r w:rsidRPr="000639FF">
        <w:rPr>
          <w:lang w:val="en-US"/>
        </w:rPr>
        <w:t>N</w:t>
      </w:r>
      <w:r>
        <w:t xml:space="preserve"> 4, с. 222-226</w:t>
      </w:r>
    </w:p>
    <w:p w:rsidR="002F1934" w:rsidRPr="001E3546" w:rsidRDefault="002F1934" w:rsidP="0072238B">
      <w:pPr>
        <w:pStyle w:val="a7"/>
        <w:numPr>
          <w:ilvl w:val="0"/>
          <w:numId w:val="1"/>
        </w:numPr>
        <w:ind w:left="567" w:hanging="567"/>
        <w:rPr>
          <w:lang w:val="en-GB" w:eastAsia="en-US"/>
        </w:rPr>
      </w:pPr>
      <w:proofErr w:type="spellStart"/>
      <w:r w:rsidRPr="001E3546">
        <w:rPr>
          <w:lang w:val="en-GB" w:eastAsia="en-US"/>
        </w:rPr>
        <w:t>Alkafeef</w:t>
      </w:r>
      <w:proofErr w:type="spellEnd"/>
      <w:r w:rsidRPr="002A482E">
        <w:rPr>
          <w:lang w:val="en-US" w:eastAsia="en-US"/>
          <w:rPrChange w:id="16" w:author="Пользователь Windows" w:date="2017-05-27T13:17:00Z">
            <w:rPr>
              <w:lang w:eastAsia="en-US"/>
            </w:rPr>
          </w:rPrChange>
        </w:rPr>
        <w:t xml:space="preserve">, </w:t>
      </w:r>
      <w:r w:rsidRPr="001E3546">
        <w:rPr>
          <w:lang w:val="en-GB" w:eastAsia="en-US"/>
        </w:rPr>
        <w:t>S</w:t>
      </w:r>
      <w:r w:rsidRPr="002A482E">
        <w:rPr>
          <w:lang w:val="en-US" w:eastAsia="en-US"/>
          <w:rPrChange w:id="17" w:author="Пользователь Windows" w:date="2017-05-27T13:17:00Z">
            <w:rPr>
              <w:lang w:eastAsia="en-US"/>
            </w:rPr>
          </w:rPrChange>
        </w:rPr>
        <w:t>.</w:t>
      </w:r>
      <w:r w:rsidRPr="001E3546">
        <w:rPr>
          <w:lang w:val="en-GB" w:eastAsia="en-US"/>
        </w:rPr>
        <w:t>F</w:t>
      </w:r>
      <w:r w:rsidRPr="002A482E">
        <w:rPr>
          <w:lang w:val="en-US" w:eastAsia="en-US"/>
          <w:rPrChange w:id="18" w:author="Пользователь Windows" w:date="2017-05-27T13:17:00Z">
            <w:rPr>
              <w:lang w:eastAsia="en-US"/>
            </w:rPr>
          </w:rPrChange>
        </w:rPr>
        <w:t xml:space="preserve">., </w:t>
      </w:r>
      <w:proofErr w:type="spellStart"/>
      <w:r w:rsidRPr="001E3546">
        <w:rPr>
          <w:lang w:val="en-GB" w:eastAsia="en-US"/>
        </w:rPr>
        <w:t>Gochin</w:t>
      </w:r>
      <w:proofErr w:type="spellEnd"/>
      <w:r w:rsidRPr="002A482E">
        <w:rPr>
          <w:lang w:val="en-US" w:eastAsia="en-US"/>
          <w:rPrChange w:id="19" w:author="Пользователь Windows" w:date="2017-05-27T13:17:00Z">
            <w:rPr>
              <w:lang w:eastAsia="en-US"/>
            </w:rPr>
          </w:rPrChange>
        </w:rPr>
        <w:t xml:space="preserve">, </w:t>
      </w:r>
      <w:r w:rsidRPr="001E3546">
        <w:rPr>
          <w:lang w:val="en-GB" w:eastAsia="en-US"/>
        </w:rPr>
        <w:t>R</w:t>
      </w:r>
      <w:r w:rsidRPr="002A482E">
        <w:rPr>
          <w:lang w:val="en-US" w:eastAsia="en-US"/>
          <w:rPrChange w:id="20" w:author="Пользователь Windows" w:date="2017-05-27T13:17:00Z">
            <w:rPr>
              <w:lang w:eastAsia="en-US"/>
            </w:rPr>
          </w:rPrChange>
        </w:rPr>
        <w:t>.</w:t>
      </w:r>
      <w:r w:rsidRPr="001E3546">
        <w:rPr>
          <w:lang w:val="en-GB" w:eastAsia="en-US"/>
        </w:rPr>
        <w:t>J</w:t>
      </w:r>
      <w:r w:rsidRPr="002A482E">
        <w:rPr>
          <w:lang w:val="en-US" w:eastAsia="en-US"/>
          <w:rPrChange w:id="21" w:author="Пользователь Windows" w:date="2017-05-27T13:17:00Z">
            <w:rPr>
              <w:lang w:eastAsia="en-US"/>
            </w:rPr>
          </w:rPrChange>
        </w:rPr>
        <w:t xml:space="preserve">., </w:t>
      </w:r>
      <w:r w:rsidRPr="001E3546">
        <w:rPr>
          <w:lang w:val="en-GB" w:eastAsia="en-US"/>
        </w:rPr>
        <w:t>Smith</w:t>
      </w:r>
      <w:r w:rsidRPr="002A482E">
        <w:rPr>
          <w:lang w:val="en-US" w:eastAsia="en-US"/>
          <w:rPrChange w:id="22" w:author="Пользователь Windows" w:date="2017-05-27T13:17:00Z">
            <w:rPr>
              <w:lang w:eastAsia="en-US"/>
            </w:rPr>
          </w:rPrChange>
        </w:rPr>
        <w:t xml:space="preserve">, </w:t>
      </w:r>
      <w:r w:rsidRPr="001E3546">
        <w:rPr>
          <w:lang w:val="en-GB" w:eastAsia="en-US"/>
        </w:rPr>
        <w:t>A</w:t>
      </w:r>
      <w:r w:rsidRPr="002A482E">
        <w:rPr>
          <w:lang w:val="en-US" w:eastAsia="en-US"/>
          <w:rPrChange w:id="23" w:author="Пользователь Windows" w:date="2017-05-27T13:17:00Z">
            <w:rPr>
              <w:lang w:eastAsia="en-US"/>
            </w:rPr>
          </w:rPrChange>
        </w:rPr>
        <w:t>.</w:t>
      </w:r>
      <w:r w:rsidRPr="001E3546">
        <w:rPr>
          <w:lang w:val="en-GB" w:eastAsia="en-US"/>
        </w:rPr>
        <w:t>L</w:t>
      </w:r>
      <w:r w:rsidRPr="002A482E">
        <w:rPr>
          <w:lang w:val="en-US" w:eastAsia="en-US"/>
          <w:rPrChange w:id="24" w:author="Пользователь Windows" w:date="2017-05-27T13:17:00Z">
            <w:rPr>
              <w:lang w:eastAsia="en-US"/>
            </w:rPr>
          </w:rPrChange>
        </w:rPr>
        <w:t xml:space="preserve">., 1999. </w:t>
      </w:r>
      <w:r w:rsidRPr="001E3546">
        <w:rPr>
          <w:lang w:val="en-GB" w:eastAsia="en-US"/>
        </w:rPr>
        <w:t xml:space="preserve">Measurement of the </w:t>
      </w:r>
      <w:proofErr w:type="spellStart"/>
      <w:r w:rsidRPr="001E3546">
        <w:rPr>
          <w:lang w:val="en-GB" w:eastAsia="en-US"/>
        </w:rPr>
        <w:t>Electrokinetic</w:t>
      </w:r>
      <w:proofErr w:type="spellEnd"/>
      <w:r w:rsidRPr="001E3546">
        <w:rPr>
          <w:lang w:val="en-GB" w:eastAsia="en-US"/>
        </w:rPr>
        <w:t xml:space="preserve"> Potential at Reservoir Rock Surfaces Avoiding the Effect of Surface Conductivity” Colloid and Surfaces, A: Physicochemical and Engineering Aspects, 159, (1999), pp. 263-270.</w:t>
      </w:r>
    </w:p>
    <w:p w:rsidR="002F1934" w:rsidRPr="001E3546" w:rsidRDefault="002F1934" w:rsidP="0072238B">
      <w:pPr>
        <w:pStyle w:val="a7"/>
        <w:numPr>
          <w:ilvl w:val="0"/>
          <w:numId w:val="1"/>
        </w:numPr>
        <w:ind w:left="567" w:hanging="567"/>
        <w:rPr>
          <w:lang w:val="en-GB" w:eastAsia="en-US"/>
        </w:rPr>
      </w:pPr>
      <w:r w:rsidRPr="002A482E">
        <w:rPr>
          <w:lang w:val="de-DE" w:eastAsia="en-US"/>
        </w:rPr>
        <w:t xml:space="preserve">Bücker, M., </w:t>
      </w:r>
      <w:proofErr w:type="spellStart"/>
      <w:r w:rsidRPr="002A482E">
        <w:rPr>
          <w:lang w:val="de-DE" w:eastAsia="en-US"/>
        </w:rPr>
        <w:t>and</w:t>
      </w:r>
      <w:proofErr w:type="spellEnd"/>
      <w:r w:rsidRPr="002A482E">
        <w:rPr>
          <w:lang w:val="de-DE" w:eastAsia="en-US"/>
        </w:rPr>
        <w:t xml:space="preserve"> </w:t>
      </w:r>
      <w:proofErr w:type="spellStart"/>
      <w:r w:rsidRPr="002A482E">
        <w:rPr>
          <w:lang w:val="de-DE" w:eastAsia="en-US"/>
        </w:rPr>
        <w:t>Hördt</w:t>
      </w:r>
      <w:proofErr w:type="spellEnd"/>
      <w:r w:rsidRPr="002A482E">
        <w:rPr>
          <w:lang w:val="de-DE" w:eastAsia="en-US"/>
        </w:rPr>
        <w:t xml:space="preserve">, A., 2013. </w:t>
      </w:r>
      <w:r w:rsidRPr="001E3546">
        <w:rPr>
          <w:lang w:val="en-GB" w:eastAsia="en-US"/>
        </w:rPr>
        <w:t>Analytical modelling of membrane polarization with explicit parametrization of pore radii and the electrical double layer: Geophysical Journal International, DOI: 10.1093/</w:t>
      </w:r>
      <w:proofErr w:type="spellStart"/>
      <w:r w:rsidRPr="001E3546">
        <w:rPr>
          <w:lang w:val="en-GB" w:eastAsia="en-US"/>
        </w:rPr>
        <w:t>gji</w:t>
      </w:r>
      <w:proofErr w:type="spellEnd"/>
      <w:r w:rsidRPr="001E3546">
        <w:rPr>
          <w:lang w:val="en-GB" w:eastAsia="en-US"/>
        </w:rPr>
        <w:t>/ggt136.</w:t>
      </w:r>
    </w:p>
    <w:p w:rsidR="002F1934" w:rsidRPr="001E3546" w:rsidRDefault="002F1934" w:rsidP="0072238B">
      <w:pPr>
        <w:pStyle w:val="a7"/>
        <w:numPr>
          <w:ilvl w:val="0"/>
          <w:numId w:val="1"/>
        </w:numPr>
        <w:ind w:left="567" w:hanging="567"/>
        <w:rPr>
          <w:lang w:val="en-GB" w:eastAsia="en-US"/>
        </w:rPr>
      </w:pPr>
      <w:proofErr w:type="spellStart"/>
      <w:r w:rsidRPr="001E3546">
        <w:rPr>
          <w:lang w:val="en-GB" w:eastAsia="en-US"/>
        </w:rPr>
        <w:t>Demir</w:t>
      </w:r>
      <w:proofErr w:type="spellEnd"/>
      <w:r w:rsidRPr="001E3546">
        <w:rPr>
          <w:lang w:val="en-GB" w:eastAsia="en-US"/>
        </w:rPr>
        <w:t xml:space="preserve">, C., 2010. Selective separation of Na- and K- Feldspar from weathered granites by flotation in HF medium. Ceramics – </w:t>
      </w:r>
      <w:proofErr w:type="spellStart"/>
      <w:r w:rsidRPr="001E3546">
        <w:rPr>
          <w:lang w:val="en-GB" w:eastAsia="en-US"/>
        </w:rPr>
        <w:t>Silikáty</w:t>
      </w:r>
      <w:proofErr w:type="spellEnd"/>
      <w:r w:rsidRPr="001E3546">
        <w:rPr>
          <w:lang w:val="en-GB" w:eastAsia="en-US"/>
        </w:rPr>
        <w:t xml:space="preserve"> 54 (1) 60-64.</w:t>
      </w:r>
    </w:p>
    <w:p w:rsidR="002F1934" w:rsidRPr="001E3546" w:rsidRDefault="002F1934" w:rsidP="0072238B">
      <w:pPr>
        <w:pStyle w:val="a7"/>
        <w:numPr>
          <w:ilvl w:val="0"/>
          <w:numId w:val="1"/>
        </w:numPr>
        <w:ind w:left="567" w:hanging="567"/>
        <w:rPr>
          <w:lang w:val="en-GB" w:eastAsia="en-US"/>
        </w:rPr>
      </w:pPr>
      <w:proofErr w:type="spellStart"/>
      <w:r w:rsidRPr="001E3546">
        <w:rPr>
          <w:lang w:val="en-GB" w:eastAsia="en-US"/>
        </w:rPr>
        <w:t>Gaudin</w:t>
      </w:r>
      <w:proofErr w:type="spellEnd"/>
      <w:r w:rsidRPr="001E3546">
        <w:rPr>
          <w:lang w:val="en-GB" w:eastAsia="en-US"/>
        </w:rPr>
        <w:t xml:space="preserve"> A.M., and </w:t>
      </w:r>
      <w:proofErr w:type="spellStart"/>
      <w:r w:rsidRPr="001E3546">
        <w:rPr>
          <w:lang w:val="en-GB" w:eastAsia="en-US"/>
        </w:rPr>
        <w:t>Fuerstenau</w:t>
      </w:r>
      <w:proofErr w:type="spellEnd"/>
      <w:r w:rsidRPr="001E3546">
        <w:rPr>
          <w:lang w:val="en-GB" w:eastAsia="en-US"/>
        </w:rPr>
        <w:t xml:space="preserve">, D.W., 1955a. Quartz flotation with anionic collectors. Trans Am Inst Min </w:t>
      </w:r>
      <w:proofErr w:type="spellStart"/>
      <w:r w:rsidRPr="001E3546">
        <w:rPr>
          <w:lang w:val="en-GB" w:eastAsia="en-US"/>
        </w:rPr>
        <w:t>Metall</w:t>
      </w:r>
      <w:proofErr w:type="spellEnd"/>
      <w:r w:rsidRPr="001E3546">
        <w:rPr>
          <w:lang w:val="en-GB" w:eastAsia="en-US"/>
        </w:rPr>
        <w:t xml:space="preserve"> </w:t>
      </w:r>
      <w:proofErr w:type="spellStart"/>
      <w:r w:rsidRPr="001E3546">
        <w:rPr>
          <w:lang w:val="en-GB" w:eastAsia="en-US"/>
        </w:rPr>
        <w:t>Eng</w:t>
      </w:r>
      <w:proofErr w:type="spellEnd"/>
      <w:r w:rsidRPr="001E3546">
        <w:rPr>
          <w:lang w:val="en-GB" w:eastAsia="en-US"/>
        </w:rPr>
        <w:t xml:space="preserve"> 202:66–72.</w:t>
      </w:r>
    </w:p>
    <w:p w:rsidR="002F1934" w:rsidRPr="001E3546" w:rsidRDefault="002F1934" w:rsidP="0072238B">
      <w:pPr>
        <w:pStyle w:val="a7"/>
        <w:numPr>
          <w:ilvl w:val="0"/>
          <w:numId w:val="1"/>
        </w:numPr>
        <w:ind w:left="567" w:hanging="567"/>
        <w:rPr>
          <w:lang w:val="en-GB" w:eastAsia="en-US"/>
        </w:rPr>
      </w:pPr>
      <w:proofErr w:type="spellStart"/>
      <w:r w:rsidRPr="001E3546">
        <w:rPr>
          <w:lang w:val="en-GB" w:eastAsia="en-US"/>
        </w:rPr>
        <w:t>Gaudin</w:t>
      </w:r>
      <w:proofErr w:type="spellEnd"/>
      <w:r w:rsidRPr="001E3546">
        <w:rPr>
          <w:lang w:val="en-GB" w:eastAsia="en-US"/>
        </w:rPr>
        <w:t xml:space="preserve"> A.M., and </w:t>
      </w:r>
      <w:proofErr w:type="spellStart"/>
      <w:r w:rsidRPr="001E3546">
        <w:rPr>
          <w:lang w:val="en-GB" w:eastAsia="en-US"/>
        </w:rPr>
        <w:t>Fuerstenau</w:t>
      </w:r>
      <w:proofErr w:type="spellEnd"/>
      <w:r w:rsidRPr="001E3546">
        <w:rPr>
          <w:lang w:val="en-GB" w:eastAsia="en-US"/>
        </w:rPr>
        <w:t xml:space="preserve">, D.W., 1955b. Streaming Potential Studies--Quartz Flotation with Anionic </w:t>
      </w:r>
      <w:proofErr w:type="spellStart"/>
      <w:r w:rsidRPr="001E3546">
        <w:rPr>
          <w:lang w:val="en-GB" w:eastAsia="en-US"/>
        </w:rPr>
        <w:t>Collectors,"Transactions</w:t>
      </w:r>
      <w:proofErr w:type="spellEnd"/>
      <w:r w:rsidRPr="001E3546">
        <w:rPr>
          <w:lang w:val="en-GB" w:eastAsia="en-US"/>
        </w:rPr>
        <w:t xml:space="preserve"> AIME (American Institute of Mining, Metallurgical, and Petroleum Engineers), Vol. 202, pp. 66-72 (1955b).</w:t>
      </w:r>
    </w:p>
    <w:p w:rsidR="002F1934" w:rsidRPr="001E3546" w:rsidRDefault="002F1934" w:rsidP="0072238B">
      <w:pPr>
        <w:pStyle w:val="a7"/>
        <w:numPr>
          <w:ilvl w:val="0"/>
          <w:numId w:val="1"/>
        </w:numPr>
        <w:ind w:left="567" w:hanging="567"/>
        <w:rPr>
          <w:lang w:val="en-GB" w:eastAsia="en-US"/>
        </w:rPr>
      </w:pPr>
      <w:r w:rsidRPr="001E3546">
        <w:rPr>
          <w:lang w:val="en-GB" w:eastAsia="en-US"/>
        </w:rPr>
        <w:t>S. Goldberg, I. Lebron, J. Seaman,  and D. Suarez. Soil Colloidal behaviour 15-1 – 15-39, In handbook of soil sciences. Properties and progress. 2nd edition. Eds. P.M. Huang, Y. Li and M.E. Summer. Taylor and Francis NY 2012.</w:t>
      </w:r>
    </w:p>
    <w:p w:rsidR="002F1934" w:rsidRPr="001E3546" w:rsidRDefault="002F1934" w:rsidP="0072238B">
      <w:pPr>
        <w:pStyle w:val="a7"/>
        <w:numPr>
          <w:ilvl w:val="0"/>
          <w:numId w:val="1"/>
        </w:numPr>
        <w:ind w:left="567" w:hanging="567"/>
        <w:rPr>
          <w:lang w:val="en-GB" w:eastAsia="en-US"/>
        </w:rPr>
      </w:pPr>
      <w:proofErr w:type="spellStart"/>
      <w:r w:rsidRPr="001E3546">
        <w:rPr>
          <w:lang w:val="en-GB" w:eastAsia="en-US"/>
        </w:rPr>
        <w:t>Guichet</w:t>
      </w:r>
      <w:proofErr w:type="spellEnd"/>
      <w:r w:rsidRPr="001E3546">
        <w:rPr>
          <w:lang w:val="en-GB" w:eastAsia="en-US"/>
        </w:rPr>
        <w:t xml:space="preserve">, X., </w:t>
      </w:r>
      <w:proofErr w:type="spellStart"/>
      <w:r w:rsidRPr="001E3546">
        <w:rPr>
          <w:lang w:val="en-GB" w:eastAsia="en-US"/>
        </w:rPr>
        <w:t>Jouniaux</w:t>
      </w:r>
      <w:proofErr w:type="spellEnd"/>
      <w:r w:rsidRPr="001E3546">
        <w:rPr>
          <w:lang w:val="en-GB" w:eastAsia="en-US"/>
        </w:rPr>
        <w:t xml:space="preserve">, L., and </w:t>
      </w:r>
      <w:proofErr w:type="spellStart"/>
      <w:r w:rsidRPr="001E3546">
        <w:rPr>
          <w:lang w:val="en-GB" w:eastAsia="en-US"/>
        </w:rPr>
        <w:t>Catel</w:t>
      </w:r>
      <w:proofErr w:type="spellEnd"/>
      <w:r w:rsidRPr="001E3546">
        <w:rPr>
          <w:lang w:val="en-GB" w:eastAsia="en-US"/>
        </w:rPr>
        <w:t>, N., 2006. Modification of streaming potential by precipitation of calcite in a sand–water system: laboratory measurements in the pH range from 4 to 12: Geophysical Journal International, 445–460, DOI: 10.1111/j.1365-246X.2006.02922.x.</w:t>
      </w:r>
    </w:p>
    <w:p w:rsidR="002F1934" w:rsidRPr="001E3546" w:rsidRDefault="002F1934" w:rsidP="0072238B">
      <w:pPr>
        <w:pStyle w:val="a7"/>
        <w:numPr>
          <w:ilvl w:val="0"/>
          <w:numId w:val="1"/>
        </w:numPr>
        <w:ind w:left="567" w:hanging="567"/>
        <w:rPr>
          <w:lang w:val="en-GB" w:eastAsia="en-US"/>
        </w:rPr>
      </w:pPr>
      <w:r w:rsidRPr="002A482E">
        <w:rPr>
          <w:lang w:val="nb-NO" w:eastAsia="en-US"/>
        </w:rPr>
        <w:t xml:space="preserve">Feng, B., Lu, Y., Luo, X., 2015. </w:t>
      </w:r>
      <w:r w:rsidRPr="001E3546">
        <w:rPr>
          <w:lang w:val="en-GB" w:eastAsia="en-US"/>
        </w:rPr>
        <w:t>The effect of quartz on the flotation of pyrite depressed by serpentine. J. Mater. Res. Technol. 4,8-13 DOI: 10.1016/j.jmrt.2014.12.009</w:t>
      </w:r>
    </w:p>
    <w:p w:rsidR="002F1934" w:rsidRPr="000875F8" w:rsidRDefault="002F1934" w:rsidP="0072238B">
      <w:pPr>
        <w:pStyle w:val="a7"/>
        <w:numPr>
          <w:ilvl w:val="0"/>
          <w:numId w:val="1"/>
        </w:numPr>
        <w:ind w:left="567" w:hanging="567"/>
        <w:rPr>
          <w:lang w:val="en-GB" w:eastAsia="en-US"/>
        </w:rPr>
      </w:pPr>
      <w:r w:rsidRPr="001E3546">
        <w:rPr>
          <w:lang w:val="en-GB" w:eastAsia="en-US"/>
        </w:rPr>
        <w:t xml:space="preserve">Li, S., Leroy P., </w:t>
      </w:r>
      <w:proofErr w:type="spellStart"/>
      <w:r w:rsidRPr="001E3546">
        <w:rPr>
          <w:lang w:val="en-GB" w:eastAsia="en-US"/>
        </w:rPr>
        <w:t>Heberling</w:t>
      </w:r>
      <w:proofErr w:type="spellEnd"/>
      <w:r w:rsidRPr="001E3546">
        <w:rPr>
          <w:lang w:val="en-GB" w:eastAsia="en-US"/>
        </w:rPr>
        <w:t xml:space="preserve">, F., </w:t>
      </w:r>
      <w:proofErr w:type="spellStart"/>
      <w:r w:rsidRPr="001E3546">
        <w:rPr>
          <w:lang w:val="en-GB" w:eastAsia="en-US"/>
        </w:rPr>
        <w:t>Devau</w:t>
      </w:r>
      <w:proofErr w:type="spellEnd"/>
      <w:r w:rsidRPr="001E3546">
        <w:rPr>
          <w:lang w:val="en-GB" w:eastAsia="en-US"/>
        </w:rPr>
        <w:t xml:space="preserve">, N., </w:t>
      </w:r>
      <w:proofErr w:type="spellStart"/>
      <w:r w:rsidRPr="001E3546">
        <w:rPr>
          <w:lang w:val="en-GB" w:eastAsia="en-US"/>
        </w:rPr>
        <w:t>Jougnot</w:t>
      </w:r>
      <w:proofErr w:type="spellEnd"/>
      <w:r w:rsidRPr="001E3546">
        <w:rPr>
          <w:lang w:val="en-GB" w:eastAsia="en-US"/>
        </w:rPr>
        <w:t xml:space="preserve">, D., </w:t>
      </w:r>
      <w:proofErr w:type="spellStart"/>
      <w:r w:rsidRPr="001E3546">
        <w:rPr>
          <w:lang w:val="en-GB" w:eastAsia="en-US"/>
        </w:rPr>
        <w:t>Chiaberge</w:t>
      </w:r>
      <w:proofErr w:type="spellEnd"/>
      <w:r w:rsidRPr="001E3546">
        <w:rPr>
          <w:lang w:val="en-GB" w:eastAsia="en-US"/>
        </w:rPr>
        <w:t xml:space="preserve">, C., 2016. Influence of </w:t>
      </w:r>
      <w:proofErr w:type="spellStart"/>
      <w:r w:rsidRPr="001E3546">
        <w:rPr>
          <w:lang w:val="en-GB" w:eastAsia="en-US"/>
        </w:rPr>
        <w:t>surface</w:t>
      </w:r>
      <w:r w:rsidRPr="000875F8">
        <w:rPr>
          <w:lang w:val="en-GB" w:eastAsia="en-US"/>
        </w:rPr>
        <w:t>conductivity</w:t>
      </w:r>
      <w:proofErr w:type="spellEnd"/>
      <w:r w:rsidRPr="000875F8">
        <w:rPr>
          <w:lang w:val="en-GB" w:eastAsia="en-US"/>
        </w:rPr>
        <w:t xml:space="preserve"> on the apparent zeta potential of calcite, Journal of Colloid and Interface Science, DOI: http://dx.doi.org/10.1016/j.jcis.2016.01.075.</w:t>
      </w:r>
    </w:p>
    <w:p w:rsidR="002F1934" w:rsidRPr="001E3546" w:rsidRDefault="002F1934" w:rsidP="0072238B">
      <w:pPr>
        <w:pStyle w:val="a7"/>
        <w:numPr>
          <w:ilvl w:val="0"/>
          <w:numId w:val="1"/>
        </w:numPr>
        <w:ind w:left="567" w:hanging="567"/>
        <w:rPr>
          <w:lang w:val="en-GB" w:eastAsia="en-US"/>
        </w:rPr>
      </w:pPr>
      <w:proofErr w:type="spellStart"/>
      <w:r w:rsidRPr="001E3546">
        <w:rPr>
          <w:lang w:val="en-GB" w:eastAsia="en-US"/>
        </w:rPr>
        <w:t>Kuila</w:t>
      </w:r>
      <w:proofErr w:type="spellEnd"/>
      <w:r w:rsidRPr="001E3546">
        <w:rPr>
          <w:lang w:val="en-GB" w:eastAsia="en-US"/>
        </w:rPr>
        <w:t>, U., Prasad, M., 2013. Specific surface area and pore-size distribution in clays and shales: Geophysical Prospecting, 1, 1-22. DOI: 10.1111/1365-2478.12028.</w:t>
      </w:r>
    </w:p>
    <w:p w:rsidR="002F1934" w:rsidRPr="001E3546" w:rsidRDefault="002F1934" w:rsidP="0072238B">
      <w:pPr>
        <w:pStyle w:val="a7"/>
        <w:numPr>
          <w:ilvl w:val="0"/>
          <w:numId w:val="1"/>
        </w:numPr>
        <w:ind w:left="567" w:hanging="567"/>
        <w:rPr>
          <w:lang w:val="en-GB" w:eastAsia="en-US"/>
        </w:rPr>
      </w:pPr>
      <w:r w:rsidRPr="001E3546">
        <w:rPr>
          <w:lang w:val="en-GB" w:eastAsia="en-US"/>
        </w:rPr>
        <w:lastRenderedPageBreak/>
        <w:t>Marshall, D.J., and Madden, T.K., 1959. Induced polarization, a study of its causes: Geophysics 24 (1), 790– 816.</w:t>
      </w:r>
    </w:p>
    <w:p w:rsidR="002F1934" w:rsidRPr="001E3546" w:rsidRDefault="002F1934" w:rsidP="0072238B">
      <w:pPr>
        <w:pStyle w:val="a7"/>
        <w:numPr>
          <w:ilvl w:val="0"/>
          <w:numId w:val="1"/>
        </w:numPr>
        <w:ind w:left="567" w:hanging="567"/>
        <w:rPr>
          <w:lang w:val="en-GB" w:eastAsia="en-US"/>
        </w:rPr>
      </w:pPr>
      <w:r w:rsidRPr="001E3546">
        <w:rPr>
          <w:lang w:val="en-GB" w:eastAsia="en-US"/>
        </w:rPr>
        <w:t xml:space="preserve">Martinez, R.R.,  Sharma, P.,  and </w:t>
      </w:r>
      <w:proofErr w:type="spellStart"/>
      <w:r w:rsidRPr="001E3546">
        <w:rPr>
          <w:lang w:val="en-GB" w:eastAsia="en-US"/>
        </w:rPr>
        <w:t>Kappler</w:t>
      </w:r>
      <w:proofErr w:type="spellEnd"/>
      <w:r w:rsidRPr="001E3546">
        <w:rPr>
          <w:lang w:val="en-GB" w:eastAsia="en-US"/>
        </w:rPr>
        <w:t>, A., 2010. Surface binding site analysis of Ca2+-</w:t>
      </w:r>
      <w:proofErr w:type="spellStart"/>
      <w:r w:rsidRPr="001E3546">
        <w:rPr>
          <w:lang w:val="en-GB" w:eastAsia="en-US"/>
        </w:rPr>
        <w:t>homoionized</w:t>
      </w:r>
      <w:proofErr w:type="spellEnd"/>
      <w:r w:rsidRPr="001E3546">
        <w:rPr>
          <w:lang w:val="en-GB" w:eastAsia="en-US"/>
        </w:rPr>
        <w:t xml:space="preserve"> clay–</w:t>
      </w:r>
      <w:proofErr w:type="spellStart"/>
      <w:r w:rsidRPr="001E3546">
        <w:rPr>
          <w:lang w:val="en-GB" w:eastAsia="en-US"/>
        </w:rPr>
        <w:t>humic</w:t>
      </w:r>
      <w:proofErr w:type="spellEnd"/>
      <w:r w:rsidRPr="001E3546">
        <w:rPr>
          <w:lang w:val="en-GB" w:eastAsia="en-US"/>
        </w:rPr>
        <w:t xml:space="preserve"> acid complexes. Journal of Colloid and Interface Science. 352, 526–534. doi:10.1016/j.jcis.2010.08.082.</w:t>
      </w:r>
    </w:p>
    <w:p w:rsidR="002F1934" w:rsidRPr="001E3546" w:rsidRDefault="002F1934" w:rsidP="0072238B">
      <w:pPr>
        <w:pStyle w:val="a7"/>
        <w:numPr>
          <w:ilvl w:val="0"/>
          <w:numId w:val="1"/>
        </w:numPr>
        <w:ind w:left="567" w:hanging="567"/>
        <w:rPr>
          <w:lang w:val="en-GB" w:eastAsia="en-US"/>
        </w:rPr>
      </w:pPr>
      <w:proofErr w:type="spellStart"/>
      <w:r w:rsidRPr="001E3546">
        <w:rPr>
          <w:lang w:val="en-GB" w:eastAsia="en-US"/>
        </w:rPr>
        <w:t>Mulin</w:t>
      </w:r>
      <w:proofErr w:type="spellEnd"/>
      <w:r w:rsidRPr="001E3546">
        <w:rPr>
          <w:lang w:val="en-GB" w:eastAsia="en-US"/>
        </w:rPr>
        <w:t xml:space="preserve"> P., and Roques, H., 2003. Zeta potential measurements of calcium carbonate. </w:t>
      </w:r>
      <w:proofErr w:type="spellStart"/>
      <w:r w:rsidRPr="001E3546">
        <w:rPr>
          <w:lang w:val="en-GB" w:eastAsia="en-US"/>
        </w:rPr>
        <w:t>Journ</w:t>
      </w:r>
      <w:proofErr w:type="spellEnd"/>
      <w:r w:rsidRPr="001E3546">
        <w:rPr>
          <w:lang w:val="en-GB" w:eastAsia="en-US"/>
        </w:rPr>
        <w:t xml:space="preserve">. Of Colloid and Interface Science 261, 115 – 126. </w:t>
      </w:r>
      <w:proofErr w:type="spellStart"/>
      <w:r w:rsidRPr="001E3546">
        <w:rPr>
          <w:lang w:val="en-GB" w:eastAsia="en-US"/>
        </w:rPr>
        <w:t>doi</w:t>
      </w:r>
      <w:proofErr w:type="spellEnd"/>
      <w:r w:rsidRPr="001E3546">
        <w:rPr>
          <w:lang w:val="en-GB" w:eastAsia="en-US"/>
        </w:rPr>
        <w:t>: 10.1016/S0021-9797(03)00057-2.</w:t>
      </w:r>
    </w:p>
    <w:p w:rsidR="002F1934" w:rsidRPr="001E3546" w:rsidRDefault="002F1934" w:rsidP="0072238B">
      <w:pPr>
        <w:pStyle w:val="a7"/>
        <w:numPr>
          <w:ilvl w:val="0"/>
          <w:numId w:val="1"/>
        </w:numPr>
        <w:ind w:left="567" w:hanging="567"/>
        <w:rPr>
          <w:lang w:val="en-GB" w:eastAsia="en-US"/>
        </w:rPr>
      </w:pPr>
      <w:proofErr w:type="spellStart"/>
      <w:r w:rsidRPr="001E3546">
        <w:rPr>
          <w:lang w:val="en-GB" w:eastAsia="en-US"/>
        </w:rPr>
        <w:t>Pokrovsky</w:t>
      </w:r>
      <w:proofErr w:type="spellEnd"/>
      <w:r w:rsidRPr="001E3546">
        <w:rPr>
          <w:lang w:val="en-GB" w:eastAsia="en-US"/>
        </w:rPr>
        <w:t xml:space="preserve">, O. S., Schott, J., Thomas, F. and </w:t>
      </w:r>
      <w:proofErr w:type="spellStart"/>
      <w:r w:rsidRPr="001E3546">
        <w:rPr>
          <w:lang w:val="en-GB" w:eastAsia="en-US"/>
        </w:rPr>
        <w:t>Mielczarski</w:t>
      </w:r>
      <w:proofErr w:type="spellEnd"/>
      <w:r w:rsidRPr="001E3546">
        <w:rPr>
          <w:lang w:val="en-GB" w:eastAsia="en-US"/>
        </w:rPr>
        <w:t xml:space="preserve">, J., 1998. Surface Speciation of Ca and Mg Carbonate Minerals in Aqueous Solutions: A Combined Potentiometric, </w:t>
      </w:r>
      <w:proofErr w:type="spellStart"/>
      <w:r w:rsidRPr="001E3546">
        <w:rPr>
          <w:lang w:val="en-GB" w:eastAsia="en-US"/>
        </w:rPr>
        <w:t>Electrokinetic</w:t>
      </w:r>
      <w:proofErr w:type="spellEnd"/>
      <w:r w:rsidRPr="001E3546">
        <w:rPr>
          <w:lang w:val="en-GB" w:eastAsia="en-US"/>
        </w:rPr>
        <w:t>, and DRIFT Surface Spectroscopy Approach. Mineralogical Magazine. 62A, 1196-1197.</w:t>
      </w:r>
    </w:p>
    <w:p w:rsidR="002F1934" w:rsidRPr="001E3546" w:rsidRDefault="002F1934" w:rsidP="0072238B">
      <w:pPr>
        <w:pStyle w:val="a7"/>
        <w:numPr>
          <w:ilvl w:val="0"/>
          <w:numId w:val="1"/>
        </w:numPr>
        <w:ind w:left="567" w:hanging="567"/>
        <w:rPr>
          <w:lang w:val="en-GB" w:eastAsia="en-US"/>
        </w:rPr>
      </w:pPr>
      <w:r w:rsidRPr="001E3546">
        <w:rPr>
          <w:lang w:val="en-GB" w:eastAsia="en-US"/>
        </w:rPr>
        <w:t>Pride S., 1994. Governing equations for the coupled electromagnetics and acoustics of porous media. Phys. Rev. B 50, 15678-15696.</w:t>
      </w:r>
    </w:p>
    <w:p w:rsidR="002F1934" w:rsidRPr="001E3546" w:rsidRDefault="002F1934" w:rsidP="0072238B">
      <w:pPr>
        <w:pStyle w:val="a7"/>
        <w:numPr>
          <w:ilvl w:val="0"/>
          <w:numId w:val="1"/>
        </w:numPr>
        <w:ind w:left="567" w:hanging="567"/>
        <w:rPr>
          <w:lang w:val="en-GB" w:eastAsia="en-US"/>
        </w:rPr>
      </w:pPr>
      <w:proofErr w:type="spellStart"/>
      <w:r w:rsidRPr="001E3546">
        <w:rPr>
          <w:lang w:val="en-GB" w:eastAsia="en-US"/>
        </w:rPr>
        <w:t>Revil</w:t>
      </w:r>
      <w:proofErr w:type="spellEnd"/>
      <w:r w:rsidRPr="001E3546">
        <w:rPr>
          <w:lang w:val="en-GB" w:eastAsia="en-US"/>
        </w:rPr>
        <w:t xml:space="preserve">, A., 2012. Spectral induced polarization of </w:t>
      </w:r>
      <w:proofErr w:type="spellStart"/>
      <w:r w:rsidRPr="001E3546">
        <w:rPr>
          <w:lang w:val="en-GB" w:eastAsia="en-US"/>
        </w:rPr>
        <w:t>shaly</w:t>
      </w:r>
      <w:proofErr w:type="spellEnd"/>
      <w:r w:rsidRPr="001E3546">
        <w:rPr>
          <w:lang w:val="en-GB" w:eastAsia="en-US"/>
        </w:rPr>
        <w:t xml:space="preserve"> sands: Influence of the electrical double layer: Water Resources Research, 48, p. 2517, DOI:10.1029/2011WR011260.</w:t>
      </w:r>
    </w:p>
    <w:p w:rsidR="002F1934" w:rsidRPr="001E3546" w:rsidRDefault="002F1934" w:rsidP="0072238B">
      <w:pPr>
        <w:pStyle w:val="a7"/>
        <w:numPr>
          <w:ilvl w:val="0"/>
          <w:numId w:val="1"/>
        </w:numPr>
        <w:ind w:left="567" w:hanging="567"/>
        <w:rPr>
          <w:lang w:val="en-GB" w:eastAsia="en-US"/>
        </w:rPr>
      </w:pPr>
      <w:proofErr w:type="spellStart"/>
      <w:r w:rsidRPr="001E3546">
        <w:rPr>
          <w:lang w:val="en-GB" w:eastAsia="en-US"/>
        </w:rPr>
        <w:t>Revil</w:t>
      </w:r>
      <w:proofErr w:type="spellEnd"/>
      <w:r w:rsidRPr="001E3546">
        <w:rPr>
          <w:lang w:val="en-GB" w:eastAsia="en-US"/>
        </w:rPr>
        <w:t xml:space="preserve">, A.,  and N. </w:t>
      </w:r>
      <w:proofErr w:type="spellStart"/>
      <w:r w:rsidRPr="001E3546">
        <w:rPr>
          <w:lang w:val="en-GB" w:eastAsia="en-US"/>
        </w:rPr>
        <w:t>Florsch</w:t>
      </w:r>
      <w:proofErr w:type="spellEnd"/>
      <w:r w:rsidRPr="001E3546">
        <w:rPr>
          <w:lang w:val="en-GB" w:eastAsia="en-US"/>
        </w:rPr>
        <w:t xml:space="preserve">, N., 2010. Determination of permeability from spectral induced polarization in granular media. </w:t>
      </w:r>
      <w:proofErr w:type="spellStart"/>
      <w:r w:rsidRPr="001E3546">
        <w:rPr>
          <w:lang w:val="en-GB" w:eastAsia="en-US"/>
        </w:rPr>
        <w:t>Geophys</w:t>
      </w:r>
      <w:proofErr w:type="spellEnd"/>
      <w:r w:rsidRPr="001E3546">
        <w:rPr>
          <w:lang w:val="en-GB" w:eastAsia="en-US"/>
        </w:rPr>
        <w:t xml:space="preserve">. J. Int. (2010) 181, 1480–1498. </w:t>
      </w:r>
      <w:proofErr w:type="spellStart"/>
      <w:r w:rsidRPr="001E3546">
        <w:rPr>
          <w:lang w:val="en-GB" w:eastAsia="en-US"/>
        </w:rPr>
        <w:t>doi</w:t>
      </w:r>
      <w:proofErr w:type="spellEnd"/>
      <w:r w:rsidRPr="001E3546">
        <w:rPr>
          <w:lang w:val="en-GB" w:eastAsia="en-US"/>
        </w:rPr>
        <w:t>: 10.1111/j.1365-246X.2010.04573.x</w:t>
      </w:r>
    </w:p>
    <w:p w:rsidR="002F1934" w:rsidRPr="001E3546" w:rsidRDefault="002F1934" w:rsidP="0072238B">
      <w:pPr>
        <w:pStyle w:val="a7"/>
        <w:numPr>
          <w:ilvl w:val="0"/>
          <w:numId w:val="1"/>
        </w:numPr>
        <w:ind w:left="567" w:hanging="567"/>
        <w:rPr>
          <w:lang w:val="en-GB" w:eastAsia="en-US"/>
        </w:rPr>
      </w:pPr>
      <w:proofErr w:type="spellStart"/>
      <w:r w:rsidRPr="001E3546">
        <w:rPr>
          <w:lang w:val="en-GB" w:eastAsia="en-US"/>
        </w:rPr>
        <w:t>Somasundaran</w:t>
      </w:r>
      <w:proofErr w:type="spellEnd"/>
      <w:r w:rsidRPr="001E3546">
        <w:rPr>
          <w:lang w:val="en-GB" w:eastAsia="en-US"/>
        </w:rPr>
        <w:t>, P. and Agar, G.E., 1967. The zero point of charge of calcite. Journal of Colloid and Interface Science. 24, 433-440. doi:10.1016/0021-9797(67)90241-X.</w:t>
      </w:r>
    </w:p>
    <w:p w:rsidR="002F1934" w:rsidRPr="001E3546" w:rsidRDefault="002F1934" w:rsidP="0072238B">
      <w:pPr>
        <w:pStyle w:val="a7"/>
        <w:numPr>
          <w:ilvl w:val="0"/>
          <w:numId w:val="1"/>
        </w:numPr>
        <w:ind w:left="567" w:hanging="567"/>
        <w:rPr>
          <w:lang w:val="en-GB" w:eastAsia="en-US"/>
        </w:rPr>
      </w:pPr>
      <w:r w:rsidRPr="002A482E">
        <w:rPr>
          <w:lang w:val="it-IT" w:eastAsia="en-US"/>
        </w:rPr>
        <w:t xml:space="preserve">Sondi, I., Bišćan, J.,  Pravdić V., 1996. </w:t>
      </w:r>
      <w:proofErr w:type="spellStart"/>
      <w:r w:rsidRPr="001E3546">
        <w:rPr>
          <w:lang w:val="en-GB" w:eastAsia="en-US"/>
        </w:rPr>
        <w:t>Electrokinetics</w:t>
      </w:r>
      <w:proofErr w:type="spellEnd"/>
      <w:r w:rsidRPr="001E3546">
        <w:rPr>
          <w:lang w:val="en-GB" w:eastAsia="en-US"/>
        </w:rPr>
        <w:t xml:space="preserve"> of Pure Clay Minerals Revisited Journal of Colloid and Interface Science Volume 178, Issue 2, 25. P. 514-522. doi:10.1006/jcis.1996.0146</w:t>
      </w:r>
    </w:p>
    <w:p w:rsidR="002F1934" w:rsidRPr="001E3546" w:rsidRDefault="002F1934" w:rsidP="0072238B">
      <w:pPr>
        <w:pStyle w:val="a7"/>
        <w:numPr>
          <w:ilvl w:val="0"/>
          <w:numId w:val="1"/>
        </w:numPr>
        <w:ind w:left="567" w:hanging="567"/>
        <w:rPr>
          <w:lang w:val="en-GB" w:eastAsia="en-US"/>
        </w:rPr>
      </w:pPr>
      <w:proofErr w:type="spellStart"/>
      <w:r w:rsidRPr="001E3546">
        <w:rPr>
          <w:lang w:val="en-GB" w:eastAsia="en-US"/>
        </w:rPr>
        <w:t>Tabbagh</w:t>
      </w:r>
      <w:proofErr w:type="spellEnd"/>
      <w:r w:rsidRPr="001E3546">
        <w:rPr>
          <w:lang w:val="en-GB" w:eastAsia="en-US"/>
        </w:rPr>
        <w:t xml:space="preserve">, A., Cosenza, P., </w:t>
      </w:r>
      <w:proofErr w:type="spellStart"/>
      <w:r w:rsidRPr="001E3546">
        <w:rPr>
          <w:lang w:val="en-GB" w:eastAsia="en-US"/>
        </w:rPr>
        <w:t>Ghorbani</w:t>
      </w:r>
      <w:proofErr w:type="spellEnd"/>
      <w:r w:rsidRPr="001E3546">
        <w:rPr>
          <w:lang w:val="en-GB" w:eastAsia="en-US"/>
        </w:rPr>
        <w:t xml:space="preserve">, A., </w:t>
      </w:r>
      <w:proofErr w:type="spellStart"/>
      <w:r w:rsidRPr="001E3546">
        <w:rPr>
          <w:lang w:val="en-GB" w:eastAsia="en-US"/>
        </w:rPr>
        <w:t>Guérin</w:t>
      </w:r>
      <w:proofErr w:type="spellEnd"/>
      <w:r w:rsidRPr="001E3546">
        <w:rPr>
          <w:lang w:val="en-GB" w:eastAsia="en-US"/>
        </w:rPr>
        <w:t xml:space="preserve">, R., and </w:t>
      </w:r>
      <w:proofErr w:type="spellStart"/>
      <w:r w:rsidRPr="001E3546">
        <w:rPr>
          <w:lang w:val="en-GB" w:eastAsia="en-US"/>
        </w:rPr>
        <w:t>Florsch</w:t>
      </w:r>
      <w:proofErr w:type="spellEnd"/>
      <w:r w:rsidRPr="001E3546">
        <w:rPr>
          <w:lang w:val="en-GB" w:eastAsia="en-US"/>
        </w:rPr>
        <w:t>, N., 2009. Modelling of Maxwell–Wagner induced polarisation amplitude for clayey materials: Journal of Applied Geophysics, 67, 109–113, DOI:10.1016/j.jappgeo.2008.10.002.</w:t>
      </w:r>
    </w:p>
    <w:p w:rsidR="002F1934" w:rsidRPr="001E3546" w:rsidRDefault="002F1934" w:rsidP="0072238B">
      <w:pPr>
        <w:pStyle w:val="a7"/>
        <w:numPr>
          <w:ilvl w:val="0"/>
          <w:numId w:val="1"/>
        </w:numPr>
        <w:ind w:left="567" w:hanging="567"/>
        <w:rPr>
          <w:lang w:val="en-GB" w:eastAsia="en-US"/>
        </w:rPr>
      </w:pPr>
      <w:r w:rsidRPr="001E3546">
        <w:rPr>
          <w:lang w:val="en-GB" w:eastAsia="en-US"/>
        </w:rPr>
        <w:t xml:space="preserve">Wang, M.  and A. </w:t>
      </w:r>
      <w:proofErr w:type="spellStart"/>
      <w:r w:rsidRPr="001E3546">
        <w:rPr>
          <w:lang w:val="en-GB" w:eastAsia="en-US"/>
        </w:rPr>
        <w:t>Revil</w:t>
      </w:r>
      <w:proofErr w:type="spellEnd"/>
      <w:r w:rsidRPr="001E3546">
        <w:rPr>
          <w:lang w:val="en-GB" w:eastAsia="en-US"/>
        </w:rPr>
        <w:t>, 2010. Electrochemical charge of silica surfaces at high ionic strength in narrow channel. Journal of Colloid and Interface Science, 343, 381–386.</w:t>
      </w:r>
    </w:p>
    <w:p w:rsidR="002F1934" w:rsidRPr="001E3546" w:rsidRDefault="002F1934" w:rsidP="0072238B">
      <w:pPr>
        <w:pStyle w:val="a7"/>
        <w:numPr>
          <w:ilvl w:val="0"/>
          <w:numId w:val="1"/>
        </w:numPr>
        <w:ind w:left="567" w:hanging="567"/>
        <w:rPr>
          <w:lang w:val="en-GB" w:eastAsia="en-US"/>
        </w:rPr>
      </w:pPr>
      <w:r w:rsidRPr="002A482E">
        <w:rPr>
          <w:lang w:val="de-DE" w:eastAsia="en-US"/>
        </w:rPr>
        <w:t xml:space="preserve">Wu, Y., Hubbard, S. S., </w:t>
      </w:r>
      <w:proofErr w:type="spellStart"/>
      <w:r w:rsidRPr="002A482E">
        <w:rPr>
          <w:lang w:val="de-DE" w:eastAsia="en-US"/>
        </w:rPr>
        <w:t>Ajo</w:t>
      </w:r>
      <w:proofErr w:type="spellEnd"/>
      <w:r w:rsidRPr="002A482E">
        <w:rPr>
          <w:lang w:val="de-DE" w:eastAsia="en-US"/>
        </w:rPr>
        <w:t xml:space="preserve"> Franklin, J. B., Williams, K. H., 2010. </w:t>
      </w:r>
      <w:r w:rsidRPr="001E3546">
        <w:rPr>
          <w:lang w:val="en-GB" w:eastAsia="en-US"/>
        </w:rPr>
        <w:t>Pore fluid chemistry and spectral induced polarization signatures of calcium carbonate: American Geophysical Union, Fall Meeting 2010, Abstract #NS33A-06.</w:t>
      </w:r>
    </w:p>
    <w:p w:rsidR="002F1934" w:rsidRPr="001E3546" w:rsidRDefault="002F1934" w:rsidP="0072238B">
      <w:pPr>
        <w:pStyle w:val="a7"/>
        <w:numPr>
          <w:ilvl w:val="0"/>
          <w:numId w:val="1"/>
        </w:numPr>
        <w:ind w:left="567" w:hanging="567"/>
        <w:rPr>
          <w:lang w:val="en-GB" w:eastAsia="en-US"/>
        </w:rPr>
      </w:pPr>
      <w:proofErr w:type="spellStart"/>
      <w:r w:rsidRPr="001E3546">
        <w:rPr>
          <w:lang w:val="en-GB" w:eastAsia="en-US"/>
        </w:rPr>
        <w:t>Xagoraraki</w:t>
      </w:r>
      <w:proofErr w:type="spellEnd"/>
      <w:r w:rsidRPr="001E3546">
        <w:rPr>
          <w:lang w:val="en-GB" w:eastAsia="en-US"/>
        </w:rPr>
        <w:t>, I., Harrington, G.W., 2004. Zeta Potential, Dissolved Organic Carbon, and Removal of Cryptosporidium Oocysts by Coagulation and Sedimentation, DOI: 10.1061/(ASCE)0733-9372(2004)130:12(1424).</w:t>
      </w:r>
    </w:p>
    <w:p w:rsidR="002F1934" w:rsidRPr="0072238B" w:rsidRDefault="002F1934" w:rsidP="0072238B">
      <w:pPr>
        <w:rPr>
          <w:lang w:val="en-GB"/>
        </w:rPr>
      </w:pPr>
    </w:p>
    <w:sectPr w:rsidR="002F1934" w:rsidRPr="0072238B" w:rsidSect="00212451">
      <w:footerReference w:type="default" r:id="rId1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A61" w:rsidRDefault="00CF1A61" w:rsidP="00212451">
      <w:pPr>
        <w:spacing w:line="240" w:lineRule="auto"/>
      </w:pPr>
      <w:r>
        <w:separator/>
      </w:r>
    </w:p>
  </w:endnote>
  <w:endnote w:type="continuationSeparator" w:id="0">
    <w:p w:rsidR="00CF1A61" w:rsidRDefault="00CF1A61" w:rsidP="00212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934" w:rsidRDefault="000C73BB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5DBE">
      <w:rPr>
        <w:noProof/>
      </w:rPr>
      <w:t>17</w:t>
    </w:r>
    <w:r>
      <w:rPr>
        <w:noProof/>
      </w:rPr>
      <w:fldChar w:fldCharType="end"/>
    </w:r>
  </w:p>
  <w:p w:rsidR="002F1934" w:rsidRDefault="002F193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A61" w:rsidRDefault="00CF1A61" w:rsidP="00212451">
      <w:pPr>
        <w:spacing w:line="240" w:lineRule="auto"/>
      </w:pPr>
      <w:r>
        <w:separator/>
      </w:r>
    </w:p>
  </w:footnote>
  <w:footnote w:type="continuationSeparator" w:id="0">
    <w:p w:rsidR="00CF1A61" w:rsidRDefault="00CF1A61" w:rsidP="002124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69EA"/>
    <w:multiLevelType w:val="hybridMultilevel"/>
    <w:tmpl w:val="693EC9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1" w15:restartNumberingAfterBreak="0">
    <w:nsid w:val="103A300A"/>
    <w:multiLevelType w:val="hybridMultilevel"/>
    <w:tmpl w:val="1DE41E0A"/>
    <w:lvl w:ilvl="0" w:tplc="5F5472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B2D22FB"/>
    <w:multiLevelType w:val="hybridMultilevel"/>
    <w:tmpl w:val="5FBE80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30D52850"/>
    <w:multiLevelType w:val="hybridMultilevel"/>
    <w:tmpl w:val="8370E3B4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3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4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  <w:rPr>
        <w:rFonts w:cs="Times New Roman"/>
      </w:rPr>
    </w:lvl>
  </w:abstractNum>
  <w:abstractNum w:abstractNumId="4" w15:restartNumberingAfterBreak="0">
    <w:nsid w:val="531C2883"/>
    <w:multiLevelType w:val="hybridMultilevel"/>
    <w:tmpl w:val="2026DA1E"/>
    <w:lvl w:ilvl="0" w:tplc="5D8064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82E308F"/>
    <w:multiLevelType w:val="hybridMultilevel"/>
    <w:tmpl w:val="4D865D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743602F5"/>
    <w:multiLevelType w:val="hybridMultilevel"/>
    <w:tmpl w:val="4B5A0E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39"/>
    <w:rsid w:val="00007403"/>
    <w:rsid w:val="0003285A"/>
    <w:rsid w:val="00063121"/>
    <w:rsid w:val="000639FF"/>
    <w:rsid w:val="0007240F"/>
    <w:rsid w:val="000875F8"/>
    <w:rsid w:val="00090EA6"/>
    <w:rsid w:val="000B4A50"/>
    <w:rsid w:val="000C73BB"/>
    <w:rsid w:val="000E391B"/>
    <w:rsid w:val="000E4953"/>
    <w:rsid w:val="000E795B"/>
    <w:rsid w:val="000F6D49"/>
    <w:rsid w:val="00105322"/>
    <w:rsid w:val="00122EC4"/>
    <w:rsid w:val="00133A19"/>
    <w:rsid w:val="001613EB"/>
    <w:rsid w:val="001628C7"/>
    <w:rsid w:val="001929F6"/>
    <w:rsid w:val="001B1827"/>
    <w:rsid w:val="001C3105"/>
    <w:rsid w:val="001D1179"/>
    <w:rsid w:val="001E3546"/>
    <w:rsid w:val="001E7B01"/>
    <w:rsid w:val="001F2F56"/>
    <w:rsid w:val="00201B36"/>
    <w:rsid w:val="00212451"/>
    <w:rsid w:val="002412C0"/>
    <w:rsid w:val="00245CC2"/>
    <w:rsid w:val="0025223E"/>
    <w:rsid w:val="00257F15"/>
    <w:rsid w:val="00262286"/>
    <w:rsid w:val="002A482E"/>
    <w:rsid w:val="002B5418"/>
    <w:rsid w:val="002D00FE"/>
    <w:rsid w:val="002F1934"/>
    <w:rsid w:val="002F7467"/>
    <w:rsid w:val="00306B32"/>
    <w:rsid w:val="00346985"/>
    <w:rsid w:val="003609D9"/>
    <w:rsid w:val="00375239"/>
    <w:rsid w:val="003758E6"/>
    <w:rsid w:val="00391FB1"/>
    <w:rsid w:val="003A2AB3"/>
    <w:rsid w:val="003B1443"/>
    <w:rsid w:val="003E1E1D"/>
    <w:rsid w:val="003F44CA"/>
    <w:rsid w:val="0040510F"/>
    <w:rsid w:val="00415DE9"/>
    <w:rsid w:val="00417669"/>
    <w:rsid w:val="00427339"/>
    <w:rsid w:val="004660C9"/>
    <w:rsid w:val="00466A23"/>
    <w:rsid w:val="00480FF4"/>
    <w:rsid w:val="004B1BB0"/>
    <w:rsid w:val="004C25C5"/>
    <w:rsid w:val="004E65E3"/>
    <w:rsid w:val="004F1DA3"/>
    <w:rsid w:val="004F5843"/>
    <w:rsid w:val="00512C85"/>
    <w:rsid w:val="00574611"/>
    <w:rsid w:val="0057754C"/>
    <w:rsid w:val="005A1F21"/>
    <w:rsid w:val="005A512C"/>
    <w:rsid w:val="005A683A"/>
    <w:rsid w:val="00606851"/>
    <w:rsid w:val="00612317"/>
    <w:rsid w:val="00653084"/>
    <w:rsid w:val="00671FFF"/>
    <w:rsid w:val="006947CC"/>
    <w:rsid w:val="006B4995"/>
    <w:rsid w:val="006D5DA8"/>
    <w:rsid w:val="006E0C24"/>
    <w:rsid w:val="00720159"/>
    <w:rsid w:val="0072166A"/>
    <w:rsid w:val="0072238B"/>
    <w:rsid w:val="00727D59"/>
    <w:rsid w:val="00735B35"/>
    <w:rsid w:val="00764A4A"/>
    <w:rsid w:val="007B40B8"/>
    <w:rsid w:val="007C221A"/>
    <w:rsid w:val="007D27CE"/>
    <w:rsid w:val="007E01CF"/>
    <w:rsid w:val="007F1CAB"/>
    <w:rsid w:val="007F4016"/>
    <w:rsid w:val="00816440"/>
    <w:rsid w:val="00830F43"/>
    <w:rsid w:val="00880CA1"/>
    <w:rsid w:val="008A2304"/>
    <w:rsid w:val="008A4E51"/>
    <w:rsid w:val="008B07E8"/>
    <w:rsid w:val="008C22DE"/>
    <w:rsid w:val="008E374B"/>
    <w:rsid w:val="008F742C"/>
    <w:rsid w:val="0091030C"/>
    <w:rsid w:val="00940955"/>
    <w:rsid w:val="009609AE"/>
    <w:rsid w:val="00961137"/>
    <w:rsid w:val="00961555"/>
    <w:rsid w:val="00976739"/>
    <w:rsid w:val="0098754F"/>
    <w:rsid w:val="009A5120"/>
    <w:rsid w:val="00AB5DAE"/>
    <w:rsid w:val="00AF67A0"/>
    <w:rsid w:val="00AF7855"/>
    <w:rsid w:val="00B033D8"/>
    <w:rsid w:val="00B034DB"/>
    <w:rsid w:val="00B4282E"/>
    <w:rsid w:val="00B45E38"/>
    <w:rsid w:val="00B57313"/>
    <w:rsid w:val="00B57D58"/>
    <w:rsid w:val="00B6135F"/>
    <w:rsid w:val="00B93778"/>
    <w:rsid w:val="00BB287E"/>
    <w:rsid w:val="00BC183B"/>
    <w:rsid w:val="00BC46A5"/>
    <w:rsid w:val="00BC508D"/>
    <w:rsid w:val="00BF43CA"/>
    <w:rsid w:val="00C03AB6"/>
    <w:rsid w:val="00C03D66"/>
    <w:rsid w:val="00C34CB0"/>
    <w:rsid w:val="00C3520A"/>
    <w:rsid w:val="00C35551"/>
    <w:rsid w:val="00C57275"/>
    <w:rsid w:val="00C60791"/>
    <w:rsid w:val="00C92C80"/>
    <w:rsid w:val="00CA6778"/>
    <w:rsid w:val="00CB3D53"/>
    <w:rsid w:val="00CC3A0E"/>
    <w:rsid w:val="00CD5410"/>
    <w:rsid w:val="00CE1650"/>
    <w:rsid w:val="00CE3725"/>
    <w:rsid w:val="00CF1A61"/>
    <w:rsid w:val="00CF44AD"/>
    <w:rsid w:val="00D11E90"/>
    <w:rsid w:val="00D71C00"/>
    <w:rsid w:val="00D738F2"/>
    <w:rsid w:val="00DB0C46"/>
    <w:rsid w:val="00DC3FB2"/>
    <w:rsid w:val="00DF76D0"/>
    <w:rsid w:val="00E0256C"/>
    <w:rsid w:val="00E04549"/>
    <w:rsid w:val="00E112E8"/>
    <w:rsid w:val="00E3307F"/>
    <w:rsid w:val="00E41CC8"/>
    <w:rsid w:val="00E46AB5"/>
    <w:rsid w:val="00E63934"/>
    <w:rsid w:val="00EC75D9"/>
    <w:rsid w:val="00ED5DBE"/>
    <w:rsid w:val="00FB0A69"/>
    <w:rsid w:val="00FB1DE2"/>
    <w:rsid w:val="00FB4C4B"/>
    <w:rsid w:val="00FC4B17"/>
    <w:rsid w:val="00FD2230"/>
    <w:rsid w:val="00FD5241"/>
    <w:rsid w:val="00FD63C3"/>
    <w:rsid w:val="00FE15C5"/>
    <w:rsid w:val="00F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0"/>
    <o:shapelayout v:ext="edit">
      <o:idmap v:ext="edit" data="1"/>
    </o:shapelayout>
  </w:shapeDefaults>
  <w:decimalSymbol w:val=","/>
  <w:listSeparator w:val=";"/>
  <w15:docId w15:val="{64D266AD-BA61-4ACF-A143-3E2F0C4D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B4995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29F6"/>
    <w:pPr>
      <w:keepNext/>
      <w:keepLines/>
      <w:spacing w:after="120"/>
      <w:ind w:firstLine="680"/>
      <w:jc w:val="center"/>
      <w:outlineLvl w:val="0"/>
    </w:pPr>
    <w:rPr>
      <w:rFonts w:eastAsia="Calibr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947CC"/>
    <w:pPr>
      <w:keepNext/>
      <w:keepLines/>
      <w:spacing w:before="200" w:line="480" w:lineRule="auto"/>
      <w:jc w:val="center"/>
      <w:outlineLvl w:val="1"/>
    </w:pPr>
    <w:rPr>
      <w:rFonts w:eastAsia="Calibri"/>
      <w:bCs/>
      <w:i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29F6"/>
    <w:rPr>
      <w:rFonts w:ascii="Times New Roman" w:hAnsi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6947CC"/>
    <w:rPr>
      <w:rFonts w:ascii="Times New Roman" w:hAnsi="Times New Roman"/>
      <w:i/>
      <w:color w:val="000000"/>
      <w:sz w:val="26"/>
      <w:lang w:eastAsia="ru-RU"/>
    </w:rPr>
  </w:style>
  <w:style w:type="paragraph" w:styleId="a3">
    <w:name w:val="No Spacing"/>
    <w:uiPriority w:val="99"/>
    <w:qFormat/>
    <w:rsid w:val="00AF67A0"/>
    <w:pPr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styleId="a4">
    <w:name w:val="Placeholder Text"/>
    <w:basedOn w:val="a0"/>
    <w:uiPriority w:val="99"/>
    <w:semiHidden/>
    <w:rsid w:val="00CE1650"/>
    <w:rPr>
      <w:color w:val="808080"/>
    </w:rPr>
  </w:style>
  <w:style w:type="paragraph" w:styleId="a5">
    <w:name w:val="Balloon Text"/>
    <w:basedOn w:val="a"/>
    <w:link w:val="a6"/>
    <w:uiPriority w:val="99"/>
    <w:semiHidden/>
    <w:rsid w:val="00CE1650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E1650"/>
    <w:rPr>
      <w:rFonts w:ascii="Tahoma" w:hAnsi="Tahoma"/>
      <w:sz w:val="16"/>
      <w:lang w:eastAsia="ru-RU"/>
    </w:rPr>
  </w:style>
  <w:style w:type="paragraph" w:styleId="a7">
    <w:name w:val="List Paragraph"/>
    <w:basedOn w:val="a"/>
    <w:uiPriority w:val="99"/>
    <w:qFormat/>
    <w:rsid w:val="001E3546"/>
    <w:pPr>
      <w:ind w:left="720"/>
      <w:contextualSpacing/>
    </w:pPr>
  </w:style>
  <w:style w:type="table" w:styleId="a8">
    <w:name w:val="Table Grid"/>
    <w:basedOn w:val="a1"/>
    <w:uiPriority w:val="99"/>
    <w:rsid w:val="003A2A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99"/>
    <w:qFormat/>
    <w:rsid w:val="007E01CF"/>
    <w:pPr>
      <w:spacing w:before="480" w:after="0" w:line="276" w:lineRule="auto"/>
      <w:ind w:firstLine="0"/>
      <w:jc w:val="left"/>
      <w:outlineLvl w:val="9"/>
    </w:pPr>
    <w:rPr>
      <w:rFonts w:ascii="Cambria" w:hAnsi="Cambria"/>
      <w:color w:val="365F91"/>
      <w:lang w:val="en-US" w:eastAsia="ja-JP"/>
    </w:rPr>
  </w:style>
  <w:style w:type="paragraph" w:styleId="11">
    <w:name w:val="toc 1"/>
    <w:basedOn w:val="a"/>
    <w:next w:val="a"/>
    <w:autoRedefine/>
    <w:uiPriority w:val="39"/>
    <w:rsid w:val="006B4995"/>
    <w:pPr>
      <w:tabs>
        <w:tab w:val="right" w:leader="underscore" w:pos="9345"/>
      </w:tabs>
      <w:spacing w:after="100"/>
      <w:jc w:val="center"/>
    </w:pPr>
    <w:rPr>
      <w:b/>
    </w:rPr>
  </w:style>
  <w:style w:type="character" w:styleId="aa">
    <w:name w:val="Hyperlink"/>
    <w:basedOn w:val="a0"/>
    <w:uiPriority w:val="99"/>
    <w:rsid w:val="007E01CF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212451"/>
    <w:pPr>
      <w:tabs>
        <w:tab w:val="center" w:pos="4677"/>
        <w:tab w:val="right" w:pos="9355"/>
      </w:tabs>
      <w:spacing w:line="240" w:lineRule="auto"/>
    </w:pPr>
    <w:rPr>
      <w:rFonts w:eastAsia="Calibri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12451"/>
    <w:rPr>
      <w:rFonts w:ascii="Times New Roman" w:hAnsi="Times New Roman"/>
      <w:sz w:val="24"/>
      <w:lang w:eastAsia="ru-RU"/>
    </w:rPr>
  </w:style>
  <w:style w:type="paragraph" w:styleId="ad">
    <w:name w:val="footer"/>
    <w:basedOn w:val="a"/>
    <w:link w:val="ae"/>
    <w:uiPriority w:val="99"/>
    <w:rsid w:val="00212451"/>
    <w:pPr>
      <w:tabs>
        <w:tab w:val="center" w:pos="4677"/>
        <w:tab w:val="right" w:pos="9355"/>
      </w:tabs>
      <w:spacing w:line="240" w:lineRule="auto"/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212451"/>
    <w:rPr>
      <w:rFonts w:ascii="Times New Roman" w:hAnsi="Times New Roman"/>
      <w:sz w:val="24"/>
      <w:lang w:eastAsia="ru-RU"/>
    </w:rPr>
  </w:style>
  <w:style w:type="paragraph" w:styleId="21">
    <w:name w:val="toc 2"/>
    <w:basedOn w:val="a"/>
    <w:next w:val="a"/>
    <w:autoRedefine/>
    <w:uiPriority w:val="39"/>
    <w:rsid w:val="007B40B8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13" Type="http://schemas.openxmlformats.org/officeDocument/2006/relationships/image" Target="media/image54.jpeg"/><Relationship Id="rId118" Type="http://schemas.openxmlformats.org/officeDocument/2006/relationships/image" Target="media/image57.jpeg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16" Type="http://schemas.openxmlformats.org/officeDocument/2006/relationships/image" Target="media/image5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jpeg"/><Relationship Id="rId111" Type="http://schemas.openxmlformats.org/officeDocument/2006/relationships/image" Target="media/image5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14" Type="http://schemas.openxmlformats.org/officeDocument/2006/relationships/image" Target="media/image55.wmf"/><Relationship Id="rId119" Type="http://schemas.openxmlformats.org/officeDocument/2006/relationships/image" Target="media/image58.jpeg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835F0-7A2C-42E7-920B-5BE5131A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3239</Words>
  <Characters>21429</Characters>
  <Application>Microsoft Office Word</Application>
  <DocSecurity>0</DocSecurity>
  <Lines>178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УНИВЕРСИТЕТ</vt:lpstr>
    </vt:vector>
  </TitlesOfParts>
  <Company/>
  <LinksUpToDate>false</LinksUpToDate>
  <CharactersWithSpaces>24619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УНИВЕРСИТЕТ</dc:title>
  <dc:subject/>
  <dc:creator>Danny</dc:creator>
  <cp:keywords/>
  <dc:description/>
  <cp:lastModifiedBy>Пользователь Windows</cp:lastModifiedBy>
  <cp:revision>5</cp:revision>
  <dcterms:created xsi:type="dcterms:W3CDTF">2017-05-27T10:18:00Z</dcterms:created>
  <dcterms:modified xsi:type="dcterms:W3CDTF">2017-05-27T10:37:00Z</dcterms:modified>
</cp:coreProperties>
</file>