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0A" w:rsidRPr="009C410A" w:rsidRDefault="009C410A" w:rsidP="009C410A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Рецензия на выпускную квалификационную работу </w:t>
      </w:r>
    </w:p>
    <w:p w:rsidR="009C410A" w:rsidRPr="009C410A" w:rsidRDefault="009C410A" w:rsidP="009C410A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обучающегося СПбГУ Анжелики Юрьевны Урусовой </w:t>
      </w:r>
    </w:p>
    <w:p w:rsidR="009C410A" w:rsidRPr="009C410A" w:rsidRDefault="009C410A" w:rsidP="009C410A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 теме «Жан </w:t>
      </w:r>
      <w:proofErr w:type="spellStart"/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От кинетической скульптуры к “</w:t>
      </w:r>
      <w:proofErr w:type="spellStart"/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метамеханике</w:t>
      </w:r>
      <w:proofErr w:type="spellEnd"/>
      <w:r w:rsidRPr="009C41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”»</w:t>
      </w:r>
    </w:p>
    <w:p w:rsidR="009C410A" w:rsidRPr="009C410A" w:rsidRDefault="009C410A" w:rsidP="00431A83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2689E" w:rsidRPr="009C410A" w:rsidRDefault="00431A83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Дипломная работа Анжелики Юрьевны Урусовой посвящена творчеству швейцарского мастера, имя которого мало знакомо русскому зрителю, — Жану </w:t>
      </w:r>
      <w:proofErr w:type="spellStart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 сожалению, несмотря на огромную роль, которую играют его творения в сложении </w:t>
      </w:r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современной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швейцарской и шире западноевропейской скульптуры, представления отечественного историка искусства</w:t>
      </w:r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творчестве Ж. </w:t>
      </w:r>
      <w:proofErr w:type="spellStart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зачастую ограничиваются </w:t>
      </w:r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смутными припоминаниями «Фонтана Стравинского» у стен Центра Жоржа Помпиду. По сей день на русском языке нет ни одного крупного исследования, объектом которого выступило бы творчество скульптора или его совместные (лучше сказать семейные) реализованные проекты с Ники де Сен-</w:t>
      </w:r>
      <w:proofErr w:type="spellStart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Фалль</w:t>
      </w:r>
      <w:proofErr w:type="spellEnd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За исключением </w:t>
      </w:r>
      <w:r w:rsidR="00E2689E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тоненького в 150 страниц </w:t>
      </w:r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каталога выставки, прошедшей в Москве 1990 г. при поддержке </w:t>
      </w:r>
      <w:proofErr w:type="spellStart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цюрихского</w:t>
      </w:r>
      <w:proofErr w:type="spellEnd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фонда Про Гельвеция, прочесть что-либо более </w:t>
      </w:r>
      <w:r w:rsidR="00E2689E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менее </w:t>
      </w:r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основательное о </w:t>
      </w:r>
      <w:proofErr w:type="spellStart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09426C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русском языке не пред</w:t>
      </w:r>
      <w:r w:rsidR="00E2689E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ставляется возможным. В связи с этим, дипломная работа А. Ю. Урусовой безусловно обладает высокой степенью научной актуальности и вносит существенный вклад в заполнение тех научных лакун, которые имеются в отечественном искусствознании. </w:t>
      </w:r>
    </w:p>
    <w:p w:rsidR="00E034F1" w:rsidRPr="009C410A" w:rsidRDefault="00E2689E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Представленная дипломная работа А. Ю. Урусовой включает в себя 6 глав и одно приложение, из которых глава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отводится под введение, а глава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под заключение. Глава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представляет собой список</w:t>
      </w:r>
      <w:r w:rsidR="00E034F1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использованной для написания работы литературы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полнота которого не вызывает нареканий и лишний раз доказывает </w:t>
      </w:r>
      <w:r w:rsidR="00E034F1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внимательное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отношение автора дипломного сочинения к поиску </w:t>
      </w:r>
      <w:r w:rsidR="00E034F1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источников. Библиографический список строится не по алфавитному принципу, а согласно значимости упоминаемого источника. Подобный подход нам представляется весьма оправданным, учитывая тот факт, что в работе отсутствует выделенный в самостоятельную главу историографический обзор. По нашему мнению, последняя особенность не может быть рассмотрена как недостаток, ибо анализ узловых историографических проблем исследования творчества Ж. </w:t>
      </w:r>
      <w:proofErr w:type="spellStart"/>
      <w:r w:rsidR="00E034F1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E034F1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автором органично вплетается в основное тело дипломного сочинения.</w:t>
      </w:r>
    </w:p>
    <w:p w:rsidR="008B5ECA" w:rsidRPr="009C410A" w:rsidRDefault="003B70A1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Очерчивая цели и задачи своего исследования, А. Ю. Урусова явно путается в таких понятиях, как «актуальность», «цели» и «задачи». К примеру, </w:t>
      </w:r>
      <w:r w:rsidR="009649A7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автор полагает, что актуальность проводимого исследования будет заключаться в «попытке посмотреть на фигуру </w:t>
      </w:r>
      <w:proofErr w:type="spellStart"/>
      <w:r w:rsidR="009649A7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9649A7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как на феномен своего времени и места, некое собирательное от самых заметных социально-художественных движений, поместив ее в историко-культурный контекст». Данная формулировка скорее соответствует понятию цели исследования и является логичным дополнением того, что автор указывает во введении чуть ниже, когда пишет: «Цель работы состоит в том, чтобы выявить намечающуюся двойственность, противоречивость </w:t>
      </w:r>
      <w:proofErr w:type="spellStart"/>
      <w:r w:rsidR="009649A7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9649A7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полностью принадлежащего проблемам и идейным течениям 1950-1960-х гг., но тем не менее упорно прорабатывающего собственный концепт, формально заключающийся в единой стилевой оси». </w:t>
      </w:r>
    </w:p>
    <w:p w:rsidR="009649A7" w:rsidRPr="009C410A" w:rsidRDefault="009649A7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том, что касается постановки задач, автор демонстрирует хирургическую точность и в дальнейшем на протяжении всего текста упорно следует намеченным во введении установкам. Единственная глава, которая вызывает определенные сомнения в соответствии текста поставленным задачам, — «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Fur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Static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!», где по замыслу А. Ю. </w:t>
      </w:r>
      <w:r w:rsidR="00A94C46" w:rsidRP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Урусов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ой планировалось </w:t>
      </w:r>
      <w:r w:rsidR="00156A5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выделить в кинетической скульптуре </w:t>
      </w:r>
      <w:proofErr w:type="spellStart"/>
      <w:r w:rsidR="00156A5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6A5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технологи</w:t>
      </w:r>
      <w:r w:rsidR="00156A5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ческую» и «декоративную»</w:t>
      </w:r>
      <w:r w:rsidR="00DC4D4D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ветви. К сожалению, предложенное деление, по нашему мнению, не было достаточно ясно осуществлено, поскольку автор немного увлекся вопросами теории и ненадолго отошел от непосредственного анализа памятников. </w:t>
      </w:r>
    </w:p>
    <w:p w:rsidR="003868D3" w:rsidRPr="009C410A" w:rsidRDefault="00156A54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Очерчивая круг задач, А. Ю. </w:t>
      </w:r>
      <w:r w:rsidR="00A94C46" w:rsidRP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Урусов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делает несколько важных замечаний и объясняет ряд намеренно введенных тематических ограничений. К примеру, автор оговаривает, что из поля его зрения будут заведомо исключены работы, созданные Ж. </w:t>
      </w:r>
      <w:proofErr w:type="spellStart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соавторстве с другими мастерами, а также серия «философов», затрагивающая 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вопрос скульптурной </w:t>
      </w:r>
      <w:proofErr w:type="spellStart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машинерии</w:t>
      </w:r>
      <w:proofErr w:type="spellEnd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одновременно требующая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осуществления подробного иконографического</w:t>
      </w:r>
      <w:r w:rsidR="00791492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91492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что заранее далеко выходит за рамки обозначенных целей и задач. В разговоре о перманентной потребности Ж. </w:t>
      </w:r>
      <w:proofErr w:type="spellStart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самоцитировании</w:t>
      </w:r>
      <w:proofErr w:type="spellEnd"/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возникающей в связи с этим навязчивой однотипностью творческих свершений А. Ю. </w:t>
      </w:r>
      <w:r w:rsidR="00A94C46" w:rsidRP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Урусов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умело обходит острые дискуссионные углы и приводит ряд убедительных доказательств в оправдание цельности и самобытности </w:t>
      </w:r>
      <w:r w:rsidR="004E799F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авторского художественного замысла. </w:t>
      </w:r>
    </w:p>
    <w:p w:rsidR="004E799F" w:rsidRPr="009C410A" w:rsidRDefault="004E799F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Столь же положительно следует </w:t>
      </w:r>
      <w:r w:rsidR="00516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оценить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тот факт, что д</w:t>
      </w:r>
      <w:r w:rsidR="000A7F58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ипломантка демонстрирует высокий уровень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владения искусствоведческим вокабулярием. Более того, она успешно справляется с выведением не легких дефиниций. Примером может служить та часть работы, где </w:t>
      </w:r>
      <w:r w:rsid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А. Ю. Урус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ова дает определение понятию «</w:t>
      </w:r>
      <w:proofErr w:type="spellStart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метамеханика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». На наш взгляд, некоторые сложности автор диплома испытывает в отношении слова «медиум», которое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в работе используется с известной регулярностью и часто в тексте меняет семантическую окраску. </w:t>
      </w:r>
      <w:r w:rsidR="003868D3" w:rsidRPr="009C410A">
        <w:rPr>
          <w:rFonts w:ascii="Times New Roman" w:eastAsia="Times New Roman" w:hAnsi="Times New Roman" w:cs="Times New Roman"/>
          <w:sz w:val="26"/>
          <w:szCs w:val="26"/>
        </w:rPr>
        <w:t xml:space="preserve">В подобной ситуации необходимо было бы либо в начале работы указать на универсальность применяемого термина, либо уже внутри текста подобрать синонимичный ряд. Однако последнее замечание если и влияет на содержательную часть работы, то в очень незначительной степени, и, следовательно, не может быть рассмотрено как существенный недостаток. </w:t>
      </w:r>
    </w:p>
    <w:p w:rsidR="00161D0A" w:rsidRPr="009C410A" w:rsidRDefault="003868D3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Круг произведений, которые</w:t>
      </w:r>
      <w:r w:rsid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избираются А. Ю. Урус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овой для проведения исследования, широк и при этом показателен.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Из ранних работ </w:t>
      </w:r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 xml:space="preserve">подробно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анализируются две серии мета-механик, “Мета-Малевичи” и “Мета-Кандинские”. Разговор о произведениях конца 1950—х гг. оправданно начинается с рассмотрения вопроса </w:t>
      </w:r>
      <w:proofErr w:type="spellStart"/>
      <w:r w:rsidRPr="009C410A">
        <w:rPr>
          <w:rFonts w:ascii="Times New Roman" w:eastAsia="Times New Roman" w:hAnsi="Times New Roman" w:cs="Times New Roman"/>
          <w:sz w:val="26"/>
          <w:szCs w:val="26"/>
        </w:rPr>
        <w:t>эстетизации</w:t>
      </w:r>
      <w:proofErr w:type="spellEnd"/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 механистической составляющей кинетического произведения искусства. К сожалению, в этой части автор </w:t>
      </w:r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>немного забывает о требуемом анализе мета-</w:t>
      </w:r>
      <w:proofErr w:type="spellStart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>матик</w:t>
      </w:r>
      <w:proofErr w:type="spellEnd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 xml:space="preserve"> и уходит в сторону, обстоятельно и аргументированно рассуждая о вопросах социально-политической ангажированности абстрактного экспрессионизма в США, о формах его адаптации в Европе, о спонтанности и единичности опыта, которые предлагает </w:t>
      </w:r>
      <w:proofErr w:type="spellStart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>перформарс</w:t>
      </w:r>
      <w:proofErr w:type="spellEnd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 xml:space="preserve">, о сравнении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мета-</w:t>
      </w:r>
      <w:proofErr w:type="spellStart"/>
      <w:r w:rsidRPr="009C410A">
        <w:rPr>
          <w:rFonts w:ascii="Times New Roman" w:eastAsia="Times New Roman" w:hAnsi="Times New Roman" w:cs="Times New Roman"/>
          <w:sz w:val="26"/>
          <w:szCs w:val="26"/>
        </w:rPr>
        <w:t>матик</w:t>
      </w:r>
      <w:proofErr w:type="spellEnd"/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410A">
        <w:rPr>
          <w:rFonts w:ascii="Times New Roman" w:eastAsia="Times New Roman" w:hAnsi="Times New Roman" w:cs="Times New Roman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C410A">
        <w:rPr>
          <w:rFonts w:ascii="Times New Roman" w:eastAsia="Times New Roman" w:hAnsi="Times New Roman" w:cs="Times New Roman"/>
          <w:sz w:val="26"/>
          <w:szCs w:val="26"/>
        </w:rPr>
        <w:t>реди-мейдов</w:t>
      </w:r>
      <w:proofErr w:type="spellEnd"/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>Дюшана</w:t>
      </w:r>
      <w:proofErr w:type="spellEnd"/>
      <w:r w:rsidR="00161D0A" w:rsidRPr="009C410A">
        <w:rPr>
          <w:rFonts w:ascii="Times New Roman" w:eastAsia="Times New Roman" w:hAnsi="Times New Roman" w:cs="Times New Roman"/>
          <w:sz w:val="26"/>
          <w:szCs w:val="26"/>
        </w:rPr>
        <w:t xml:space="preserve"> (в пользу первого, конечно же).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параграфе «Деструктивные работы» </w:t>
      </w:r>
      <w:r w:rsid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А. Ю. Урус</w:t>
      </w:r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ова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изначально делает акцент на </w:t>
      </w:r>
      <w:proofErr w:type="spellStart"/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перформативности</w:t>
      </w:r>
      <w:proofErr w:type="spellEnd"/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предложенных к рассмотрению </w:t>
      </w:r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работ,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их остро-политической ориентированности (политический </w:t>
      </w:r>
      <w:proofErr w:type="spellStart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акционизм</w:t>
      </w:r>
      <w:proofErr w:type="spellEnd"/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и, самое главное, на</w:t>
      </w:r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беспрецедентности данного явления в творчестве самого Ж. </w:t>
      </w:r>
      <w:proofErr w:type="spellStart"/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Тэнгли</w:t>
      </w:r>
      <w:proofErr w:type="spellEnd"/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ибо впоследствии мастер не будет проявлять</w:t>
      </w:r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интереса к развитию темы деструкции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61D0A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этой части </w:t>
      </w:r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дипломного сочинения рассматриваются такие скульптуры, как </w:t>
      </w:r>
      <w:r w:rsidR="00E86634" w:rsidRPr="009C410A">
        <w:rPr>
          <w:rFonts w:ascii="Times New Roman" w:eastAsia="Times New Roman" w:hAnsi="Times New Roman" w:cs="Times New Roman"/>
          <w:sz w:val="26"/>
          <w:szCs w:val="26"/>
        </w:rPr>
        <w:t>«Подготовка к концу света», «</w:t>
      </w:r>
      <w:proofErr w:type="spellStart"/>
      <w:r w:rsidR="00E86634" w:rsidRPr="009C410A">
        <w:rPr>
          <w:rFonts w:ascii="Times New Roman" w:eastAsia="Times New Roman" w:hAnsi="Times New Roman" w:cs="Times New Roman"/>
          <w:sz w:val="26"/>
          <w:szCs w:val="26"/>
        </w:rPr>
        <w:t>Ротоцаца</w:t>
      </w:r>
      <w:proofErr w:type="spellEnd"/>
      <w:r w:rsidR="00E86634" w:rsidRPr="009C410A">
        <w:rPr>
          <w:rFonts w:ascii="Times New Roman" w:eastAsia="Times New Roman" w:hAnsi="Times New Roman" w:cs="Times New Roman"/>
          <w:sz w:val="26"/>
          <w:szCs w:val="26"/>
        </w:rPr>
        <w:t>» и «</w:t>
      </w:r>
      <w:proofErr w:type="spellStart"/>
      <w:r w:rsidR="00E86634" w:rsidRPr="009C410A">
        <w:rPr>
          <w:rFonts w:ascii="Times New Roman" w:eastAsia="Times New Roman" w:hAnsi="Times New Roman" w:cs="Times New Roman"/>
          <w:sz w:val="26"/>
          <w:szCs w:val="26"/>
        </w:rPr>
        <w:t>Оммаж</w:t>
      </w:r>
      <w:proofErr w:type="spellEnd"/>
      <w:r w:rsidR="00E86634" w:rsidRPr="009C410A">
        <w:rPr>
          <w:rFonts w:ascii="Times New Roman" w:eastAsia="Times New Roman" w:hAnsi="Times New Roman" w:cs="Times New Roman"/>
          <w:sz w:val="26"/>
          <w:szCs w:val="26"/>
        </w:rPr>
        <w:t xml:space="preserve"> Нью-Йорку», частота обращения к которому явно говорит о том, что </w:t>
      </w:r>
      <w:r w:rsid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А. Ю. Урус</w:t>
      </w:r>
      <w:r w:rsidR="00E86634"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ова считает его одним из центральных свершений художника. </w:t>
      </w:r>
    </w:p>
    <w:p w:rsidR="00071B66" w:rsidRDefault="00067233" w:rsidP="00B43A9C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результате проведенного исследования 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А. Ю. Ур</w:t>
      </w:r>
      <w:r w:rsidR="00A94C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</w:t>
      </w:r>
      <w:r w:rsidRPr="009C41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овой успешно удается выявить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художественно-эстетических координат, в которых существует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Ж. </w:t>
      </w:r>
      <w:proofErr w:type="spellStart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>Тэнгли</w:t>
      </w:r>
      <w:proofErr w:type="spellEnd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 в различные этапы своего творчества.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Ответив на вопрос, что есть произведение искусство Ж. </w:t>
      </w:r>
      <w:proofErr w:type="spellStart"/>
      <w:r w:rsidRPr="009C410A">
        <w:rPr>
          <w:rFonts w:ascii="Times New Roman" w:eastAsia="Times New Roman" w:hAnsi="Times New Roman" w:cs="Times New Roman"/>
          <w:sz w:val="26"/>
          <w:szCs w:val="26"/>
        </w:rPr>
        <w:t>Тэнгли</w:t>
      </w:r>
      <w:proofErr w:type="spellEnd"/>
      <w:r w:rsidRPr="009C410A">
        <w:rPr>
          <w:rFonts w:ascii="Times New Roman" w:eastAsia="Times New Roman" w:hAnsi="Times New Roman" w:cs="Times New Roman"/>
          <w:sz w:val="26"/>
          <w:szCs w:val="26"/>
        </w:rPr>
        <w:t>, дипломантка б</w:t>
      </w:r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ольшое внимание уделяется вопросу включенности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мастера </w:t>
      </w:r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процесс сложения современного ему искусства и культуры</w:t>
      </w:r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. С привлечением цитат из различных интервью и других первоисточников, автор убедительно доказывает противоположность эстетических устремлений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Ж. </w:t>
      </w:r>
      <w:proofErr w:type="spellStart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>Тэнгли</w:t>
      </w:r>
      <w:proofErr w:type="spellEnd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>неодадаизма</w:t>
      </w:r>
      <w:proofErr w:type="spellEnd"/>
      <w:r w:rsidR="00B811FC" w:rsidRPr="009C410A">
        <w:rPr>
          <w:rFonts w:ascii="Times New Roman" w:eastAsia="Times New Roman" w:hAnsi="Times New Roman" w:cs="Times New Roman"/>
          <w:sz w:val="26"/>
          <w:szCs w:val="26"/>
        </w:rPr>
        <w:t xml:space="preserve">, подробно анализирует связь художника с </w:t>
      </w:r>
      <w:r w:rsidR="00332A41" w:rsidRPr="009C410A">
        <w:rPr>
          <w:rFonts w:ascii="Times New Roman" w:eastAsia="Times New Roman" w:hAnsi="Times New Roman" w:cs="Times New Roman"/>
          <w:sz w:val="26"/>
          <w:szCs w:val="26"/>
        </w:rPr>
        <w:t xml:space="preserve">движением Новых реалистов, указывает на многоаспектную проблему экспериментаторского отношения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Ж. </w:t>
      </w:r>
      <w:proofErr w:type="spellStart"/>
      <w:r w:rsidR="00332A41" w:rsidRPr="009C410A">
        <w:rPr>
          <w:rFonts w:ascii="Times New Roman" w:eastAsia="Times New Roman" w:hAnsi="Times New Roman" w:cs="Times New Roman"/>
          <w:sz w:val="26"/>
          <w:szCs w:val="26"/>
        </w:rPr>
        <w:t>Тэнгли</w:t>
      </w:r>
      <w:proofErr w:type="spellEnd"/>
      <w:r w:rsidR="00332A41" w:rsidRPr="009C410A">
        <w:rPr>
          <w:rFonts w:ascii="Times New Roman" w:eastAsia="Times New Roman" w:hAnsi="Times New Roman" w:cs="Times New Roman"/>
          <w:sz w:val="26"/>
          <w:szCs w:val="26"/>
        </w:rPr>
        <w:t xml:space="preserve"> к музейному пространству как проявления институциональной критики. </w:t>
      </w:r>
    </w:p>
    <w:p w:rsidR="002259BF" w:rsidRPr="009C410A" w:rsidRDefault="00067233" w:rsidP="00B43A9C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Все вышесказанное убедительно доказывает </w:t>
      </w:r>
      <w:r w:rsidR="008652E1" w:rsidRPr="009C410A">
        <w:rPr>
          <w:rFonts w:ascii="Times New Roman" w:eastAsia="Times New Roman" w:hAnsi="Times New Roman" w:cs="Times New Roman"/>
          <w:sz w:val="26"/>
          <w:szCs w:val="26"/>
        </w:rPr>
        <w:t>широкие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 xml:space="preserve"> знания</w:t>
      </w:r>
      <w:r w:rsidR="00071B66">
        <w:rPr>
          <w:rFonts w:ascii="Times New Roman" w:eastAsia="Times New Roman" w:hAnsi="Times New Roman" w:cs="Times New Roman"/>
          <w:sz w:val="26"/>
          <w:szCs w:val="26"/>
        </w:rPr>
        <w:t xml:space="preserve"> дипломантки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, погруженность в тему и</w:t>
      </w:r>
      <w:r w:rsidR="008652E1" w:rsidRPr="009C4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410A">
        <w:rPr>
          <w:rFonts w:ascii="Times New Roman" w:eastAsia="Times New Roman" w:hAnsi="Times New Roman" w:cs="Times New Roman"/>
          <w:sz w:val="26"/>
          <w:szCs w:val="26"/>
        </w:rPr>
        <w:t>хорошую в ней ориентированность</w:t>
      </w:r>
      <w:r w:rsidR="008652E1" w:rsidRPr="009C41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1F10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выбранной темы, структурные и содержательные качества представленного дипломного сочинения, владение материалом, — все это позволяет высоко оценить </w:t>
      </w:r>
      <w:r w:rsidR="00B43A9C">
        <w:rPr>
          <w:rFonts w:ascii="Times New Roman" w:eastAsia="Times New Roman" w:hAnsi="Times New Roman" w:cs="Times New Roman"/>
          <w:sz w:val="26"/>
          <w:szCs w:val="26"/>
        </w:rPr>
        <w:t>проведенное</w:t>
      </w:r>
      <w:r w:rsidR="005E1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3A9C">
        <w:rPr>
          <w:rFonts w:ascii="Times New Roman" w:eastAsia="Times New Roman" w:hAnsi="Times New Roman" w:cs="Times New Roman"/>
          <w:sz w:val="26"/>
          <w:szCs w:val="26"/>
        </w:rPr>
        <w:t xml:space="preserve">Анжеликой Юрьевной </w:t>
      </w:r>
      <w:r w:rsidR="005E1F10">
        <w:rPr>
          <w:rFonts w:ascii="Times New Roman" w:eastAsia="Times New Roman" w:hAnsi="Times New Roman" w:cs="Times New Roman"/>
          <w:sz w:val="26"/>
          <w:szCs w:val="26"/>
        </w:rPr>
        <w:t>Урусовой</w:t>
      </w:r>
      <w:r w:rsidR="00B43A9C">
        <w:rPr>
          <w:rFonts w:ascii="Times New Roman" w:eastAsia="Times New Roman" w:hAnsi="Times New Roman" w:cs="Times New Roman"/>
          <w:sz w:val="26"/>
          <w:szCs w:val="26"/>
        </w:rPr>
        <w:t xml:space="preserve"> исследование и при условии хорошей защиты рекомендовать комиссии аттестовать данную дипломную работу как достойную отличной оценки. </w:t>
      </w:r>
    </w:p>
    <w:p w:rsidR="009C410A" w:rsidRDefault="009C410A" w:rsidP="009C410A">
      <w:pPr>
        <w:pStyle w:val="LO-normal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1DF3" w:rsidRDefault="00B21DF3" w:rsidP="009C410A">
      <w:pPr>
        <w:pStyle w:val="LO-normal"/>
        <w:spacing w:line="360" w:lineRule="auto"/>
        <w:contextualSpacing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9C410A" w:rsidRPr="009C410A" w:rsidRDefault="009C410A" w:rsidP="009C410A">
      <w:pPr>
        <w:pStyle w:val="LO-normal"/>
        <w:spacing w:line="360" w:lineRule="auto"/>
        <w:contextualSpacing/>
        <w:rPr>
          <w:rFonts w:ascii="Times New Roman" w:eastAsia="Times New Roman" w:hAnsi="Times New Roman" w:cs="Times New Roman"/>
          <w:i/>
        </w:rPr>
      </w:pPr>
      <w:r w:rsidRPr="009C410A">
        <w:rPr>
          <w:rFonts w:ascii="Times New Roman" w:eastAsia="Times New Roman" w:hAnsi="Times New Roman" w:cs="Times New Roman"/>
          <w:i/>
        </w:rPr>
        <w:t xml:space="preserve">старший преподаватель </w:t>
      </w:r>
    </w:p>
    <w:p w:rsidR="009C410A" w:rsidRPr="009C410A" w:rsidRDefault="009C410A" w:rsidP="009C410A">
      <w:pPr>
        <w:pStyle w:val="LO-normal"/>
        <w:spacing w:line="360" w:lineRule="auto"/>
        <w:contextualSpacing/>
        <w:rPr>
          <w:rFonts w:ascii="Times New Roman" w:eastAsia="Times New Roman" w:hAnsi="Times New Roman" w:cs="Times New Roman"/>
          <w:i/>
        </w:rPr>
      </w:pPr>
      <w:r w:rsidRPr="009C410A">
        <w:rPr>
          <w:rFonts w:ascii="Times New Roman" w:eastAsia="Times New Roman" w:hAnsi="Times New Roman" w:cs="Times New Roman"/>
          <w:i/>
        </w:rPr>
        <w:t>кафедры истории западноевропейского искусства</w:t>
      </w:r>
    </w:p>
    <w:p w:rsidR="009C410A" w:rsidRPr="009C410A" w:rsidRDefault="009C410A" w:rsidP="009C410A">
      <w:pPr>
        <w:pStyle w:val="LO-normal"/>
        <w:spacing w:line="360" w:lineRule="auto"/>
        <w:contextualSpacing/>
        <w:rPr>
          <w:rFonts w:ascii="Times New Roman" w:eastAsia="Times New Roman" w:hAnsi="Times New Roman" w:cs="Times New Roman"/>
          <w:i/>
        </w:rPr>
      </w:pPr>
      <w:r w:rsidRPr="009C410A">
        <w:rPr>
          <w:rFonts w:ascii="Times New Roman" w:eastAsia="Times New Roman" w:hAnsi="Times New Roman" w:cs="Times New Roman"/>
          <w:i/>
        </w:rPr>
        <w:t xml:space="preserve">Института истории СПбГУ </w:t>
      </w:r>
    </w:p>
    <w:p w:rsidR="009C410A" w:rsidRPr="009C410A" w:rsidRDefault="009C410A" w:rsidP="009C410A">
      <w:pPr>
        <w:pStyle w:val="LO-normal"/>
        <w:spacing w:line="360" w:lineRule="auto"/>
        <w:contextualSpacing/>
        <w:rPr>
          <w:rFonts w:ascii="Times New Roman" w:eastAsia="Times New Roman" w:hAnsi="Times New Roman" w:cs="Times New Roman"/>
          <w:i/>
        </w:rPr>
      </w:pPr>
      <w:r w:rsidRPr="009C410A">
        <w:rPr>
          <w:rFonts w:ascii="Times New Roman" w:eastAsia="Times New Roman" w:hAnsi="Times New Roman" w:cs="Times New Roman"/>
          <w:i/>
        </w:rPr>
        <w:t xml:space="preserve">Елена Витальевна </w:t>
      </w:r>
      <w:proofErr w:type="spellStart"/>
      <w:r w:rsidRPr="009C410A">
        <w:rPr>
          <w:rFonts w:ascii="Times New Roman" w:eastAsia="Times New Roman" w:hAnsi="Times New Roman" w:cs="Times New Roman"/>
          <w:i/>
        </w:rPr>
        <w:t>Клюшина</w:t>
      </w:r>
      <w:proofErr w:type="spellEnd"/>
      <w:r w:rsidRPr="009C410A">
        <w:rPr>
          <w:rFonts w:ascii="Times New Roman" w:eastAsia="Times New Roman" w:hAnsi="Times New Roman" w:cs="Times New Roman"/>
          <w:i/>
        </w:rPr>
        <w:t xml:space="preserve"> </w:t>
      </w:r>
    </w:p>
    <w:sectPr w:rsidR="009C410A" w:rsidRPr="009C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DA6"/>
    <w:multiLevelType w:val="hybridMultilevel"/>
    <w:tmpl w:val="4A1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E8F"/>
    <w:multiLevelType w:val="hybridMultilevel"/>
    <w:tmpl w:val="6BC02EE8"/>
    <w:lvl w:ilvl="0" w:tplc="BB2E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96C5F"/>
    <w:multiLevelType w:val="hybridMultilevel"/>
    <w:tmpl w:val="162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6EB"/>
    <w:multiLevelType w:val="hybridMultilevel"/>
    <w:tmpl w:val="C874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3E4F"/>
    <w:multiLevelType w:val="hybridMultilevel"/>
    <w:tmpl w:val="4BD0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262"/>
    <w:multiLevelType w:val="hybridMultilevel"/>
    <w:tmpl w:val="CE70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0B6"/>
    <w:multiLevelType w:val="hybridMultilevel"/>
    <w:tmpl w:val="04FC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2666"/>
    <w:multiLevelType w:val="hybridMultilevel"/>
    <w:tmpl w:val="B97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95E90"/>
    <w:multiLevelType w:val="hybridMultilevel"/>
    <w:tmpl w:val="0BF40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55716"/>
    <w:multiLevelType w:val="hybridMultilevel"/>
    <w:tmpl w:val="5854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347C"/>
    <w:multiLevelType w:val="hybridMultilevel"/>
    <w:tmpl w:val="4A1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35"/>
    <w:rsid w:val="00067233"/>
    <w:rsid w:val="00071B66"/>
    <w:rsid w:val="0009426C"/>
    <w:rsid w:val="000A63BC"/>
    <w:rsid w:val="000A7573"/>
    <w:rsid w:val="000A7F58"/>
    <w:rsid w:val="00156A54"/>
    <w:rsid w:val="00161D0A"/>
    <w:rsid w:val="001C0CCB"/>
    <w:rsid w:val="002259BF"/>
    <w:rsid w:val="00225B1F"/>
    <w:rsid w:val="002B7E55"/>
    <w:rsid w:val="00332A41"/>
    <w:rsid w:val="003868D3"/>
    <w:rsid w:val="003B70A1"/>
    <w:rsid w:val="00431A83"/>
    <w:rsid w:val="004B4935"/>
    <w:rsid w:val="004C7D59"/>
    <w:rsid w:val="004E799F"/>
    <w:rsid w:val="00516183"/>
    <w:rsid w:val="005E1F10"/>
    <w:rsid w:val="0060483E"/>
    <w:rsid w:val="00791492"/>
    <w:rsid w:val="00806733"/>
    <w:rsid w:val="008652E1"/>
    <w:rsid w:val="008B5ECA"/>
    <w:rsid w:val="00917570"/>
    <w:rsid w:val="009649A7"/>
    <w:rsid w:val="009C410A"/>
    <w:rsid w:val="00A94C46"/>
    <w:rsid w:val="00AF58A4"/>
    <w:rsid w:val="00B21DF3"/>
    <w:rsid w:val="00B259C0"/>
    <w:rsid w:val="00B34D36"/>
    <w:rsid w:val="00B43A9C"/>
    <w:rsid w:val="00B811FC"/>
    <w:rsid w:val="00C11103"/>
    <w:rsid w:val="00C52891"/>
    <w:rsid w:val="00C86BE5"/>
    <w:rsid w:val="00DC4D4D"/>
    <w:rsid w:val="00E034F1"/>
    <w:rsid w:val="00E2689E"/>
    <w:rsid w:val="00E86634"/>
    <w:rsid w:val="00F22C37"/>
    <w:rsid w:val="00F450DC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B96C-CC5C-4E2C-9B23-8A7B055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35"/>
    <w:pPr>
      <w:ind w:left="720"/>
      <w:contextualSpacing/>
    </w:pPr>
  </w:style>
  <w:style w:type="paragraph" w:customStyle="1" w:styleId="LO-normal">
    <w:name w:val="LO-normal"/>
    <w:uiPriority w:val="2"/>
    <w:rsid w:val="00C11103"/>
    <w:pPr>
      <w:suppressAutoHyphens/>
      <w:spacing w:line="276" w:lineRule="auto"/>
    </w:pPr>
    <w:rPr>
      <w:rFonts w:ascii="Arial" w:eastAsia="Arial" w:hAnsi="Arial" w:cs="Arial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A1E1-FE4D-4074-BBE9-C8E63DE8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Завирущев</dc:creator>
  <cp:keywords/>
  <dc:description/>
  <cp:lastModifiedBy>Максим Завирущев</cp:lastModifiedBy>
  <cp:revision>10</cp:revision>
  <dcterms:created xsi:type="dcterms:W3CDTF">2017-05-12T13:37:00Z</dcterms:created>
  <dcterms:modified xsi:type="dcterms:W3CDTF">2017-05-16T16:07:00Z</dcterms:modified>
</cp:coreProperties>
</file>