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ПРАВИТЕЛЬСТВО РОССИЙСКОЙ ФЕДЕРАЦИИ</w:t>
      </w: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высшего образования</w:t>
      </w: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«САНКТ-ПЕТЕРБУРГСКИЙ ГОСУДАРСТВЕННЫЙ УНИВЕРСИТЕТ»</w:t>
      </w: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Кондратенко Диана Александровна</w:t>
      </w: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1DC" w:rsidRDefault="004050D8" w:rsidP="004050D8">
      <w:pPr>
        <w:spacing w:line="240" w:lineRule="auto"/>
        <w:jc w:val="center"/>
        <w:rPr>
          <w:rFonts w:ascii="Times New Roman" w:hAnsi="Times New Roman"/>
          <w:b/>
          <w:spacing w:val="1"/>
          <w:sz w:val="28"/>
          <w:szCs w:val="32"/>
        </w:rPr>
      </w:pPr>
      <w:r w:rsidRPr="00E241DC">
        <w:rPr>
          <w:rFonts w:ascii="Times New Roman" w:hAnsi="Times New Roman"/>
          <w:b/>
          <w:spacing w:val="1"/>
          <w:sz w:val="28"/>
          <w:szCs w:val="32"/>
        </w:rPr>
        <w:t>«Сотрудничество России и стран БРИКС в области энергетики»</w:t>
      </w:r>
    </w:p>
    <w:p w:rsidR="004050D8" w:rsidRPr="00664A35" w:rsidRDefault="004050D8" w:rsidP="004050D8">
      <w:pPr>
        <w:spacing w:line="240" w:lineRule="auto"/>
        <w:jc w:val="center"/>
        <w:rPr>
          <w:rFonts w:ascii="Times New Roman" w:hAnsi="Times New Roman"/>
          <w:b/>
          <w:sz w:val="32"/>
          <w:szCs w:val="32"/>
          <w:lang w:val="en-US"/>
        </w:rPr>
      </w:pPr>
      <w:r>
        <w:rPr>
          <w:rFonts w:ascii="Times New Roman" w:hAnsi="Times New Roman"/>
          <w:b/>
          <w:sz w:val="32"/>
          <w:szCs w:val="32"/>
          <w:lang w:val="en-US"/>
        </w:rPr>
        <w:t>“</w:t>
      </w:r>
      <w:r w:rsidRPr="00664A35">
        <w:rPr>
          <w:rFonts w:ascii="Times New Roman" w:hAnsi="Times New Roman"/>
          <w:b/>
          <w:sz w:val="32"/>
          <w:szCs w:val="32"/>
          <w:lang w:val="en-US"/>
        </w:rPr>
        <w:t xml:space="preserve">Cooperation </w:t>
      </w:r>
      <w:proofErr w:type="gramStart"/>
      <w:r w:rsidRPr="00664A35">
        <w:rPr>
          <w:rFonts w:ascii="Times New Roman" w:hAnsi="Times New Roman"/>
          <w:b/>
          <w:sz w:val="32"/>
          <w:szCs w:val="32"/>
          <w:lang w:val="en-US"/>
        </w:rPr>
        <w:t>between  Russia</w:t>
      </w:r>
      <w:proofErr w:type="gramEnd"/>
      <w:r w:rsidRPr="00664A35">
        <w:rPr>
          <w:rFonts w:ascii="Times New Roman" w:hAnsi="Times New Roman"/>
          <w:b/>
          <w:sz w:val="32"/>
          <w:szCs w:val="32"/>
          <w:lang w:val="en-US"/>
        </w:rPr>
        <w:t xml:space="preserve"> and the BRICS countries in the field of energy</w:t>
      </w:r>
      <w:r>
        <w:rPr>
          <w:rFonts w:ascii="Times New Roman" w:hAnsi="Times New Roman"/>
          <w:b/>
          <w:sz w:val="32"/>
          <w:szCs w:val="32"/>
          <w:lang w:val="en-US"/>
        </w:rPr>
        <w:t>”</w:t>
      </w:r>
    </w:p>
    <w:p w:rsidR="004050D8" w:rsidRPr="00664A35" w:rsidRDefault="004050D8" w:rsidP="004050D8">
      <w:pPr>
        <w:widowControl w:val="0"/>
        <w:autoSpaceDE w:val="0"/>
        <w:autoSpaceDN w:val="0"/>
        <w:spacing w:after="0" w:line="360" w:lineRule="auto"/>
        <w:rPr>
          <w:rFonts w:ascii="Times New Roman" w:eastAsia="Times New Roman" w:hAnsi="Times New Roman"/>
          <w:sz w:val="24"/>
          <w:szCs w:val="24"/>
          <w:lang w:val="en-US" w:eastAsia="ru-RU"/>
        </w:rPr>
      </w:pPr>
    </w:p>
    <w:p w:rsidR="004050D8" w:rsidRPr="004050D8" w:rsidRDefault="004050D8" w:rsidP="004050D8">
      <w:pPr>
        <w:widowControl w:val="0"/>
        <w:autoSpaceDE w:val="0"/>
        <w:autoSpaceDN w:val="0"/>
        <w:spacing w:after="0" w:line="360" w:lineRule="auto"/>
        <w:ind w:firstLine="340"/>
        <w:jc w:val="center"/>
        <w:rPr>
          <w:rFonts w:ascii="Times New Roman" w:hAnsi="Times New Roman"/>
          <w:sz w:val="24"/>
        </w:rPr>
      </w:pPr>
      <w:r w:rsidRPr="00664A35">
        <w:rPr>
          <w:rFonts w:ascii="Times New Roman" w:hAnsi="Times New Roman"/>
          <w:sz w:val="24"/>
        </w:rPr>
        <w:t>Выпускная бакалаврская квалификационная работа</w:t>
      </w:r>
    </w:p>
    <w:p w:rsidR="004050D8" w:rsidRPr="00664A35" w:rsidRDefault="004050D8" w:rsidP="004050D8">
      <w:pPr>
        <w:widowControl w:val="0"/>
        <w:autoSpaceDE w:val="0"/>
        <w:autoSpaceDN w:val="0"/>
        <w:spacing w:after="0" w:line="360" w:lineRule="auto"/>
        <w:ind w:firstLine="340"/>
        <w:jc w:val="center"/>
        <w:rPr>
          <w:rFonts w:ascii="Times New Roman" w:eastAsia="Times New Roman" w:hAnsi="Times New Roman"/>
          <w:sz w:val="28"/>
          <w:szCs w:val="24"/>
          <w:lang w:eastAsia="ru-RU"/>
        </w:rPr>
      </w:pPr>
      <w:r w:rsidRPr="00664A35">
        <w:rPr>
          <w:rFonts w:ascii="Times New Roman" w:hAnsi="Times New Roman"/>
          <w:sz w:val="24"/>
        </w:rPr>
        <w:t xml:space="preserve"> по направлению 41.03.05 - «Международные отношения»</w:t>
      </w:r>
    </w:p>
    <w:p w:rsidR="004050D8" w:rsidRPr="004050D8"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4050D8"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4050D8"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4050D8" w:rsidRDefault="004050D8" w:rsidP="004050D8">
      <w:pPr>
        <w:widowControl w:val="0"/>
        <w:autoSpaceDE w:val="0"/>
        <w:autoSpaceDN w:val="0"/>
        <w:spacing w:after="0" w:line="360" w:lineRule="auto"/>
        <w:ind w:firstLine="340"/>
        <w:rPr>
          <w:rFonts w:ascii="Times New Roman" w:eastAsia="Times New Roman" w:hAnsi="Times New Roman"/>
          <w:sz w:val="24"/>
          <w:szCs w:val="24"/>
          <w:lang w:eastAsia="ru-RU"/>
        </w:rPr>
      </w:pPr>
    </w:p>
    <w:p w:rsidR="004050D8" w:rsidRPr="00E24751" w:rsidRDefault="004050D8" w:rsidP="004050D8">
      <w:pPr>
        <w:spacing w:after="0" w:line="240" w:lineRule="auto"/>
        <w:ind w:left="5664"/>
        <w:jc w:val="center"/>
        <w:rPr>
          <w:rFonts w:ascii="Times New Roman" w:eastAsia="Times New Roman" w:hAnsi="Times New Roman"/>
          <w:sz w:val="24"/>
          <w:szCs w:val="28"/>
          <w:lang w:eastAsia="ru-RU"/>
        </w:rPr>
      </w:pPr>
      <w:r w:rsidRPr="00E24751">
        <w:rPr>
          <w:rFonts w:ascii="Times New Roman" w:eastAsia="Times New Roman" w:hAnsi="Times New Roman"/>
          <w:sz w:val="24"/>
          <w:szCs w:val="24"/>
          <w:lang w:eastAsia="ru-RU"/>
        </w:rPr>
        <w:t xml:space="preserve">Научный руководитель – </w:t>
      </w:r>
      <w:r w:rsidRPr="00E24751">
        <w:rPr>
          <w:rFonts w:ascii="Times New Roman" w:eastAsia="Times New Roman" w:hAnsi="Times New Roman"/>
          <w:sz w:val="24"/>
          <w:szCs w:val="24"/>
          <w:lang w:eastAsia="ru-RU"/>
        </w:rPr>
        <w:br/>
      </w:r>
      <w:r w:rsidRPr="00E24751">
        <w:rPr>
          <w:rFonts w:ascii="Times New Roman" w:eastAsia="Times New Roman" w:hAnsi="Times New Roman"/>
          <w:sz w:val="24"/>
          <w:szCs w:val="28"/>
          <w:lang w:eastAsia="ru-RU"/>
        </w:rPr>
        <w:t>Кандидат политических наук,</w:t>
      </w:r>
    </w:p>
    <w:p w:rsidR="004050D8" w:rsidRPr="00E24751" w:rsidRDefault="004050D8" w:rsidP="004050D8">
      <w:pPr>
        <w:spacing w:after="0" w:line="240" w:lineRule="auto"/>
        <w:ind w:left="5664"/>
        <w:jc w:val="right"/>
        <w:rPr>
          <w:rFonts w:ascii="Times New Roman" w:eastAsia="Times New Roman" w:hAnsi="Times New Roman"/>
          <w:sz w:val="24"/>
          <w:szCs w:val="28"/>
          <w:lang w:eastAsia="ru-RU"/>
        </w:rPr>
      </w:pPr>
      <w:r w:rsidRPr="00E24751">
        <w:rPr>
          <w:rFonts w:ascii="Times New Roman" w:eastAsia="Times New Roman" w:hAnsi="Times New Roman"/>
          <w:sz w:val="24"/>
          <w:szCs w:val="28"/>
          <w:lang w:eastAsia="ru-RU"/>
        </w:rPr>
        <w:t>доцент кафедры мировой политики</w:t>
      </w:r>
      <w:r w:rsidRPr="00E24751">
        <w:rPr>
          <w:rFonts w:ascii="Times New Roman" w:eastAsia="Times New Roman" w:hAnsi="Times New Roman"/>
          <w:sz w:val="24"/>
          <w:szCs w:val="28"/>
          <w:lang w:eastAsia="ru-RU"/>
        </w:rPr>
        <w:br/>
        <w:t>Ковалевская Н.В.</w:t>
      </w:r>
    </w:p>
    <w:p w:rsidR="004050D8" w:rsidRPr="00E24751" w:rsidRDefault="004050D8" w:rsidP="004050D8">
      <w:pPr>
        <w:widowControl w:val="0"/>
        <w:autoSpaceDE w:val="0"/>
        <w:autoSpaceDN w:val="0"/>
        <w:spacing w:after="0" w:line="240" w:lineRule="auto"/>
        <w:ind w:left="5040"/>
        <w:jc w:val="right"/>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 xml:space="preserve">Студент: </w:t>
      </w:r>
    </w:p>
    <w:p w:rsidR="004050D8" w:rsidRPr="00E24751" w:rsidRDefault="004050D8" w:rsidP="004050D8">
      <w:pPr>
        <w:widowControl w:val="0"/>
        <w:autoSpaceDE w:val="0"/>
        <w:autoSpaceDN w:val="0"/>
        <w:spacing w:after="0" w:line="360" w:lineRule="auto"/>
        <w:ind w:firstLine="340"/>
        <w:jc w:val="both"/>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 xml:space="preserve">Научный руководитель: </w:t>
      </w:r>
    </w:p>
    <w:p w:rsidR="004050D8" w:rsidRPr="00E24751" w:rsidRDefault="004050D8" w:rsidP="004050D8">
      <w:pPr>
        <w:widowControl w:val="0"/>
        <w:autoSpaceDE w:val="0"/>
        <w:autoSpaceDN w:val="0"/>
        <w:spacing w:after="0" w:line="360" w:lineRule="auto"/>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both"/>
        <w:rPr>
          <w:rFonts w:ascii="Times New Roman" w:eastAsia="Times New Roman" w:hAnsi="Times New Roman"/>
          <w:sz w:val="24"/>
          <w:szCs w:val="24"/>
          <w:lang w:eastAsia="ru-RU"/>
        </w:rPr>
      </w:pPr>
    </w:p>
    <w:p w:rsidR="004050D8" w:rsidRPr="00E24751"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Санкт-Петербург</w:t>
      </w:r>
    </w:p>
    <w:p w:rsidR="004050D8" w:rsidRPr="004050D8" w:rsidRDefault="004050D8" w:rsidP="004050D8">
      <w:pPr>
        <w:widowControl w:val="0"/>
        <w:autoSpaceDE w:val="0"/>
        <w:autoSpaceDN w:val="0"/>
        <w:spacing w:after="0" w:line="360" w:lineRule="auto"/>
        <w:ind w:firstLine="340"/>
        <w:jc w:val="center"/>
        <w:rPr>
          <w:rFonts w:ascii="Times New Roman" w:eastAsia="Times New Roman" w:hAnsi="Times New Roman"/>
          <w:sz w:val="24"/>
          <w:szCs w:val="24"/>
          <w:lang w:eastAsia="ru-RU"/>
        </w:rPr>
      </w:pPr>
      <w:r w:rsidRPr="00E24751">
        <w:rPr>
          <w:rFonts w:ascii="Times New Roman" w:eastAsia="Times New Roman" w:hAnsi="Times New Roman"/>
          <w:sz w:val="24"/>
          <w:szCs w:val="24"/>
          <w:lang w:eastAsia="ru-RU"/>
        </w:rPr>
        <w:t>201</w:t>
      </w:r>
      <w:r w:rsidRPr="004050D8">
        <w:rPr>
          <w:rFonts w:ascii="Times New Roman" w:eastAsia="Times New Roman" w:hAnsi="Times New Roman"/>
          <w:sz w:val="24"/>
          <w:szCs w:val="24"/>
          <w:lang w:eastAsia="ru-RU"/>
        </w:rPr>
        <w:t>7</w:t>
      </w:r>
    </w:p>
    <w:p w:rsidR="00BB5DC7" w:rsidRPr="00627A4F" w:rsidRDefault="00BB5DC7" w:rsidP="002D4F58">
      <w:pPr>
        <w:spacing w:after="0" w:line="360" w:lineRule="auto"/>
        <w:jc w:val="center"/>
        <w:rPr>
          <w:rFonts w:ascii="Times New Roman" w:hAnsi="Times New Roman"/>
          <w:b/>
          <w:sz w:val="28"/>
          <w:szCs w:val="28"/>
        </w:rPr>
      </w:pPr>
      <w:r>
        <w:rPr>
          <w:rFonts w:ascii="Times New Roman" w:hAnsi="Times New Roman"/>
          <w:sz w:val="28"/>
          <w:szCs w:val="28"/>
        </w:rPr>
        <w:br w:type="page"/>
      </w:r>
      <w:r w:rsidRPr="00627A4F">
        <w:rPr>
          <w:rFonts w:ascii="Times New Roman" w:hAnsi="Times New Roman"/>
          <w:b/>
          <w:sz w:val="28"/>
          <w:szCs w:val="28"/>
        </w:rPr>
        <w:lastRenderedPageBreak/>
        <w:t>Оглавление</w:t>
      </w:r>
      <w:bookmarkStart w:id="0" w:name="_GoBack"/>
      <w:bookmarkEnd w:id="0"/>
    </w:p>
    <w:p w:rsidR="00BB5DC7" w:rsidRPr="00627A4F" w:rsidRDefault="00BB5DC7" w:rsidP="00BB5DC7">
      <w:pPr>
        <w:spacing w:after="0" w:line="360" w:lineRule="auto"/>
        <w:jc w:val="both"/>
        <w:rPr>
          <w:rFonts w:ascii="Times New Roman" w:hAnsi="Times New Roman"/>
          <w:sz w:val="28"/>
          <w:szCs w:val="28"/>
        </w:rPr>
      </w:pPr>
    </w:p>
    <w:p w:rsidR="00BB5DC7" w:rsidRPr="009B5184" w:rsidRDefault="00BB5DC7" w:rsidP="00BB5DC7">
      <w:pPr>
        <w:pStyle w:val="11"/>
        <w:tabs>
          <w:tab w:val="right" w:leader="dot" w:pos="9345"/>
        </w:tabs>
        <w:spacing w:after="0" w:line="360" w:lineRule="auto"/>
        <w:rPr>
          <w:rFonts w:ascii="Times New Roman" w:eastAsia="Times New Roman" w:hAnsi="Times New Roman"/>
          <w:noProof/>
          <w:sz w:val="28"/>
          <w:szCs w:val="28"/>
          <w:lang w:eastAsia="ru-RU"/>
        </w:rPr>
      </w:pPr>
      <w:r w:rsidRPr="009B5184">
        <w:rPr>
          <w:rFonts w:ascii="Times New Roman" w:hAnsi="Times New Roman"/>
          <w:sz w:val="28"/>
          <w:szCs w:val="28"/>
        </w:rPr>
        <w:fldChar w:fldCharType="begin"/>
      </w:r>
      <w:r w:rsidRPr="009B5184">
        <w:rPr>
          <w:rFonts w:ascii="Times New Roman" w:hAnsi="Times New Roman"/>
          <w:sz w:val="28"/>
          <w:szCs w:val="28"/>
        </w:rPr>
        <w:instrText xml:space="preserve"> TOC \o "1-3" \h \z \u </w:instrText>
      </w:r>
      <w:r w:rsidRPr="009B5184">
        <w:rPr>
          <w:rFonts w:ascii="Times New Roman" w:hAnsi="Times New Roman"/>
          <w:sz w:val="28"/>
          <w:szCs w:val="28"/>
        </w:rPr>
        <w:fldChar w:fldCharType="separate"/>
      </w:r>
      <w:hyperlink w:anchor="_Toc479667913" w:history="1">
        <w:r w:rsidRPr="009B5184">
          <w:rPr>
            <w:rStyle w:val="a5"/>
            <w:rFonts w:ascii="Times New Roman" w:hAnsi="Times New Roman"/>
            <w:noProof/>
            <w:sz w:val="28"/>
            <w:szCs w:val="28"/>
          </w:rPr>
          <w:t>Введение</w:t>
        </w:r>
        <w:r w:rsidRPr="009B5184">
          <w:rPr>
            <w:rFonts w:ascii="Times New Roman" w:hAnsi="Times New Roman"/>
            <w:noProof/>
            <w:webHidden/>
            <w:sz w:val="28"/>
            <w:szCs w:val="28"/>
          </w:rPr>
          <w:tab/>
        </w:r>
        <w:r w:rsidRPr="009B5184">
          <w:rPr>
            <w:rFonts w:ascii="Times New Roman" w:hAnsi="Times New Roman"/>
            <w:noProof/>
            <w:webHidden/>
            <w:sz w:val="28"/>
            <w:szCs w:val="28"/>
          </w:rPr>
          <w:fldChar w:fldCharType="begin"/>
        </w:r>
        <w:r w:rsidRPr="009B5184">
          <w:rPr>
            <w:rFonts w:ascii="Times New Roman" w:hAnsi="Times New Roman"/>
            <w:noProof/>
            <w:webHidden/>
            <w:sz w:val="28"/>
            <w:szCs w:val="28"/>
          </w:rPr>
          <w:instrText xml:space="preserve"> PAGEREF _Toc479667913 \h </w:instrText>
        </w:r>
        <w:r w:rsidRPr="009B5184">
          <w:rPr>
            <w:rFonts w:ascii="Times New Roman" w:hAnsi="Times New Roman"/>
            <w:noProof/>
            <w:webHidden/>
            <w:sz w:val="28"/>
            <w:szCs w:val="28"/>
          </w:rPr>
        </w:r>
        <w:r w:rsidRPr="009B5184">
          <w:rPr>
            <w:rFonts w:ascii="Times New Roman" w:hAnsi="Times New Roman"/>
            <w:noProof/>
            <w:webHidden/>
            <w:sz w:val="28"/>
            <w:szCs w:val="28"/>
          </w:rPr>
          <w:fldChar w:fldCharType="separate"/>
        </w:r>
        <w:r>
          <w:rPr>
            <w:rFonts w:ascii="Times New Roman" w:hAnsi="Times New Roman"/>
            <w:noProof/>
            <w:webHidden/>
            <w:sz w:val="28"/>
            <w:szCs w:val="28"/>
          </w:rPr>
          <w:t>3</w:t>
        </w:r>
        <w:r w:rsidRPr="009B5184">
          <w:rPr>
            <w:rFonts w:ascii="Times New Roman" w:hAnsi="Times New Roman"/>
            <w:noProof/>
            <w:webHidden/>
            <w:sz w:val="28"/>
            <w:szCs w:val="28"/>
          </w:rPr>
          <w:fldChar w:fldCharType="end"/>
        </w:r>
      </w:hyperlink>
    </w:p>
    <w:p w:rsidR="00BB5DC7" w:rsidRPr="009B5184" w:rsidRDefault="0097487A" w:rsidP="00BB5DC7">
      <w:pPr>
        <w:pStyle w:val="11"/>
        <w:tabs>
          <w:tab w:val="right" w:leader="dot" w:pos="9345"/>
        </w:tabs>
        <w:spacing w:after="0" w:line="360" w:lineRule="auto"/>
        <w:rPr>
          <w:rFonts w:ascii="Times New Roman" w:eastAsia="Times New Roman" w:hAnsi="Times New Roman"/>
          <w:noProof/>
          <w:sz w:val="28"/>
          <w:szCs w:val="28"/>
          <w:lang w:eastAsia="ru-RU"/>
        </w:rPr>
      </w:pPr>
      <w:hyperlink w:anchor="_Toc479667914" w:history="1">
        <w:r w:rsidR="00BB5DC7" w:rsidRPr="009B5184">
          <w:rPr>
            <w:rStyle w:val="a5"/>
            <w:rFonts w:ascii="Times New Roman" w:hAnsi="Times New Roman"/>
            <w:noProof/>
            <w:sz w:val="28"/>
            <w:szCs w:val="28"/>
          </w:rPr>
          <w:t>Глава 1. Мировой энергетический рынок и страны БРИКС</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_Toc479667914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6</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15" w:history="1">
        <w:r w:rsidR="00BB5DC7" w:rsidRPr="009B5184">
          <w:rPr>
            <w:rStyle w:val="a5"/>
            <w:rFonts w:ascii="Times New Roman" w:hAnsi="Times New Roman"/>
            <w:noProof/>
            <w:sz w:val="28"/>
            <w:szCs w:val="28"/>
          </w:rPr>
          <w:t>1.1 Особенности мирового энергетического рынка</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_Toc479667915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6</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18" w:history="1">
        <w:r w:rsidR="00BB5DC7" w:rsidRPr="009B5184">
          <w:rPr>
            <w:rStyle w:val="a5"/>
            <w:rFonts w:ascii="Times New Roman" w:hAnsi="Times New Roman"/>
            <w:noProof/>
            <w:sz w:val="28"/>
            <w:szCs w:val="28"/>
          </w:rPr>
          <w:t>1.2 Место и роль стран БРИКС на мировом энергетическом рынке</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_Toc479667918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17</w:t>
        </w:r>
        <w:r w:rsidR="00BB5DC7" w:rsidRPr="009B5184">
          <w:rPr>
            <w:rFonts w:ascii="Times New Roman" w:hAnsi="Times New Roman"/>
            <w:noProof/>
            <w:webHidden/>
            <w:sz w:val="28"/>
            <w:szCs w:val="28"/>
          </w:rPr>
          <w:fldChar w:fldCharType="end"/>
        </w:r>
      </w:hyperlink>
    </w:p>
    <w:p w:rsidR="00BB5DC7" w:rsidRPr="009B5184" w:rsidRDefault="0097487A" w:rsidP="00BB5DC7">
      <w:pPr>
        <w:pStyle w:val="11"/>
        <w:tabs>
          <w:tab w:val="right" w:leader="dot" w:pos="9345"/>
        </w:tabs>
        <w:spacing w:after="0" w:line="360" w:lineRule="auto"/>
        <w:rPr>
          <w:rFonts w:ascii="Times New Roman" w:eastAsia="Times New Roman" w:hAnsi="Times New Roman"/>
          <w:noProof/>
          <w:sz w:val="28"/>
          <w:szCs w:val="28"/>
          <w:lang w:eastAsia="ru-RU"/>
        </w:rPr>
      </w:pPr>
      <w:hyperlink w:anchor="_Toc479667919" w:history="1">
        <w:r w:rsidR="00BB5DC7" w:rsidRPr="009B5184">
          <w:rPr>
            <w:rStyle w:val="a5"/>
            <w:rFonts w:ascii="Times New Roman" w:hAnsi="Times New Roman"/>
            <w:noProof/>
            <w:sz w:val="28"/>
            <w:szCs w:val="28"/>
          </w:rPr>
          <w:t>Глава 2. Современное состояние сотрудничества России и стран БРИКС в области энергетики</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_Toc479667919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25</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20" w:history="1">
        <w:r w:rsidR="00BB5DC7" w:rsidRPr="009B5184">
          <w:rPr>
            <w:rStyle w:val="a5"/>
            <w:rFonts w:ascii="Times New Roman" w:hAnsi="Times New Roman"/>
            <w:noProof/>
            <w:sz w:val="28"/>
            <w:szCs w:val="28"/>
          </w:rPr>
          <w:t>2.1 Уровень развития энергетического взаимодействия России со странами БРИКС</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_Toc479667920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25</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21" w:history="1">
        <w:r w:rsidR="00BB5DC7" w:rsidRPr="009B5184">
          <w:rPr>
            <w:rStyle w:val="a5"/>
            <w:rFonts w:ascii="Times New Roman" w:hAnsi="Times New Roman"/>
            <w:noProof/>
            <w:sz w:val="28"/>
            <w:szCs w:val="28"/>
          </w:rPr>
          <w:t>2.2 Энергетическое сотрудничество между странами БРИКС</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_Toc479667921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32</w:t>
        </w:r>
        <w:r w:rsidR="00BB5DC7" w:rsidRPr="009B5184">
          <w:rPr>
            <w:rFonts w:ascii="Times New Roman" w:hAnsi="Times New Roman"/>
            <w:noProof/>
            <w:webHidden/>
            <w:sz w:val="28"/>
            <w:szCs w:val="28"/>
          </w:rPr>
          <w:fldChar w:fldCharType="end"/>
        </w:r>
      </w:hyperlink>
    </w:p>
    <w:p w:rsidR="00BB5DC7" w:rsidRPr="009B5184" w:rsidRDefault="0097487A" w:rsidP="00BB5DC7">
      <w:pPr>
        <w:pStyle w:val="11"/>
        <w:tabs>
          <w:tab w:val="right" w:leader="dot" w:pos="9345"/>
        </w:tabs>
        <w:spacing w:after="0" w:line="360" w:lineRule="auto"/>
        <w:rPr>
          <w:rFonts w:ascii="Times New Roman" w:eastAsia="Times New Roman" w:hAnsi="Times New Roman"/>
          <w:noProof/>
          <w:sz w:val="28"/>
          <w:szCs w:val="28"/>
          <w:lang w:eastAsia="ru-RU"/>
        </w:rPr>
      </w:pPr>
      <w:hyperlink w:anchor="_Toc479667922" w:history="1">
        <w:r w:rsidR="00BB5DC7" w:rsidRPr="009B5184">
          <w:rPr>
            <w:rStyle w:val="a5"/>
            <w:rFonts w:ascii="Times New Roman" w:hAnsi="Times New Roman"/>
            <w:noProof/>
            <w:sz w:val="28"/>
            <w:szCs w:val="28"/>
          </w:rPr>
          <w:t>Глава 3. Перспективы энергетического сотрудничества России и стран БРИКС</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_Toc479667922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41</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23" w:history="1">
        <w:r w:rsidR="00BB5DC7" w:rsidRPr="009B5184">
          <w:rPr>
            <w:rStyle w:val="a5"/>
            <w:rFonts w:ascii="Times New Roman" w:hAnsi="Times New Roman"/>
            <w:noProof/>
            <w:sz w:val="28"/>
            <w:szCs w:val="28"/>
          </w:rPr>
          <w:t>3.1 КНР как ключевой партнер России в рамках БРИКС в сфере энергетики</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_Toc479667923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41</w:t>
        </w:r>
        <w:r w:rsidR="00BB5DC7" w:rsidRPr="009B5184">
          <w:rPr>
            <w:rFonts w:ascii="Times New Roman" w:hAnsi="Times New Roman"/>
            <w:noProof/>
            <w:webHidden/>
            <w:sz w:val="28"/>
            <w:szCs w:val="28"/>
          </w:rPr>
          <w:fldChar w:fldCharType="end"/>
        </w:r>
      </w:hyperlink>
    </w:p>
    <w:p w:rsidR="00BB5DC7" w:rsidRPr="009B5184" w:rsidRDefault="0097487A" w:rsidP="00BB5DC7">
      <w:pPr>
        <w:pStyle w:val="21"/>
        <w:tabs>
          <w:tab w:val="right" w:leader="dot" w:pos="9345"/>
        </w:tabs>
        <w:spacing w:after="0" w:line="360" w:lineRule="auto"/>
        <w:rPr>
          <w:rFonts w:ascii="Times New Roman" w:eastAsia="Times New Roman" w:hAnsi="Times New Roman"/>
          <w:noProof/>
          <w:sz w:val="28"/>
          <w:szCs w:val="28"/>
          <w:lang w:eastAsia="ru-RU"/>
        </w:rPr>
      </w:pPr>
      <w:hyperlink w:anchor="_Toc479667924" w:history="1">
        <w:r w:rsidR="00BB5DC7" w:rsidRPr="009B5184">
          <w:rPr>
            <w:rStyle w:val="a5"/>
            <w:rFonts w:ascii="Times New Roman" w:hAnsi="Times New Roman"/>
            <w:noProof/>
            <w:sz w:val="28"/>
            <w:szCs w:val="28"/>
          </w:rPr>
          <w:t>3.2 Перспективные направления взаимного энергетического сотрудничества в рамках БРИКС</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_Toc479667924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50</w:t>
        </w:r>
        <w:r w:rsidR="00BB5DC7" w:rsidRPr="009B5184">
          <w:rPr>
            <w:rFonts w:ascii="Times New Roman" w:hAnsi="Times New Roman"/>
            <w:noProof/>
            <w:webHidden/>
            <w:sz w:val="28"/>
            <w:szCs w:val="28"/>
          </w:rPr>
          <w:fldChar w:fldCharType="end"/>
        </w:r>
      </w:hyperlink>
    </w:p>
    <w:p w:rsidR="00BB5DC7" w:rsidRPr="009B5184" w:rsidRDefault="0097487A" w:rsidP="00BB5DC7">
      <w:pPr>
        <w:pStyle w:val="11"/>
        <w:tabs>
          <w:tab w:val="right" w:leader="dot" w:pos="9345"/>
        </w:tabs>
        <w:spacing w:after="0" w:line="360" w:lineRule="auto"/>
        <w:rPr>
          <w:rFonts w:ascii="Times New Roman" w:eastAsia="Times New Roman" w:hAnsi="Times New Roman"/>
          <w:noProof/>
          <w:sz w:val="28"/>
          <w:szCs w:val="28"/>
          <w:lang w:eastAsia="ru-RU"/>
        </w:rPr>
      </w:pPr>
      <w:hyperlink w:anchor="_Toc479667925" w:history="1">
        <w:r w:rsidR="00BB5DC7" w:rsidRPr="009B5184">
          <w:rPr>
            <w:rStyle w:val="a5"/>
            <w:rFonts w:ascii="Times New Roman" w:hAnsi="Times New Roman"/>
            <w:noProof/>
            <w:sz w:val="28"/>
            <w:szCs w:val="28"/>
          </w:rPr>
          <w:t>Заключение</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_Toc479667925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54</w:t>
        </w:r>
        <w:r w:rsidR="00BB5DC7" w:rsidRPr="009B5184">
          <w:rPr>
            <w:rFonts w:ascii="Times New Roman" w:hAnsi="Times New Roman"/>
            <w:noProof/>
            <w:webHidden/>
            <w:sz w:val="28"/>
            <w:szCs w:val="28"/>
          </w:rPr>
          <w:fldChar w:fldCharType="end"/>
        </w:r>
      </w:hyperlink>
    </w:p>
    <w:p w:rsidR="00BB5DC7" w:rsidRPr="009B5184" w:rsidRDefault="0097487A" w:rsidP="00BB5DC7">
      <w:pPr>
        <w:pStyle w:val="11"/>
        <w:tabs>
          <w:tab w:val="right" w:leader="dot" w:pos="9345"/>
        </w:tabs>
        <w:spacing w:after="0" w:line="360" w:lineRule="auto"/>
        <w:rPr>
          <w:rFonts w:ascii="Times New Roman" w:eastAsia="Times New Roman" w:hAnsi="Times New Roman"/>
          <w:noProof/>
          <w:sz w:val="28"/>
          <w:szCs w:val="28"/>
          <w:lang w:eastAsia="ru-RU"/>
        </w:rPr>
      </w:pPr>
      <w:hyperlink w:anchor="_Toc479667926" w:history="1">
        <w:r w:rsidR="00BB5DC7" w:rsidRPr="009B5184">
          <w:rPr>
            <w:rStyle w:val="a5"/>
            <w:rFonts w:ascii="Times New Roman" w:hAnsi="Times New Roman"/>
            <w:noProof/>
            <w:sz w:val="28"/>
            <w:szCs w:val="28"/>
          </w:rPr>
          <w:t>Список использованных источников и литературы</w:t>
        </w:r>
        <w:r w:rsidR="00BB5DC7" w:rsidRPr="009B5184">
          <w:rPr>
            <w:rFonts w:ascii="Times New Roman" w:hAnsi="Times New Roman"/>
            <w:noProof/>
            <w:webHidden/>
            <w:sz w:val="28"/>
            <w:szCs w:val="28"/>
          </w:rPr>
          <w:tab/>
        </w:r>
        <w:r w:rsidR="00BB5DC7" w:rsidRPr="009B5184">
          <w:rPr>
            <w:rFonts w:ascii="Times New Roman" w:hAnsi="Times New Roman"/>
            <w:noProof/>
            <w:webHidden/>
            <w:sz w:val="28"/>
            <w:szCs w:val="28"/>
          </w:rPr>
          <w:fldChar w:fldCharType="begin"/>
        </w:r>
        <w:r w:rsidR="00BB5DC7" w:rsidRPr="009B5184">
          <w:rPr>
            <w:rFonts w:ascii="Times New Roman" w:hAnsi="Times New Roman"/>
            <w:noProof/>
            <w:webHidden/>
            <w:sz w:val="28"/>
            <w:szCs w:val="28"/>
          </w:rPr>
          <w:instrText xml:space="preserve"> PAGEREF _Toc479667926 \h </w:instrText>
        </w:r>
        <w:r w:rsidR="00BB5DC7" w:rsidRPr="009B5184">
          <w:rPr>
            <w:rFonts w:ascii="Times New Roman" w:hAnsi="Times New Roman"/>
            <w:noProof/>
            <w:webHidden/>
            <w:sz w:val="28"/>
            <w:szCs w:val="28"/>
          </w:rPr>
        </w:r>
        <w:r w:rsidR="00BB5DC7" w:rsidRPr="009B5184">
          <w:rPr>
            <w:rFonts w:ascii="Times New Roman" w:hAnsi="Times New Roman"/>
            <w:noProof/>
            <w:webHidden/>
            <w:sz w:val="28"/>
            <w:szCs w:val="28"/>
          </w:rPr>
          <w:fldChar w:fldCharType="separate"/>
        </w:r>
        <w:r w:rsidR="00BB5DC7">
          <w:rPr>
            <w:rFonts w:ascii="Times New Roman" w:hAnsi="Times New Roman"/>
            <w:noProof/>
            <w:webHidden/>
            <w:sz w:val="28"/>
            <w:szCs w:val="28"/>
          </w:rPr>
          <w:t>57</w:t>
        </w:r>
        <w:r w:rsidR="00BB5DC7" w:rsidRPr="009B5184">
          <w:rPr>
            <w:rFonts w:ascii="Times New Roman" w:hAnsi="Times New Roman"/>
            <w:noProof/>
            <w:webHidden/>
            <w:sz w:val="28"/>
            <w:szCs w:val="28"/>
          </w:rPr>
          <w:fldChar w:fldCharType="end"/>
        </w:r>
      </w:hyperlink>
    </w:p>
    <w:p w:rsidR="00BB5DC7" w:rsidRDefault="00BB5DC7" w:rsidP="00BB5DC7">
      <w:pPr>
        <w:spacing w:after="0" w:line="360" w:lineRule="auto"/>
        <w:rPr>
          <w:rFonts w:ascii="Times New Roman" w:hAnsi="Times New Roman"/>
          <w:sz w:val="28"/>
          <w:szCs w:val="28"/>
        </w:rPr>
      </w:pPr>
      <w:r w:rsidRPr="009B5184">
        <w:rPr>
          <w:rFonts w:ascii="Times New Roman" w:hAnsi="Times New Roman"/>
          <w:sz w:val="28"/>
          <w:szCs w:val="28"/>
        </w:rPr>
        <w:fldChar w:fldCharType="end"/>
      </w:r>
    </w:p>
    <w:p w:rsidR="00BB5DC7" w:rsidRDefault="00BB5DC7" w:rsidP="00BB5DC7">
      <w:pPr>
        <w:spacing w:after="0" w:line="360" w:lineRule="auto"/>
        <w:jc w:val="both"/>
        <w:rPr>
          <w:rFonts w:ascii="Times New Roman" w:hAnsi="Times New Roman"/>
          <w:sz w:val="28"/>
          <w:szCs w:val="28"/>
        </w:rPr>
      </w:pPr>
    </w:p>
    <w:p w:rsidR="00BB5DC7" w:rsidRPr="00627A4F" w:rsidRDefault="00BB5DC7" w:rsidP="00BB5DC7">
      <w:pPr>
        <w:pStyle w:val="1"/>
        <w:spacing w:before="0" w:after="0" w:line="360" w:lineRule="auto"/>
        <w:jc w:val="center"/>
        <w:rPr>
          <w:rFonts w:ascii="Times New Roman" w:hAnsi="Times New Roman"/>
          <w:sz w:val="28"/>
          <w:szCs w:val="28"/>
        </w:rPr>
      </w:pPr>
      <w:r>
        <w:br w:type="page"/>
      </w:r>
      <w:bookmarkStart w:id="1" w:name="_Toc479667913"/>
      <w:r w:rsidRPr="00627A4F">
        <w:rPr>
          <w:rFonts w:ascii="Times New Roman" w:hAnsi="Times New Roman"/>
          <w:sz w:val="28"/>
          <w:szCs w:val="28"/>
        </w:rPr>
        <w:lastRenderedPageBreak/>
        <w:t>Введение</w:t>
      </w:r>
      <w:bookmarkEnd w:id="1"/>
    </w:p>
    <w:p w:rsidR="00BB5DC7" w:rsidRDefault="00BB5DC7" w:rsidP="00BB5DC7">
      <w:pPr>
        <w:spacing w:after="0" w:line="360" w:lineRule="auto"/>
        <w:jc w:val="both"/>
        <w:rPr>
          <w:rFonts w:ascii="Times New Roman" w:hAnsi="Times New Roman"/>
          <w:sz w:val="28"/>
          <w:szCs w:val="28"/>
        </w:rPr>
      </w:pPr>
    </w:p>
    <w:p w:rsidR="00BB5DC7" w:rsidRPr="00204C65" w:rsidRDefault="00BB5DC7" w:rsidP="00BB5DC7">
      <w:pPr>
        <w:spacing w:after="0" w:line="360" w:lineRule="auto"/>
        <w:ind w:firstLine="708"/>
        <w:jc w:val="both"/>
        <w:rPr>
          <w:rFonts w:ascii="Times New Roman" w:hAnsi="Times New Roman"/>
          <w:sz w:val="28"/>
          <w:szCs w:val="28"/>
        </w:rPr>
      </w:pPr>
      <w:r w:rsidRPr="00B67BF3">
        <w:rPr>
          <w:rFonts w:ascii="Times New Roman" w:hAnsi="Times New Roman"/>
          <w:b/>
          <w:sz w:val="28"/>
          <w:szCs w:val="28"/>
        </w:rPr>
        <w:t>Актуальность исследования</w:t>
      </w:r>
      <w:r w:rsidRPr="00D421B0">
        <w:rPr>
          <w:rFonts w:ascii="Times New Roman" w:hAnsi="Times New Roman"/>
          <w:sz w:val="28"/>
          <w:szCs w:val="28"/>
        </w:rPr>
        <w:t xml:space="preserve">. </w:t>
      </w:r>
      <w:r w:rsidRPr="00204C65">
        <w:rPr>
          <w:rFonts w:ascii="Times New Roman" w:hAnsi="Times New Roman"/>
          <w:sz w:val="28"/>
          <w:szCs w:val="28"/>
        </w:rPr>
        <w:t xml:space="preserve">На современном этапе мировой рынок </w:t>
      </w:r>
      <w:r>
        <w:rPr>
          <w:rFonts w:ascii="Times New Roman" w:hAnsi="Times New Roman"/>
          <w:sz w:val="28"/>
          <w:szCs w:val="28"/>
        </w:rPr>
        <w:t>энергоносителей</w:t>
      </w:r>
      <w:r w:rsidRPr="00204C65">
        <w:rPr>
          <w:rFonts w:ascii="Times New Roman" w:hAnsi="Times New Roman"/>
          <w:sz w:val="28"/>
          <w:szCs w:val="28"/>
        </w:rPr>
        <w:t xml:space="preserve"> </w:t>
      </w:r>
      <w:proofErr w:type="gramStart"/>
      <w:r w:rsidRPr="00204C65">
        <w:rPr>
          <w:rFonts w:ascii="Times New Roman" w:hAnsi="Times New Roman"/>
          <w:sz w:val="28"/>
          <w:szCs w:val="28"/>
        </w:rPr>
        <w:t>играет огромное значение</w:t>
      </w:r>
      <w:proofErr w:type="gramEnd"/>
      <w:r w:rsidRPr="00204C65">
        <w:rPr>
          <w:rFonts w:ascii="Times New Roman" w:hAnsi="Times New Roman"/>
          <w:sz w:val="28"/>
          <w:szCs w:val="28"/>
        </w:rPr>
        <w:t xml:space="preserve"> не только в мировой экономике, но и в мировой политике. В конце ХХ – начале XXI вв. можно выделить большое количество политических и геополитических процессов, которые оказали серьезное влияние на развитие данного рынка. В частности, трансформировалась структура отрасли, особенности </w:t>
      </w:r>
      <w:proofErr w:type="spellStart"/>
      <w:r w:rsidRPr="00204C65">
        <w:rPr>
          <w:rFonts w:ascii="Times New Roman" w:hAnsi="Times New Roman"/>
          <w:sz w:val="28"/>
          <w:szCs w:val="28"/>
        </w:rPr>
        <w:t>либерализационных</w:t>
      </w:r>
      <w:proofErr w:type="spellEnd"/>
      <w:r w:rsidRPr="00204C65">
        <w:rPr>
          <w:rFonts w:ascii="Times New Roman" w:hAnsi="Times New Roman"/>
          <w:sz w:val="28"/>
          <w:szCs w:val="28"/>
        </w:rPr>
        <w:t xml:space="preserve"> процессов, основы ценообразования.</w:t>
      </w:r>
    </w:p>
    <w:p w:rsidR="00BB5DC7" w:rsidRPr="00204C65" w:rsidRDefault="00BB5DC7" w:rsidP="00BB5DC7">
      <w:pPr>
        <w:spacing w:after="0" w:line="360" w:lineRule="auto"/>
        <w:jc w:val="both"/>
        <w:rPr>
          <w:rFonts w:ascii="Times New Roman" w:hAnsi="Times New Roman"/>
          <w:sz w:val="28"/>
          <w:szCs w:val="28"/>
        </w:rPr>
      </w:pPr>
      <w:r w:rsidRPr="00204C65">
        <w:rPr>
          <w:rFonts w:ascii="Times New Roman" w:hAnsi="Times New Roman"/>
          <w:sz w:val="28"/>
          <w:szCs w:val="28"/>
        </w:rPr>
        <w:tab/>
        <w:t xml:space="preserve">Для всех развитых стран энергетический фактор играет определяющую роль. </w:t>
      </w:r>
      <w:proofErr w:type="gramStart"/>
      <w:r w:rsidRPr="00204C65">
        <w:rPr>
          <w:rFonts w:ascii="Times New Roman" w:hAnsi="Times New Roman"/>
          <w:sz w:val="28"/>
          <w:szCs w:val="28"/>
        </w:rPr>
        <w:t>Так, самые крупные западные и азиатские государства – Соединенные Штаты, Япония, Франция, Великобритания, Германия, Нидерланды, Китай и др. – состоят в десятке крупнейших потребителей нефти.</w:t>
      </w:r>
      <w:proofErr w:type="gramEnd"/>
      <w:r w:rsidRPr="00204C65">
        <w:rPr>
          <w:rFonts w:ascii="Times New Roman" w:hAnsi="Times New Roman"/>
          <w:sz w:val="28"/>
          <w:szCs w:val="28"/>
        </w:rPr>
        <w:t xml:space="preserve"> В этой связи каждое изменение на рынке данного вида сырья влияет на обстановку в этих странах. Государства, которые экспортируют нефть и природный газ, также серьезно зависят от любых изменений в данной области. </w:t>
      </w:r>
    </w:p>
    <w:p w:rsidR="00BB5DC7"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Россия, обладая большими запасами топливно-энергетических ресурсов, является одной из ведущих энергетических держав мира. От регулярных поставок российских энергоресурсов во многом зависит эффективное функционирование экономик ряда стран Европы и Азии. Сама российская экономика в значительной степени зависит от цен на экспортируемые энергоресурсы.</w:t>
      </w:r>
    </w:p>
    <w:p w:rsidR="00BB5DC7" w:rsidRDefault="00BB5DC7" w:rsidP="00BB5DC7">
      <w:pPr>
        <w:spacing w:after="0" w:line="360" w:lineRule="auto"/>
        <w:ind w:firstLine="708"/>
        <w:jc w:val="both"/>
        <w:rPr>
          <w:rFonts w:ascii="Times New Roman" w:hAnsi="Times New Roman"/>
          <w:sz w:val="28"/>
          <w:szCs w:val="28"/>
        </w:rPr>
      </w:pPr>
      <w:r w:rsidRPr="00D421B0">
        <w:rPr>
          <w:rFonts w:ascii="Times New Roman" w:hAnsi="Times New Roman"/>
          <w:sz w:val="28"/>
          <w:szCs w:val="28"/>
        </w:rPr>
        <w:t xml:space="preserve">Важной тенденцией современной мировой экономики является усиленное развитие развивающихся государств, их место и роль постоянно укрепляются. Речь идет о государствах БРИКС (Бразилия, Россия, Индия, Китай и ЮАР). </w:t>
      </w:r>
    </w:p>
    <w:p w:rsidR="00BB5DC7" w:rsidRPr="00D421B0"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группу стран БРИКС </w:t>
      </w:r>
      <w:r w:rsidRPr="00D421B0">
        <w:rPr>
          <w:rFonts w:ascii="Times New Roman" w:hAnsi="Times New Roman"/>
          <w:sz w:val="28"/>
          <w:szCs w:val="28"/>
        </w:rPr>
        <w:t>приходится 42% населения планеты, 20% мирового ВВП, 15% международной торговли</w:t>
      </w:r>
      <w:r>
        <w:rPr>
          <w:rFonts w:ascii="Times New Roman" w:hAnsi="Times New Roman"/>
          <w:sz w:val="28"/>
          <w:szCs w:val="28"/>
        </w:rPr>
        <w:t>. Каждый год экономические</w:t>
      </w:r>
      <w:r w:rsidRPr="00D421B0">
        <w:rPr>
          <w:rFonts w:ascii="Times New Roman" w:hAnsi="Times New Roman"/>
          <w:sz w:val="28"/>
          <w:szCs w:val="28"/>
        </w:rPr>
        <w:t xml:space="preserve"> показатели </w:t>
      </w:r>
      <w:r>
        <w:rPr>
          <w:rFonts w:ascii="Times New Roman" w:hAnsi="Times New Roman"/>
          <w:sz w:val="28"/>
          <w:szCs w:val="28"/>
        </w:rPr>
        <w:t xml:space="preserve">данных государств повышаются, </w:t>
      </w:r>
      <w:r w:rsidRPr="00D421B0">
        <w:rPr>
          <w:rFonts w:ascii="Times New Roman" w:hAnsi="Times New Roman"/>
          <w:sz w:val="28"/>
          <w:szCs w:val="28"/>
        </w:rPr>
        <w:t xml:space="preserve">приближаются к мировым </w:t>
      </w:r>
      <w:r w:rsidRPr="00D421B0">
        <w:rPr>
          <w:rFonts w:ascii="Times New Roman" w:hAnsi="Times New Roman"/>
          <w:sz w:val="28"/>
          <w:szCs w:val="28"/>
        </w:rPr>
        <w:lastRenderedPageBreak/>
        <w:t xml:space="preserve">экономически развитым лидерам. </w:t>
      </w:r>
      <w:r>
        <w:rPr>
          <w:rFonts w:ascii="Times New Roman" w:hAnsi="Times New Roman"/>
          <w:sz w:val="28"/>
          <w:szCs w:val="28"/>
        </w:rPr>
        <w:t xml:space="preserve"> Сегодня страны БРИКС признаются </w:t>
      </w:r>
      <w:r w:rsidRPr="00D421B0">
        <w:rPr>
          <w:rFonts w:ascii="Times New Roman" w:hAnsi="Times New Roman"/>
          <w:sz w:val="28"/>
          <w:szCs w:val="28"/>
        </w:rPr>
        <w:t>самыми представительными среди развивающихся экономических субъектов.</w:t>
      </w:r>
    </w:p>
    <w:p w:rsidR="00BB5DC7" w:rsidRDefault="00BB5DC7" w:rsidP="00BB5DC7">
      <w:pPr>
        <w:spacing w:after="0" w:line="360" w:lineRule="auto"/>
        <w:jc w:val="both"/>
        <w:rPr>
          <w:rFonts w:ascii="Times New Roman" w:hAnsi="Times New Roman"/>
          <w:sz w:val="28"/>
          <w:szCs w:val="28"/>
        </w:rPr>
      </w:pPr>
      <w:r w:rsidRPr="00D421B0">
        <w:rPr>
          <w:rFonts w:ascii="Times New Roman" w:hAnsi="Times New Roman"/>
          <w:sz w:val="28"/>
          <w:szCs w:val="28"/>
        </w:rPr>
        <w:t xml:space="preserve"> </w:t>
      </w:r>
      <w:r w:rsidRPr="00D421B0">
        <w:rPr>
          <w:rFonts w:ascii="Times New Roman" w:hAnsi="Times New Roman"/>
          <w:sz w:val="28"/>
          <w:szCs w:val="28"/>
        </w:rPr>
        <w:tab/>
        <w:t>В основе объединения государств БРИКС лежат в основном экономические вопросы.</w:t>
      </w:r>
      <w:r>
        <w:rPr>
          <w:rFonts w:ascii="Times New Roman" w:hAnsi="Times New Roman"/>
          <w:sz w:val="28"/>
          <w:szCs w:val="28"/>
        </w:rPr>
        <w:t xml:space="preserve"> Сегодня все чаще данные страны озвучивают свои планы об усилении энергетического сотрудничества на уровне БРИКС. Пока эти планы не имеют реального выражения, однако есть все предпосылки для их реализации. В данном исследовании основное внимание будет сосредоточено на нефтяной отрасли, которая имеет большие перспективы даже с учетом нынешних сложных тенденций развития.</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r>
      <w:r w:rsidRPr="00312EE6">
        <w:rPr>
          <w:rFonts w:ascii="Times New Roman" w:hAnsi="Times New Roman"/>
          <w:b/>
          <w:sz w:val="28"/>
          <w:szCs w:val="28"/>
        </w:rPr>
        <w:t>Объект исследования</w:t>
      </w:r>
      <w:r>
        <w:rPr>
          <w:rFonts w:ascii="Times New Roman" w:hAnsi="Times New Roman"/>
          <w:sz w:val="28"/>
          <w:szCs w:val="28"/>
        </w:rPr>
        <w:t xml:space="preserve"> – с</w:t>
      </w:r>
      <w:r w:rsidRPr="00422889">
        <w:rPr>
          <w:rFonts w:ascii="Times New Roman" w:hAnsi="Times New Roman"/>
          <w:sz w:val="28"/>
          <w:szCs w:val="28"/>
        </w:rPr>
        <w:t>отрудничеств</w:t>
      </w:r>
      <w:r>
        <w:rPr>
          <w:rFonts w:ascii="Times New Roman" w:hAnsi="Times New Roman"/>
          <w:sz w:val="28"/>
          <w:szCs w:val="28"/>
        </w:rPr>
        <w:t>о</w:t>
      </w:r>
      <w:r w:rsidRPr="00422889">
        <w:rPr>
          <w:rFonts w:ascii="Times New Roman" w:hAnsi="Times New Roman"/>
          <w:sz w:val="28"/>
          <w:szCs w:val="28"/>
        </w:rPr>
        <w:t xml:space="preserve"> России и стран БРИКС в области энергетики</w:t>
      </w:r>
      <w:r>
        <w:rPr>
          <w:rFonts w:ascii="Times New Roman" w:hAnsi="Times New Roman"/>
          <w:sz w:val="28"/>
          <w:szCs w:val="28"/>
        </w:rPr>
        <w:t>.</w:t>
      </w:r>
    </w:p>
    <w:p w:rsidR="00BB5DC7" w:rsidRDefault="00BB5DC7" w:rsidP="00BB5DC7">
      <w:pPr>
        <w:spacing w:after="0" w:line="360" w:lineRule="auto"/>
        <w:ind w:firstLine="708"/>
        <w:jc w:val="both"/>
        <w:rPr>
          <w:rFonts w:ascii="Times New Roman" w:hAnsi="Times New Roman"/>
          <w:sz w:val="28"/>
          <w:szCs w:val="28"/>
        </w:rPr>
      </w:pPr>
      <w:r w:rsidRPr="00312EE6">
        <w:rPr>
          <w:rFonts w:ascii="Times New Roman" w:hAnsi="Times New Roman"/>
          <w:b/>
          <w:sz w:val="28"/>
          <w:szCs w:val="28"/>
        </w:rPr>
        <w:t>Предмет исследования</w:t>
      </w:r>
      <w:r>
        <w:rPr>
          <w:rFonts w:ascii="Times New Roman" w:hAnsi="Times New Roman"/>
          <w:sz w:val="28"/>
          <w:szCs w:val="28"/>
        </w:rPr>
        <w:t xml:space="preserve"> – современное состояние и перспективы развития с</w:t>
      </w:r>
      <w:r w:rsidRPr="00422889">
        <w:rPr>
          <w:rFonts w:ascii="Times New Roman" w:hAnsi="Times New Roman"/>
          <w:sz w:val="28"/>
          <w:szCs w:val="28"/>
        </w:rPr>
        <w:t>отрудничеств</w:t>
      </w:r>
      <w:r>
        <w:rPr>
          <w:rFonts w:ascii="Times New Roman" w:hAnsi="Times New Roman"/>
          <w:sz w:val="28"/>
          <w:szCs w:val="28"/>
        </w:rPr>
        <w:t>а</w:t>
      </w:r>
      <w:r w:rsidRPr="00422889">
        <w:rPr>
          <w:rFonts w:ascii="Times New Roman" w:hAnsi="Times New Roman"/>
          <w:sz w:val="28"/>
          <w:szCs w:val="28"/>
        </w:rPr>
        <w:t xml:space="preserve"> России и стран БРИКС в области энергетики</w:t>
      </w:r>
      <w:r>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r>
      <w:r w:rsidRPr="00312EE6">
        <w:rPr>
          <w:rFonts w:ascii="Times New Roman" w:hAnsi="Times New Roman"/>
          <w:b/>
          <w:sz w:val="28"/>
          <w:szCs w:val="28"/>
        </w:rPr>
        <w:t>Целью исследования</w:t>
      </w:r>
      <w:r>
        <w:rPr>
          <w:rFonts w:ascii="Times New Roman" w:hAnsi="Times New Roman"/>
          <w:sz w:val="28"/>
          <w:szCs w:val="28"/>
        </w:rPr>
        <w:t xml:space="preserve"> является выявление современного состояния и перспектив развития с</w:t>
      </w:r>
      <w:r w:rsidRPr="00422889">
        <w:rPr>
          <w:rFonts w:ascii="Times New Roman" w:hAnsi="Times New Roman"/>
          <w:sz w:val="28"/>
          <w:szCs w:val="28"/>
        </w:rPr>
        <w:t>отрудничеств</w:t>
      </w:r>
      <w:r>
        <w:rPr>
          <w:rFonts w:ascii="Times New Roman" w:hAnsi="Times New Roman"/>
          <w:sz w:val="28"/>
          <w:szCs w:val="28"/>
        </w:rPr>
        <w:t>а</w:t>
      </w:r>
      <w:r w:rsidRPr="00422889">
        <w:rPr>
          <w:rFonts w:ascii="Times New Roman" w:hAnsi="Times New Roman"/>
          <w:sz w:val="28"/>
          <w:szCs w:val="28"/>
        </w:rPr>
        <w:t xml:space="preserve"> России и стран БРИКС в области энергетики</w:t>
      </w:r>
      <w:r>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 xml:space="preserve">Для достижения указанной цели были поставлены следующие </w:t>
      </w:r>
      <w:r w:rsidRPr="00312EE6">
        <w:rPr>
          <w:rFonts w:ascii="Times New Roman" w:hAnsi="Times New Roman"/>
          <w:b/>
          <w:sz w:val="28"/>
          <w:szCs w:val="28"/>
        </w:rPr>
        <w:t>задачи</w:t>
      </w:r>
      <w:r>
        <w:rPr>
          <w:rFonts w:ascii="Times New Roman" w:hAnsi="Times New Roman"/>
          <w:sz w:val="28"/>
          <w:szCs w:val="28"/>
        </w:rPr>
        <w:t>:</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определить о</w:t>
      </w:r>
      <w:r w:rsidRPr="00312EE6">
        <w:rPr>
          <w:rFonts w:ascii="Times New Roman" w:hAnsi="Times New Roman"/>
          <w:sz w:val="28"/>
          <w:szCs w:val="28"/>
        </w:rPr>
        <w:t>собенности мирового энергетического рынка</w:t>
      </w:r>
      <w:r>
        <w:rPr>
          <w:rFonts w:ascii="Times New Roman" w:hAnsi="Times New Roman"/>
          <w:sz w:val="28"/>
          <w:szCs w:val="28"/>
        </w:rPr>
        <w:t>;</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показать м</w:t>
      </w:r>
      <w:r w:rsidRPr="00312EE6">
        <w:rPr>
          <w:rFonts w:ascii="Times New Roman" w:hAnsi="Times New Roman"/>
          <w:sz w:val="28"/>
          <w:szCs w:val="28"/>
        </w:rPr>
        <w:t>есто и роль стран БРИКС на мировом энергетическом рынке</w:t>
      </w:r>
      <w:r>
        <w:rPr>
          <w:rFonts w:ascii="Times New Roman" w:hAnsi="Times New Roman"/>
          <w:sz w:val="28"/>
          <w:szCs w:val="28"/>
        </w:rPr>
        <w:t>;</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оценить уровень развития энергетического взаимодействия России со странами БРИКС;</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изучить особенности энергетического</w:t>
      </w:r>
      <w:r w:rsidRPr="00884C6B">
        <w:rPr>
          <w:rFonts w:ascii="Times New Roman" w:hAnsi="Times New Roman"/>
          <w:sz w:val="28"/>
          <w:szCs w:val="28"/>
        </w:rPr>
        <w:t xml:space="preserve"> сотрудничеств</w:t>
      </w:r>
      <w:r>
        <w:rPr>
          <w:rFonts w:ascii="Times New Roman" w:hAnsi="Times New Roman"/>
          <w:sz w:val="28"/>
          <w:szCs w:val="28"/>
        </w:rPr>
        <w:t>а</w:t>
      </w:r>
      <w:r w:rsidRPr="00884C6B">
        <w:rPr>
          <w:rFonts w:ascii="Times New Roman" w:hAnsi="Times New Roman"/>
          <w:sz w:val="28"/>
          <w:szCs w:val="28"/>
        </w:rPr>
        <w:t xml:space="preserve"> между странами БРИКС</w:t>
      </w:r>
      <w:r>
        <w:rPr>
          <w:rFonts w:ascii="Times New Roman" w:hAnsi="Times New Roman"/>
          <w:sz w:val="28"/>
          <w:szCs w:val="28"/>
        </w:rPr>
        <w:t>;</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охарактеризовать КНР как ключевого партнера России в рамках БРИКС в сфере энергетики;</w:t>
      </w:r>
    </w:p>
    <w:p w:rsidR="00BB5DC7" w:rsidRDefault="00BB5DC7" w:rsidP="00BB5DC7">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сформулировать п</w:t>
      </w:r>
      <w:r w:rsidRPr="00884C6B">
        <w:rPr>
          <w:rFonts w:ascii="Times New Roman" w:hAnsi="Times New Roman"/>
          <w:sz w:val="28"/>
          <w:szCs w:val="28"/>
        </w:rPr>
        <w:t xml:space="preserve">ерспективные направления </w:t>
      </w:r>
      <w:r>
        <w:rPr>
          <w:rFonts w:ascii="Times New Roman" w:hAnsi="Times New Roman"/>
          <w:sz w:val="28"/>
          <w:szCs w:val="28"/>
        </w:rPr>
        <w:t xml:space="preserve">взаимного </w:t>
      </w:r>
      <w:r w:rsidRPr="00884C6B">
        <w:rPr>
          <w:rFonts w:ascii="Times New Roman" w:hAnsi="Times New Roman"/>
          <w:sz w:val="28"/>
          <w:szCs w:val="28"/>
        </w:rPr>
        <w:t>энергетического сотрудничества в рамках БРИКС</w:t>
      </w:r>
      <w:r>
        <w:rPr>
          <w:rFonts w:ascii="Times New Roman" w:hAnsi="Times New Roman"/>
          <w:sz w:val="28"/>
          <w:szCs w:val="28"/>
        </w:rPr>
        <w:t>.</w:t>
      </w:r>
    </w:p>
    <w:p w:rsidR="00BB5DC7" w:rsidRPr="000F16E2" w:rsidRDefault="00BB5DC7" w:rsidP="00BB5DC7">
      <w:pPr>
        <w:pStyle w:val="aa"/>
        <w:tabs>
          <w:tab w:val="num" w:pos="0"/>
        </w:tabs>
        <w:ind w:left="0" w:right="-6" w:firstLine="709"/>
        <w:rPr>
          <w:sz w:val="28"/>
          <w:szCs w:val="28"/>
        </w:rPr>
      </w:pPr>
      <w:r w:rsidRPr="000F16E2">
        <w:rPr>
          <w:b/>
          <w:bCs/>
          <w:iCs/>
          <w:sz w:val="28"/>
          <w:szCs w:val="28"/>
        </w:rPr>
        <w:lastRenderedPageBreak/>
        <w:t>Методологической основой</w:t>
      </w:r>
      <w:r w:rsidRPr="000F16E2">
        <w:rPr>
          <w:b/>
          <w:bCs/>
          <w:i/>
          <w:iCs/>
          <w:sz w:val="28"/>
          <w:szCs w:val="28"/>
        </w:rPr>
        <w:t xml:space="preserve"> </w:t>
      </w:r>
      <w:r w:rsidRPr="000F16E2">
        <w:rPr>
          <w:sz w:val="28"/>
          <w:szCs w:val="28"/>
        </w:rPr>
        <w:t xml:space="preserve">исследования явились общенаучные методы (индукции, дедукции), метод системного анализа и прогнозирования. Именно они позволили проанализировать и оценить особенности </w:t>
      </w:r>
      <w:r>
        <w:rPr>
          <w:sz w:val="28"/>
          <w:szCs w:val="28"/>
        </w:rPr>
        <w:t>энергетического сотрудничества России со странами БРИКС</w:t>
      </w:r>
      <w:r w:rsidRPr="000F16E2">
        <w:rPr>
          <w:sz w:val="28"/>
          <w:szCs w:val="28"/>
        </w:rPr>
        <w:t xml:space="preserve">. </w:t>
      </w:r>
    </w:p>
    <w:p w:rsidR="00BB5DC7" w:rsidRPr="000F16E2" w:rsidRDefault="00BB5DC7" w:rsidP="00BB5DC7">
      <w:pPr>
        <w:tabs>
          <w:tab w:val="num" w:pos="0"/>
        </w:tabs>
        <w:spacing w:after="0" w:line="360" w:lineRule="auto"/>
        <w:ind w:right="-6" w:firstLine="709"/>
        <w:jc w:val="both"/>
        <w:rPr>
          <w:rFonts w:ascii="Times New Roman" w:hAnsi="Times New Roman"/>
          <w:sz w:val="28"/>
          <w:szCs w:val="28"/>
        </w:rPr>
      </w:pPr>
      <w:proofErr w:type="spellStart"/>
      <w:r w:rsidRPr="000F16E2">
        <w:rPr>
          <w:rFonts w:ascii="Times New Roman" w:hAnsi="Times New Roman"/>
          <w:b/>
          <w:bCs/>
          <w:iCs/>
          <w:sz w:val="28"/>
          <w:szCs w:val="28"/>
        </w:rPr>
        <w:t>Источниковая</w:t>
      </w:r>
      <w:proofErr w:type="spellEnd"/>
      <w:r w:rsidRPr="000F16E2">
        <w:rPr>
          <w:rFonts w:ascii="Times New Roman" w:hAnsi="Times New Roman"/>
          <w:b/>
          <w:bCs/>
          <w:iCs/>
          <w:sz w:val="28"/>
          <w:szCs w:val="28"/>
        </w:rPr>
        <w:t xml:space="preserve"> база исследования.</w:t>
      </w:r>
      <w:r w:rsidRPr="000F16E2">
        <w:rPr>
          <w:rFonts w:ascii="Times New Roman" w:hAnsi="Times New Roman"/>
          <w:b/>
          <w:bCs/>
          <w:i/>
          <w:iCs/>
          <w:sz w:val="28"/>
          <w:szCs w:val="28"/>
        </w:rPr>
        <w:t xml:space="preserve"> </w:t>
      </w:r>
      <w:r w:rsidRPr="000F16E2">
        <w:rPr>
          <w:rFonts w:ascii="Times New Roman" w:hAnsi="Times New Roman"/>
          <w:sz w:val="28"/>
          <w:szCs w:val="28"/>
        </w:rPr>
        <w:t xml:space="preserve">При написании работы были использованы различные документы на русском и английском языках. Прежде всего, это официальные документы </w:t>
      </w:r>
      <w:r>
        <w:rPr>
          <w:rFonts w:ascii="Times New Roman" w:hAnsi="Times New Roman"/>
          <w:sz w:val="28"/>
          <w:szCs w:val="28"/>
        </w:rPr>
        <w:t>Российской Федерации (Энергетическая стратегия РФ, Концепция внешней политики РФ и др.), а также других международных организаций,</w:t>
      </w:r>
      <w:r w:rsidRPr="000F16E2">
        <w:rPr>
          <w:rFonts w:ascii="Times New Roman" w:hAnsi="Times New Roman"/>
          <w:sz w:val="28"/>
          <w:szCs w:val="28"/>
        </w:rPr>
        <w:t xml:space="preserve"> периодически</w:t>
      </w:r>
      <w:r>
        <w:rPr>
          <w:rFonts w:ascii="Times New Roman" w:hAnsi="Times New Roman"/>
          <w:sz w:val="28"/>
          <w:szCs w:val="28"/>
        </w:rPr>
        <w:t>е</w:t>
      </w:r>
      <w:r w:rsidRPr="000F16E2">
        <w:rPr>
          <w:rFonts w:ascii="Times New Roman" w:hAnsi="Times New Roman"/>
          <w:sz w:val="28"/>
          <w:szCs w:val="28"/>
        </w:rPr>
        <w:t xml:space="preserve"> издания</w:t>
      </w:r>
      <w:r>
        <w:rPr>
          <w:rFonts w:ascii="Times New Roman" w:hAnsi="Times New Roman"/>
          <w:sz w:val="28"/>
          <w:szCs w:val="28"/>
        </w:rPr>
        <w:t>, статистика</w:t>
      </w:r>
      <w:r w:rsidRPr="000F16E2">
        <w:rPr>
          <w:rFonts w:ascii="Times New Roman" w:hAnsi="Times New Roman"/>
          <w:sz w:val="28"/>
          <w:szCs w:val="28"/>
        </w:rPr>
        <w:t xml:space="preserve">. </w:t>
      </w:r>
    </w:p>
    <w:p w:rsidR="00BB5DC7" w:rsidRPr="000F16E2" w:rsidRDefault="00BB5DC7" w:rsidP="00BB5DC7">
      <w:pPr>
        <w:spacing w:after="0" w:line="360" w:lineRule="auto"/>
        <w:ind w:firstLine="709"/>
        <w:jc w:val="both"/>
        <w:rPr>
          <w:rFonts w:ascii="Times New Roman" w:hAnsi="Times New Roman"/>
          <w:sz w:val="28"/>
          <w:szCs w:val="28"/>
        </w:rPr>
      </w:pPr>
      <w:r w:rsidRPr="000F16E2">
        <w:rPr>
          <w:rFonts w:ascii="Times New Roman" w:hAnsi="Times New Roman"/>
          <w:b/>
          <w:bCs/>
          <w:iCs/>
          <w:sz w:val="28"/>
          <w:szCs w:val="28"/>
        </w:rPr>
        <w:t>Научная и практическая значимость исследования</w:t>
      </w:r>
      <w:r w:rsidRPr="000F16E2">
        <w:rPr>
          <w:rFonts w:ascii="Times New Roman" w:hAnsi="Times New Roman"/>
          <w:sz w:val="28"/>
          <w:szCs w:val="28"/>
        </w:rPr>
        <w:t xml:space="preserve"> определяется поставленной и решенной актуальной научной и практической задачей. Результаты проведенного исследования могут стать базой для дальнейшего изучения проблем</w:t>
      </w:r>
      <w:r>
        <w:rPr>
          <w:rFonts w:ascii="Times New Roman" w:hAnsi="Times New Roman"/>
          <w:sz w:val="28"/>
          <w:szCs w:val="28"/>
        </w:rPr>
        <w:t xml:space="preserve"> сотрудничества стран БРИКС</w:t>
      </w:r>
      <w:r w:rsidRPr="000F16E2">
        <w:rPr>
          <w:rFonts w:ascii="Times New Roman" w:hAnsi="Times New Roman"/>
          <w:sz w:val="28"/>
          <w:szCs w:val="28"/>
        </w:rPr>
        <w:t xml:space="preserve">. </w:t>
      </w:r>
    </w:p>
    <w:p w:rsidR="00BB5DC7" w:rsidRPr="006D0AF0" w:rsidRDefault="00BB5DC7" w:rsidP="00BB5DC7">
      <w:pPr>
        <w:spacing w:after="0" w:line="360" w:lineRule="auto"/>
        <w:ind w:firstLine="708"/>
        <w:jc w:val="both"/>
        <w:rPr>
          <w:rFonts w:ascii="Times New Roman" w:hAnsi="Times New Roman"/>
          <w:sz w:val="28"/>
          <w:szCs w:val="28"/>
        </w:rPr>
      </w:pPr>
      <w:r w:rsidRPr="000F16E2">
        <w:rPr>
          <w:rFonts w:ascii="Times New Roman" w:hAnsi="Times New Roman"/>
          <w:b/>
          <w:sz w:val="28"/>
          <w:szCs w:val="28"/>
        </w:rPr>
        <w:t>Структура исследования</w:t>
      </w:r>
      <w:r w:rsidRPr="000F16E2">
        <w:rPr>
          <w:rFonts w:ascii="Times New Roman" w:hAnsi="Times New Roman"/>
          <w:sz w:val="28"/>
          <w:szCs w:val="28"/>
        </w:rPr>
        <w:t xml:space="preserve"> определяется целью и задачами исследования. Работа состоит из введения, трех глав, заключения, списка источников и литературы. В перв</w:t>
      </w:r>
      <w:r>
        <w:rPr>
          <w:rFonts w:ascii="Times New Roman" w:hAnsi="Times New Roman"/>
          <w:sz w:val="28"/>
          <w:szCs w:val="28"/>
        </w:rPr>
        <w:t>ой главе исследуется место и роль стран БРИКС на мировом энергетическом рынке</w:t>
      </w:r>
      <w:r w:rsidRPr="000F16E2">
        <w:rPr>
          <w:rFonts w:ascii="Times New Roman" w:hAnsi="Times New Roman"/>
          <w:sz w:val="28"/>
          <w:szCs w:val="28"/>
        </w:rPr>
        <w:t>. Вторая глав</w:t>
      </w:r>
      <w:r>
        <w:rPr>
          <w:rFonts w:ascii="Times New Roman" w:hAnsi="Times New Roman"/>
          <w:sz w:val="28"/>
          <w:szCs w:val="28"/>
        </w:rPr>
        <w:t>а</w:t>
      </w:r>
      <w:r w:rsidRPr="000F16E2">
        <w:rPr>
          <w:rFonts w:ascii="Times New Roman" w:hAnsi="Times New Roman"/>
          <w:sz w:val="28"/>
          <w:szCs w:val="28"/>
        </w:rPr>
        <w:t xml:space="preserve"> посвящена </w:t>
      </w:r>
      <w:r>
        <w:rPr>
          <w:rFonts w:ascii="Times New Roman" w:hAnsi="Times New Roman"/>
          <w:sz w:val="28"/>
          <w:szCs w:val="28"/>
        </w:rPr>
        <w:t>с</w:t>
      </w:r>
      <w:r w:rsidRPr="00884C6B">
        <w:rPr>
          <w:rFonts w:ascii="Times New Roman" w:hAnsi="Times New Roman"/>
          <w:sz w:val="28"/>
          <w:szCs w:val="28"/>
        </w:rPr>
        <w:t>овременно</w:t>
      </w:r>
      <w:r>
        <w:rPr>
          <w:rFonts w:ascii="Times New Roman" w:hAnsi="Times New Roman"/>
          <w:sz w:val="28"/>
          <w:szCs w:val="28"/>
        </w:rPr>
        <w:t>му</w:t>
      </w:r>
      <w:r w:rsidRPr="00884C6B">
        <w:rPr>
          <w:rFonts w:ascii="Times New Roman" w:hAnsi="Times New Roman"/>
          <w:sz w:val="28"/>
          <w:szCs w:val="28"/>
        </w:rPr>
        <w:t xml:space="preserve"> состояни</w:t>
      </w:r>
      <w:r>
        <w:rPr>
          <w:rFonts w:ascii="Times New Roman" w:hAnsi="Times New Roman"/>
          <w:sz w:val="28"/>
          <w:szCs w:val="28"/>
        </w:rPr>
        <w:t>ю</w:t>
      </w:r>
      <w:r w:rsidRPr="00884C6B">
        <w:rPr>
          <w:rFonts w:ascii="Times New Roman" w:hAnsi="Times New Roman"/>
          <w:sz w:val="28"/>
          <w:szCs w:val="28"/>
        </w:rPr>
        <w:t xml:space="preserve"> </w:t>
      </w:r>
      <w:r>
        <w:rPr>
          <w:rFonts w:ascii="Times New Roman" w:hAnsi="Times New Roman"/>
          <w:sz w:val="28"/>
          <w:szCs w:val="28"/>
        </w:rPr>
        <w:t>с</w:t>
      </w:r>
      <w:r w:rsidRPr="00422889">
        <w:rPr>
          <w:rFonts w:ascii="Times New Roman" w:hAnsi="Times New Roman"/>
          <w:sz w:val="28"/>
          <w:szCs w:val="28"/>
        </w:rPr>
        <w:t>отрудничеств</w:t>
      </w:r>
      <w:r>
        <w:rPr>
          <w:rFonts w:ascii="Times New Roman" w:hAnsi="Times New Roman"/>
          <w:sz w:val="28"/>
          <w:szCs w:val="28"/>
        </w:rPr>
        <w:t>а</w:t>
      </w:r>
      <w:r w:rsidRPr="00422889">
        <w:rPr>
          <w:rFonts w:ascii="Times New Roman" w:hAnsi="Times New Roman"/>
          <w:sz w:val="28"/>
          <w:szCs w:val="28"/>
        </w:rPr>
        <w:t xml:space="preserve"> России и стран БРИКС в области энергетики</w:t>
      </w:r>
      <w:r w:rsidRPr="000F16E2">
        <w:rPr>
          <w:rFonts w:ascii="Times New Roman" w:hAnsi="Times New Roman"/>
          <w:sz w:val="28"/>
          <w:szCs w:val="28"/>
        </w:rPr>
        <w:t xml:space="preserve">. В третьей главе формулируются </w:t>
      </w:r>
      <w:r>
        <w:rPr>
          <w:rFonts w:ascii="Times New Roman" w:hAnsi="Times New Roman"/>
          <w:sz w:val="28"/>
          <w:szCs w:val="28"/>
        </w:rPr>
        <w:t>п</w:t>
      </w:r>
      <w:r w:rsidRPr="00884C6B">
        <w:rPr>
          <w:rFonts w:ascii="Times New Roman" w:hAnsi="Times New Roman"/>
          <w:sz w:val="28"/>
          <w:szCs w:val="28"/>
        </w:rPr>
        <w:t xml:space="preserve">ерспективы энергетического сотрудничества </w:t>
      </w:r>
      <w:r>
        <w:rPr>
          <w:rFonts w:ascii="Times New Roman" w:hAnsi="Times New Roman"/>
          <w:sz w:val="28"/>
          <w:szCs w:val="28"/>
        </w:rPr>
        <w:t xml:space="preserve">России и </w:t>
      </w:r>
      <w:r w:rsidRPr="00884C6B">
        <w:rPr>
          <w:rFonts w:ascii="Times New Roman" w:hAnsi="Times New Roman"/>
          <w:sz w:val="28"/>
          <w:szCs w:val="28"/>
        </w:rPr>
        <w:t>стран БРИКС</w:t>
      </w:r>
      <w:r>
        <w:rPr>
          <w:rFonts w:ascii="Times New Roman" w:hAnsi="Times New Roman"/>
          <w:sz w:val="28"/>
          <w:szCs w:val="28"/>
        </w:rPr>
        <w:t>.</w:t>
      </w:r>
    </w:p>
    <w:p w:rsidR="00BB5DC7" w:rsidRPr="00204C65" w:rsidRDefault="00BB5DC7" w:rsidP="00BB5DC7">
      <w:pPr>
        <w:adjustRightInd w:val="0"/>
        <w:snapToGrid w:val="0"/>
        <w:spacing w:after="0" w:line="360" w:lineRule="auto"/>
        <w:ind w:firstLine="709"/>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Pr="00627A4F" w:rsidRDefault="00BB5DC7" w:rsidP="00BB5DC7">
      <w:pPr>
        <w:pStyle w:val="1"/>
        <w:spacing w:before="0" w:after="0" w:line="360" w:lineRule="auto"/>
        <w:jc w:val="center"/>
        <w:rPr>
          <w:rFonts w:ascii="Times New Roman" w:hAnsi="Times New Roman"/>
          <w:sz w:val="28"/>
          <w:szCs w:val="28"/>
        </w:rPr>
      </w:pPr>
      <w:r>
        <w:br w:type="page"/>
      </w:r>
      <w:bookmarkStart w:id="2" w:name="_Toc479667914"/>
      <w:r w:rsidRPr="00627A4F">
        <w:rPr>
          <w:rFonts w:ascii="Times New Roman" w:hAnsi="Times New Roman"/>
          <w:sz w:val="28"/>
          <w:szCs w:val="28"/>
        </w:rPr>
        <w:lastRenderedPageBreak/>
        <w:t>Глава 1. Мировой энергетический рынок и страны БРИКС</w:t>
      </w:r>
      <w:bookmarkEnd w:id="2"/>
    </w:p>
    <w:p w:rsidR="00BB5DC7" w:rsidRDefault="00BB5DC7" w:rsidP="00BB5DC7">
      <w:pPr>
        <w:spacing w:after="0" w:line="360" w:lineRule="auto"/>
        <w:jc w:val="both"/>
        <w:rPr>
          <w:rFonts w:ascii="Times New Roman" w:hAnsi="Times New Roman"/>
          <w:sz w:val="28"/>
          <w:szCs w:val="28"/>
        </w:rPr>
      </w:pPr>
    </w:p>
    <w:p w:rsidR="00BB5DC7" w:rsidRPr="00627A4F" w:rsidRDefault="00BB5DC7" w:rsidP="00BB5DC7">
      <w:pPr>
        <w:pStyle w:val="2"/>
        <w:spacing w:before="0" w:after="0" w:line="360" w:lineRule="auto"/>
        <w:jc w:val="center"/>
        <w:rPr>
          <w:rFonts w:ascii="Times New Roman" w:hAnsi="Times New Roman"/>
          <w:i w:val="0"/>
        </w:rPr>
      </w:pPr>
      <w:bookmarkStart w:id="3" w:name="_Toc479667915"/>
      <w:r w:rsidRPr="00627A4F">
        <w:rPr>
          <w:rFonts w:ascii="Times New Roman" w:hAnsi="Times New Roman"/>
          <w:i w:val="0"/>
        </w:rPr>
        <w:t>1.1 Особенности мирового энергетического рынка</w:t>
      </w:r>
      <w:bookmarkEnd w:id="3"/>
    </w:p>
    <w:p w:rsidR="00BB5DC7" w:rsidRDefault="00BB5DC7" w:rsidP="00BB5DC7">
      <w:pPr>
        <w:spacing w:after="0" w:line="360" w:lineRule="auto"/>
        <w:jc w:val="both"/>
        <w:rPr>
          <w:rFonts w:ascii="Times New Roman" w:hAnsi="Times New Roman"/>
          <w:sz w:val="28"/>
          <w:szCs w:val="28"/>
        </w:rPr>
      </w:pPr>
    </w:p>
    <w:p w:rsidR="00BB5DC7" w:rsidRPr="006D0AF0" w:rsidRDefault="00BB5DC7" w:rsidP="00BB5DC7">
      <w:pPr>
        <w:spacing w:after="0" w:line="360" w:lineRule="auto"/>
        <w:ind w:firstLine="708"/>
        <w:jc w:val="both"/>
        <w:rPr>
          <w:rFonts w:ascii="Times New Roman" w:hAnsi="Times New Roman"/>
          <w:sz w:val="28"/>
          <w:szCs w:val="28"/>
        </w:rPr>
      </w:pPr>
      <w:r w:rsidRPr="006D0AF0">
        <w:rPr>
          <w:rFonts w:ascii="Times New Roman" w:hAnsi="Times New Roman"/>
          <w:sz w:val="28"/>
          <w:szCs w:val="28"/>
        </w:rPr>
        <w:t>Энергетическая отрасль в настоящее время имеет стратегическое значение для мировой экономики.</w:t>
      </w:r>
    </w:p>
    <w:p w:rsidR="00BB5DC7" w:rsidRPr="006D0AF0" w:rsidRDefault="00BB5DC7" w:rsidP="00BB5DC7">
      <w:pPr>
        <w:spacing w:after="0" w:line="360" w:lineRule="auto"/>
        <w:ind w:firstLine="708"/>
        <w:jc w:val="both"/>
        <w:rPr>
          <w:rFonts w:ascii="Times New Roman" w:hAnsi="Times New Roman"/>
          <w:sz w:val="28"/>
          <w:szCs w:val="28"/>
        </w:rPr>
      </w:pPr>
      <w:r w:rsidRPr="006D0AF0">
        <w:rPr>
          <w:rFonts w:ascii="Times New Roman" w:hAnsi="Times New Roman"/>
          <w:sz w:val="28"/>
          <w:szCs w:val="28"/>
        </w:rPr>
        <w:t xml:space="preserve">Энергетика представляет собой область хозяйственно-экономической деятельности, совокупность больших естественных и искусственных подсистем, служащих для преобразования, распределения и использования энергетических ресурсов всех видов. </w:t>
      </w:r>
      <w:proofErr w:type="gramStart"/>
      <w:r w:rsidRPr="006D0AF0">
        <w:rPr>
          <w:rFonts w:ascii="Times New Roman" w:hAnsi="Times New Roman"/>
          <w:sz w:val="28"/>
          <w:szCs w:val="28"/>
        </w:rPr>
        <w:t xml:space="preserve">Ее целью является обеспечение производства энергии путем преобразования первичной, природной, энергии во вторичную, например в электрическую или тепловую энергию. </w:t>
      </w:r>
      <w:proofErr w:type="gramEnd"/>
    </w:p>
    <w:p w:rsidR="00BB5DC7" w:rsidRPr="006D0AF0" w:rsidRDefault="00BB5DC7" w:rsidP="00BB5DC7">
      <w:pPr>
        <w:spacing w:after="0" w:line="360" w:lineRule="auto"/>
        <w:jc w:val="both"/>
        <w:rPr>
          <w:rFonts w:ascii="Times New Roman" w:hAnsi="Times New Roman"/>
          <w:sz w:val="28"/>
          <w:szCs w:val="28"/>
        </w:rPr>
      </w:pPr>
      <w:r w:rsidRPr="006D0AF0">
        <w:rPr>
          <w:rFonts w:ascii="Times New Roman" w:hAnsi="Times New Roman"/>
          <w:sz w:val="28"/>
          <w:szCs w:val="28"/>
        </w:rPr>
        <w:tab/>
        <w:t>Важным элементом энергетики является топливно-энергетическая отрасль, к которой принято относить такие энергетические ресурсы как нефть, природный газ, уголь.</w:t>
      </w:r>
    </w:p>
    <w:p w:rsidR="00BB5DC7" w:rsidRPr="006D0AF0" w:rsidRDefault="00BB5DC7" w:rsidP="00BB5DC7">
      <w:pPr>
        <w:spacing w:after="0" w:line="360" w:lineRule="auto"/>
        <w:jc w:val="both"/>
        <w:rPr>
          <w:rFonts w:ascii="Times New Roman" w:hAnsi="Times New Roman"/>
          <w:sz w:val="28"/>
          <w:szCs w:val="28"/>
        </w:rPr>
      </w:pPr>
      <w:r w:rsidRPr="006D0AF0">
        <w:rPr>
          <w:rFonts w:ascii="Times New Roman" w:hAnsi="Times New Roman"/>
          <w:sz w:val="28"/>
          <w:szCs w:val="28"/>
        </w:rPr>
        <w:tab/>
        <w:t xml:space="preserve">Кроме того, к энергетической отрасли принято относить также электроэнергетику. Она представляет собой отрасль энергетики, включающую в себя производство, передачу и сбыт электроэнергии. Электроэнергетика генерируется из тепловой энергетики, ядерной энергетики, гидроэнергетики, альтернативной энергетики.  </w:t>
      </w:r>
    </w:p>
    <w:p w:rsidR="00BB5DC7" w:rsidRPr="00BB5DC7" w:rsidRDefault="00BB5DC7" w:rsidP="00BB5DC7">
      <w:pPr>
        <w:spacing w:after="0" w:line="360" w:lineRule="auto"/>
        <w:jc w:val="both"/>
        <w:rPr>
          <w:rFonts w:ascii="Times New Roman" w:hAnsi="Times New Roman"/>
          <w:sz w:val="28"/>
          <w:szCs w:val="28"/>
        </w:rPr>
      </w:pPr>
      <w:r w:rsidRPr="006D0AF0">
        <w:rPr>
          <w:rFonts w:ascii="Times New Roman" w:hAnsi="Times New Roman"/>
          <w:sz w:val="28"/>
          <w:szCs w:val="28"/>
        </w:rPr>
        <w:tab/>
        <w:t xml:space="preserve">Самым главным фактором размещения ТЭК можно признать сырьевой, так как именно запасы топливно-энергетических ресурсов играют ключевую роль в данном процессе. </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В 2016-2017 г</w:t>
      </w:r>
      <w:r>
        <w:rPr>
          <w:rFonts w:ascii="Times New Roman" w:hAnsi="Times New Roman"/>
          <w:sz w:val="28"/>
          <w:szCs w:val="28"/>
        </w:rPr>
        <w:t>оды</w:t>
      </w:r>
      <w:r w:rsidRPr="00B6063F">
        <w:rPr>
          <w:rFonts w:ascii="Times New Roman" w:hAnsi="Times New Roman"/>
          <w:sz w:val="28"/>
          <w:szCs w:val="28"/>
        </w:rPr>
        <w:t xml:space="preserve"> мировая энергетика продол</w:t>
      </w:r>
      <w:r>
        <w:rPr>
          <w:rFonts w:ascii="Times New Roman" w:hAnsi="Times New Roman"/>
          <w:sz w:val="28"/>
          <w:szCs w:val="28"/>
        </w:rPr>
        <w:t>жает переживать период трансфор</w:t>
      </w:r>
      <w:r w:rsidRPr="00B6063F">
        <w:rPr>
          <w:rFonts w:ascii="Times New Roman" w:hAnsi="Times New Roman"/>
          <w:sz w:val="28"/>
          <w:szCs w:val="28"/>
        </w:rPr>
        <w:t>мации структуры производства и потребления энергии, смены конфигурации направлений транспортировки энергоноси</w:t>
      </w:r>
      <w:r>
        <w:rPr>
          <w:rFonts w:ascii="Times New Roman" w:hAnsi="Times New Roman"/>
          <w:sz w:val="28"/>
          <w:szCs w:val="28"/>
        </w:rPr>
        <w:t>телей, создания новых экономиче</w:t>
      </w:r>
      <w:r w:rsidRPr="00B6063F">
        <w:rPr>
          <w:rFonts w:ascii="Times New Roman" w:hAnsi="Times New Roman"/>
          <w:sz w:val="28"/>
          <w:szCs w:val="28"/>
        </w:rPr>
        <w:t>ских объединений (Трансатлантическое, Тихоокеанс</w:t>
      </w:r>
      <w:r>
        <w:rPr>
          <w:rFonts w:ascii="Times New Roman" w:hAnsi="Times New Roman"/>
          <w:sz w:val="28"/>
          <w:szCs w:val="28"/>
        </w:rPr>
        <w:t>кое партнерства). Обостре</w:t>
      </w:r>
      <w:r w:rsidRPr="00B6063F">
        <w:rPr>
          <w:rFonts w:ascii="Times New Roman" w:hAnsi="Times New Roman"/>
          <w:sz w:val="28"/>
          <w:szCs w:val="28"/>
        </w:rPr>
        <w:t>ние политической ситуации в ряде стран Б</w:t>
      </w:r>
      <w:r>
        <w:rPr>
          <w:rFonts w:ascii="Times New Roman" w:hAnsi="Times New Roman"/>
          <w:sz w:val="28"/>
          <w:szCs w:val="28"/>
        </w:rPr>
        <w:t>лижнего Востока, проблемы терро</w:t>
      </w:r>
      <w:r w:rsidRPr="00B6063F">
        <w:rPr>
          <w:rFonts w:ascii="Times New Roman" w:hAnsi="Times New Roman"/>
          <w:sz w:val="28"/>
          <w:szCs w:val="28"/>
        </w:rPr>
        <w:t xml:space="preserve">ризма, массового наплыва мигрантов в ЕС, </w:t>
      </w:r>
      <w:proofErr w:type="spellStart"/>
      <w:r w:rsidRPr="00B6063F">
        <w:rPr>
          <w:rFonts w:ascii="Times New Roman" w:hAnsi="Times New Roman"/>
          <w:sz w:val="28"/>
          <w:szCs w:val="28"/>
        </w:rPr>
        <w:lastRenderedPageBreak/>
        <w:t>санкционная</w:t>
      </w:r>
      <w:proofErr w:type="spellEnd"/>
      <w:r w:rsidRPr="00B6063F">
        <w:rPr>
          <w:rFonts w:ascii="Times New Roman" w:hAnsi="Times New Roman"/>
          <w:sz w:val="28"/>
          <w:szCs w:val="28"/>
        </w:rPr>
        <w:t xml:space="preserve"> политика развитых стран по отношению к России, по справедливому мнению А.С. Иванова, разрушили гармонию на мировом рынке, оказывая депрессивно</w:t>
      </w:r>
      <w:r>
        <w:rPr>
          <w:rFonts w:ascii="Times New Roman" w:hAnsi="Times New Roman"/>
          <w:sz w:val="28"/>
          <w:szCs w:val="28"/>
        </w:rPr>
        <w:t>е воздействие и деформируя его</w:t>
      </w:r>
      <w:r>
        <w:rPr>
          <w:rStyle w:val="a8"/>
          <w:rFonts w:ascii="Times New Roman" w:hAnsi="Times New Roman"/>
          <w:sz w:val="28"/>
          <w:szCs w:val="28"/>
        </w:rPr>
        <w:footnoteReference w:id="1"/>
      </w:r>
      <w:r>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В современных условиях нефть, оставаясь доминирующим энергоносителем с весом в 33%, постепенно вытесняется. При этом доля газа (24 %) и угля (30 %) остается стабильной.</w:t>
      </w:r>
    </w:p>
    <w:p w:rsidR="00BB5DC7" w:rsidRPr="00B6063F" w:rsidRDefault="00BB5DC7" w:rsidP="00BB5DC7">
      <w:pPr>
        <w:spacing w:after="0" w:line="360" w:lineRule="auto"/>
        <w:ind w:firstLine="708"/>
        <w:jc w:val="both"/>
        <w:rPr>
          <w:rFonts w:ascii="Times New Roman" w:hAnsi="Times New Roman"/>
          <w:sz w:val="28"/>
          <w:szCs w:val="28"/>
        </w:rPr>
      </w:pPr>
      <w:proofErr w:type="gramStart"/>
      <w:r w:rsidRPr="00B6063F">
        <w:rPr>
          <w:rFonts w:ascii="Times New Roman" w:hAnsi="Times New Roman"/>
          <w:sz w:val="28"/>
          <w:szCs w:val="28"/>
        </w:rPr>
        <w:t>В 2014-201</w:t>
      </w:r>
      <w:r>
        <w:rPr>
          <w:rFonts w:ascii="Times New Roman" w:hAnsi="Times New Roman"/>
          <w:sz w:val="28"/>
          <w:szCs w:val="28"/>
        </w:rPr>
        <w:t>7 годы</w:t>
      </w:r>
      <w:r w:rsidRPr="00B6063F">
        <w:rPr>
          <w:rFonts w:ascii="Times New Roman" w:hAnsi="Times New Roman"/>
          <w:sz w:val="28"/>
          <w:szCs w:val="28"/>
        </w:rPr>
        <w:t xml:space="preserve"> в мировой энергетике сохраняются такие тенденции как: замедление темпов прироста спроса на перв</w:t>
      </w:r>
      <w:r>
        <w:rPr>
          <w:rFonts w:ascii="Times New Roman" w:hAnsi="Times New Roman"/>
          <w:sz w:val="28"/>
          <w:szCs w:val="28"/>
        </w:rPr>
        <w:t>ичные энергоносители; разрыв ме</w:t>
      </w:r>
      <w:r w:rsidRPr="00B6063F">
        <w:rPr>
          <w:rFonts w:ascii="Times New Roman" w:hAnsi="Times New Roman"/>
          <w:sz w:val="28"/>
          <w:szCs w:val="28"/>
        </w:rPr>
        <w:t>жду темпами роста мирового ВВП и темпами</w:t>
      </w:r>
      <w:r>
        <w:rPr>
          <w:rFonts w:ascii="Times New Roman" w:hAnsi="Times New Roman"/>
          <w:sz w:val="28"/>
          <w:szCs w:val="28"/>
        </w:rPr>
        <w:t xml:space="preserve"> роста потребления энергоносите</w:t>
      </w:r>
      <w:r w:rsidRPr="00B6063F">
        <w:rPr>
          <w:rFonts w:ascii="Times New Roman" w:hAnsi="Times New Roman"/>
          <w:sz w:val="28"/>
          <w:szCs w:val="28"/>
        </w:rPr>
        <w:t>лей; «навес» предложения над потреблением; манипулирование рынками углеводородов со стороны ключевых нетто-импортеров и добывающих стран (в основном стран ОПЕК); развитие полулегальной и нелегальной торговли энергоносителями.</w:t>
      </w:r>
      <w:proofErr w:type="gramEnd"/>
    </w:p>
    <w:p w:rsidR="00BB5DC7" w:rsidRDefault="00BB5DC7" w:rsidP="00BB5DC7">
      <w:pPr>
        <w:spacing w:after="0" w:line="360" w:lineRule="auto"/>
        <w:jc w:val="both"/>
        <w:rPr>
          <w:rFonts w:ascii="Times New Roman" w:hAnsi="Times New Roman"/>
          <w:sz w:val="28"/>
          <w:szCs w:val="28"/>
        </w:rPr>
      </w:pPr>
      <w:r w:rsidRPr="00B6063F">
        <w:rPr>
          <w:rFonts w:ascii="Times New Roman" w:hAnsi="Times New Roman"/>
          <w:sz w:val="28"/>
          <w:szCs w:val="28"/>
        </w:rPr>
        <w:t>Для современной мировой энергетики характерна смена технологических укладов в производстве и потреблении основных видов топлива. С одной стороны, научно-технический прогресс позволил более экономно расходовать топливо. При этом страны ОЭСР в 2007 г. достигли пика потребления, а после этого оно стало снижаться, уменьшившись в 2007-2015 гг. на 5%. В итоге потребление первичных энергоносителей постепенно смещается в развивающиеся страны.</w:t>
      </w:r>
      <w:r w:rsidRPr="00293062">
        <w:rPr>
          <w:rFonts w:ascii="Times New Roman" w:hAnsi="Times New Roman"/>
          <w:sz w:val="28"/>
          <w:szCs w:val="28"/>
        </w:rPr>
        <w:t xml:space="preserve"> </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С конца 2000-х г</w:t>
      </w:r>
      <w:r>
        <w:rPr>
          <w:rFonts w:ascii="Times New Roman" w:hAnsi="Times New Roman"/>
          <w:sz w:val="28"/>
          <w:szCs w:val="28"/>
        </w:rPr>
        <w:t>одов</w:t>
      </w:r>
      <w:proofErr w:type="gramStart"/>
      <w:r w:rsidRPr="00B6063F">
        <w:rPr>
          <w:rFonts w:ascii="Times New Roman" w:hAnsi="Times New Roman"/>
          <w:sz w:val="28"/>
          <w:szCs w:val="28"/>
        </w:rPr>
        <w:t>.</w:t>
      </w:r>
      <w:proofErr w:type="gramEnd"/>
      <w:r w:rsidRPr="00B6063F">
        <w:rPr>
          <w:rFonts w:ascii="Times New Roman" w:hAnsi="Times New Roman"/>
          <w:sz w:val="28"/>
          <w:szCs w:val="28"/>
        </w:rPr>
        <w:t xml:space="preserve"> </w:t>
      </w:r>
      <w:proofErr w:type="gramStart"/>
      <w:r w:rsidRPr="00B6063F">
        <w:rPr>
          <w:rFonts w:ascii="Times New Roman" w:hAnsi="Times New Roman"/>
          <w:sz w:val="28"/>
          <w:szCs w:val="28"/>
        </w:rPr>
        <w:t>п</w:t>
      </w:r>
      <w:proofErr w:type="gramEnd"/>
      <w:r w:rsidRPr="00B6063F">
        <w:rPr>
          <w:rFonts w:ascii="Times New Roman" w:hAnsi="Times New Roman"/>
          <w:sz w:val="28"/>
          <w:szCs w:val="28"/>
        </w:rPr>
        <w:t xml:space="preserve">од воздействием разных факторов начала изменяться структура использования энергоресурсов, и это происходило в основном за счет наращивания добычи сырья из нетрадиционных источников (угольные пласты сланцы, слабопроницаемые породы) и роста производства энергии из возобновляемых источников. В 2008-2012 гг. предложение первичных энергоносителей в мировой экономике приблизительно соответствовало их потреблению, однако после 2012 г. произошел сдвиг </w:t>
      </w:r>
      <w:r w:rsidRPr="00B6063F">
        <w:rPr>
          <w:rFonts w:ascii="Times New Roman" w:hAnsi="Times New Roman"/>
          <w:sz w:val="28"/>
          <w:szCs w:val="28"/>
        </w:rPr>
        <w:lastRenderedPageBreak/>
        <w:t>баланса в сторону профицита. Политическая ситуация (в Иране, Турции, Сирии) способствовала развитию незаконной торговли нефтью. Эти и другие обстоятельства привели к резкому снижению мировых цен на нефть.</w:t>
      </w:r>
    </w:p>
    <w:p w:rsidR="00BB5DC7" w:rsidRDefault="00BB5DC7" w:rsidP="00BB5DC7">
      <w:pPr>
        <w:spacing w:after="0" w:line="360" w:lineRule="auto"/>
        <w:ind w:firstLine="708"/>
        <w:jc w:val="both"/>
        <w:rPr>
          <w:rFonts w:ascii="Times New Roman" w:hAnsi="Times New Roman"/>
          <w:sz w:val="28"/>
          <w:szCs w:val="28"/>
        </w:rPr>
      </w:pPr>
    </w:p>
    <w:p w:rsidR="00BB5DC7" w:rsidRPr="00B6063F" w:rsidRDefault="00BB5DC7" w:rsidP="00BB5DC7">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59500" cy="3517900"/>
            <wp:effectExtent l="0" t="0" r="0" b="635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DC7" w:rsidRPr="00B6063F" w:rsidRDefault="00BB5DC7" w:rsidP="00BB5DC7">
      <w:pPr>
        <w:spacing w:after="0" w:line="360" w:lineRule="auto"/>
        <w:jc w:val="center"/>
        <w:rPr>
          <w:rFonts w:ascii="Times New Roman" w:hAnsi="Times New Roman"/>
          <w:sz w:val="28"/>
          <w:szCs w:val="28"/>
        </w:rPr>
      </w:pPr>
      <w:r w:rsidRPr="00B6063F">
        <w:rPr>
          <w:rFonts w:ascii="Times New Roman" w:hAnsi="Times New Roman"/>
          <w:sz w:val="28"/>
          <w:szCs w:val="28"/>
        </w:rPr>
        <w:t>Рис</w:t>
      </w:r>
      <w:r>
        <w:rPr>
          <w:rFonts w:ascii="Times New Roman" w:hAnsi="Times New Roman"/>
          <w:sz w:val="28"/>
          <w:szCs w:val="28"/>
        </w:rPr>
        <w:t>унок</w:t>
      </w:r>
      <w:r w:rsidRPr="00B6063F">
        <w:rPr>
          <w:rFonts w:ascii="Times New Roman" w:hAnsi="Times New Roman"/>
          <w:sz w:val="28"/>
          <w:szCs w:val="28"/>
        </w:rPr>
        <w:t xml:space="preserve"> 1. Динамика мирового энергетического баланса по основным видам топлива (потребление минус производство)</w:t>
      </w:r>
      <w:r>
        <w:rPr>
          <w:rFonts w:ascii="Times New Roman" w:hAnsi="Times New Roman"/>
          <w:sz w:val="28"/>
          <w:szCs w:val="28"/>
        </w:rPr>
        <w:t xml:space="preserve">, </w:t>
      </w:r>
      <w:r w:rsidRPr="00B6063F">
        <w:rPr>
          <w:rFonts w:ascii="Times New Roman" w:hAnsi="Times New Roman"/>
          <w:sz w:val="28"/>
          <w:szCs w:val="28"/>
        </w:rPr>
        <w:t>2004-2015 гг.</w:t>
      </w:r>
      <w:r>
        <w:rPr>
          <w:rStyle w:val="a8"/>
          <w:rFonts w:ascii="Times New Roman" w:hAnsi="Times New Roman"/>
          <w:sz w:val="28"/>
          <w:szCs w:val="28"/>
        </w:rPr>
        <w:footnoteReference w:id="2"/>
      </w:r>
    </w:p>
    <w:p w:rsidR="00BB5DC7" w:rsidRPr="00293062"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На протяжении 2004-2013 гг. поставки газа в мировой экономики отличались относительной стабильностью, тогда как для нефти и угля был характерен периодически возникающий дефицит предложения или его избыток. Уголь при этом компенсировал сни</w:t>
      </w:r>
      <w:r>
        <w:rPr>
          <w:rFonts w:ascii="Times New Roman" w:hAnsi="Times New Roman"/>
          <w:sz w:val="28"/>
          <w:szCs w:val="28"/>
        </w:rPr>
        <w:t>жение потребления нефти и газа</w:t>
      </w:r>
      <w:r>
        <w:rPr>
          <w:rStyle w:val="a8"/>
          <w:rFonts w:ascii="Times New Roman" w:hAnsi="Times New Roman"/>
          <w:sz w:val="28"/>
          <w:szCs w:val="28"/>
        </w:rPr>
        <w:footnoteReference w:id="3"/>
      </w:r>
      <w:r>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Из данных рис</w:t>
      </w:r>
      <w:r>
        <w:rPr>
          <w:rFonts w:ascii="Times New Roman" w:hAnsi="Times New Roman"/>
          <w:sz w:val="28"/>
          <w:szCs w:val="28"/>
        </w:rPr>
        <w:t xml:space="preserve">. 1 </w:t>
      </w:r>
      <w:r w:rsidRPr="00B6063F">
        <w:rPr>
          <w:rFonts w:ascii="Times New Roman" w:hAnsi="Times New Roman"/>
          <w:sz w:val="28"/>
          <w:szCs w:val="28"/>
        </w:rPr>
        <w:t>вид</w:t>
      </w:r>
      <w:r>
        <w:rPr>
          <w:rFonts w:ascii="Times New Roman" w:hAnsi="Times New Roman"/>
          <w:sz w:val="28"/>
          <w:szCs w:val="28"/>
        </w:rPr>
        <w:t>но</w:t>
      </w:r>
      <w:r w:rsidRPr="00B6063F">
        <w:rPr>
          <w:rFonts w:ascii="Times New Roman" w:hAnsi="Times New Roman"/>
          <w:sz w:val="28"/>
          <w:szCs w:val="28"/>
        </w:rPr>
        <w:t>, что уже в 2015 г. производство всех энергоносителей существенно превысило их потребление, что незамедлительно сказалось на ценовой динамике, в частности, на мировом рынке нефти: в 2016 г. наблюда</w:t>
      </w:r>
      <w:r>
        <w:rPr>
          <w:rFonts w:ascii="Times New Roman" w:hAnsi="Times New Roman"/>
          <w:sz w:val="28"/>
          <w:szCs w:val="28"/>
        </w:rPr>
        <w:t>л</w:t>
      </w:r>
      <w:r w:rsidRPr="00B6063F">
        <w:rPr>
          <w:rFonts w:ascii="Times New Roman" w:hAnsi="Times New Roman"/>
          <w:sz w:val="28"/>
          <w:szCs w:val="28"/>
        </w:rPr>
        <w:t xml:space="preserve">ся постепенный рост мировой цены на нефть. </w:t>
      </w:r>
    </w:p>
    <w:p w:rsidR="00BB5DC7"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За последние годы США был накоплен большой опыт в применении технологии </w:t>
      </w:r>
      <w:proofErr w:type="spellStart"/>
      <w:r w:rsidRPr="00B6063F">
        <w:rPr>
          <w:rFonts w:ascii="Times New Roman" w:hAnsi="Times New Roman"/>
          <w:sz w:val="28"/>
          <w:szCs w:val="28"/>
        </w:rPr>
        <w:t>гидроразрыва</w:t>
      </w:r>
      <w:proofErr w:type="spellEnd"/>
      <w:r w:rsidRPr="00B6063F">
        <w:rPr>
          <w:rFonts w:ascii="Times New Roman" w:hAnsi="Times New Roman"/>
          <w:sz w:val="28"/>
          <w:szCs w:val="28"/>
        </w:rPr>
        <w:t xml:space="preserve"> пластов и горизонтальном бурении, что привело к снижению себестоимости нефтедобычи из сланцевых пород до уровня 50 долл. за баррель. Поэтому США в последние годы существенно сократили зависимость от импорта нефти. В 2010-2014 гг. удельный вес импорта в энергопотреблении страны снизился с 23,4 до 12,6%, а в 2015 г. страна заняла второе место в мире по добыче нефти (567,2 млн. т), с минимальным отставанием от Саудовской Аравии (568,5 млн. т). В итоге доля США в мировой нефтедобыче возросла в 2005-2015 гг. с 7,8</w:t>
      </w:r>
      <w:r>
        <w:rPr>
          <w:rFonts w:ascii="Times New Roman" w:hAnsi="Times New Roman"/>
          <w:sz w:val="28"/>
          <w:szCs w:val="28"/>
        </w:rPr>
        <w:t>%</w:t>
      </w:r>
      <w:r w:rsidRPr="00B6063F">
        <w:rPr>
          <w:rFonts w:ascii="Times New Roman" w:hAnsi="Times New Roman"/>
          <w:sz w:val="28"/>
          <w:szCs w:val="28"/>
        </w:rPr>
        <w:t xml:space="preserve"> до 13% (табл. 1).</w:t>
      </w:r>
    </w:p>
    <w:p w:rsidR="00BB5DC7" w:rsidRPr="00B6063F" w:rsidRDefault="00BB5DC7" w:rsidP="00BB5DC7">
      <w:pPr>
        <w:spacing w:after="0" w:line="360" w:lineRule="auto"/>
        <w:ind w:firstLine="708"/>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sz w:val="28"/>
          <w:szCs w:val="28"/>
        </w:rPr>
      </w:pPr>
      <w:r w:rsidRPr="00B6063F">
        <w:rPr>
          <w:rFonts w:ascii="Times New Roman" w:hAnsi="Times New Roman"/>
          <w:sz w:val="28"/>
          <w:szCs w:val="28"/>
        </w:rPr>
        <w:t>Таблица 1. Динамика нефтедобычи в ведущих странах мира в 2005-2015 гг.</w:t>
      </w:r>
      <w:r>
        <w:rPr>
          <w:rStyle w:val="a8"/>
          <w:rFonts w:ascii="Times New Roman" w:hAnsi="Times New Roman"/>
          <w:sz w:val="28"/>
          <w:szCs w:val="28"/>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225"/>
        <w:gridCol w:w="1225"/>
        <w:gridCol w:w="1225"/>
        <w:gridCol w:w="1797"/>
        <w:gridCol w:w="1822"/>
      </w:tblGrid>
      <w:tr w:rsidR="00BB5DC7" w:rsidRPr="00754701" w:rsidTr="00F4634F">
        <w:trPr>
          <w:tblHeader/>
        </w:trPr>
        <w:tc>
          <w:tcPr>
            <w:tcW w:w="2277" w:type="dxa"/>
            <w:vMerge w:val="restart"/>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Страна</w:t>
            </w:r>
          </w:p>
        </w:tc>
        <w:tc>
          <w:tcPr>
            <w:tcW w:w="3675" w:type="dxa"/>
            <w:gridSpan w:val="3"/>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Добыча нефти, млн. т</w:t>
            </w:r>
          </w:p>
        </w:tc>
        <w:tc>
          <w:tcPr>
            <w:tcW w:w="1797" w:type="dxa"/>
            <w:vMerge w:val="restart"/>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Доля в мировой нефтедобыче в 2015 г., %</w:t>
            </w:r>
          </w:p>
        </w:tc>
        <w:tc>
          <w:tcPr>
            <w:tcW w:w="1822" w:type="dxa"/>
            <w:vMerge w:val="restart"/>
          </w:tcPr>
          <w:p w:rsidR="00BB5DC7" w:rsidRPr="00754701" w:rsidRDefault="00BB5DC7" w:rsidP="00F4634F">
            <w:pPr>
              <w:spacing w:after="0" w:line="360" w:lineRule="auto"/>
              <w:jc w:val="center"/>
              <w:rPr>
                <w:rFonts w:ascii="Times New Roman" w:hAnsi="Times New Roman"/>
                <w:sz w:val="28"/>
                <w:szCs w:val="28"/>
              </w:rPr>
            </w:pPr>
            <w:proofErr w:type="spellStart"/>
            <w:r w:rsidRPr="00754701">
              <w:rPr>
                <w:rFonts w:ascii="Times New Roman" w:hAnsi="Times New Roman"/>
                <w:sz w:val="28"/>
                <w:szCs w:val="28"/>
              </w:rPr>
              <w:t>Среднегод</w:t>
            </w:r>
            <w:proofErr w:type="spellEnd"/>
            <w:r w:rsidRPr="00754701">
              <w:rPr>
                <w:rFonts w:ascii="Times New Roman" w:hAnsi="Times New Roman"/>
                <w:sz w:val="28"/>
                <w:szCs w:val="28"/>
              </w:rPr>
              <w:t>. темп прироста нефтедобычи в 2005-2015 гг., %</w:t>
            </w:r>
          </w:p>
        </w:tc>
      </w:tr>
      <w:tr w:rsidR="00BB5DC7" w:rsidRPr="00754701" w:rsidTr="00F4634F">
        <w:trPr>
          <w:tblHeader/>
        </w:trPr>
        <w:tc>
          <w:tcPr>
            <w:tcW w:w="2277" w:type="dxa"/>
            <w:vMerge/>
          </w:tcPr>
          <w:p w:rsidR="00BB5DC7" w:rsidRPr="00754701" w:rsidRDefault="00BB5DC7" w:rsidP="00F4634F">
            <w:pPr>
              <w:spacing w:after="0" w:line="360" w:lineRule="auto"/>
              <w:jc w:val="center"/>
              <w:rPr>
                <w:rFonts w:ascii="Times New Roman" w:hAnsi="Times New Roman"/>
                <w:sz w:val="28"/>
                <w:szCs w:val="28"/>
              </w:rPr>
            </w:pP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2005 г.</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2010 г.</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2015 г.</w:t>
            </w:r>
          </w:p>
        </w:tc>
        <w:tc>
          <w:tcPr>
            <w:tcW w:w="1797" w:type="dxa"/>
            <w:vMerge/>
          </w:tcPr>
          <w:p w:rsidR="00BB5DC7" w:rsidRPr="00754701" w:rsidRDefault="00BB5DC7" w:rsidP="00F4634F">
            <w:pPr>
              <w:spacing w:after="0" w:line="360" w:lineRule="auto"/>
              <w:jc w:val="center"/>
              <w:rPr>
                <w:rFonts w:ascii="Times New Roman" w:hAnsi="Times New Roman"/>
                <w:sz w:val="28"/>
                <w:szCs w:val="28"/>
              </w:rPr>
            </w:pPr>
          </w:p>
        </w:tc>
        <w:tc>
          <w:tcPr>
            <w:tcW w:w="1822" w:type="dxa"/>
            <w:vMerge/>
          </w:tcPr>
          <w:p w:rsidR="00BB5DC7" w:rsidRPr="00754701" w:rsidRDefault="00BB5DC7" w:rsidP="00F4634F">
            <w:pPr>
              <w:spacing w:after="0" w:line="360" w:lineRule="auto"/>
              <w:jc w:val="center"/>
              <w:rPr>
                <w:rFonts w:ascii="Times New Roman" w:hAnsi="Times New Roman"/>
                <w:sz w:val="28"/>
                <w:szCs w:val="28"/>
              </w:rPr>
            </w:pP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Саудовская Аравия</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521,3</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473,8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568,5</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13,0</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+0,9</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США</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309,0</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332,8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567,2</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13,0</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+8,4</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lastRenderedPageBreak/>
              <w:t>Россия</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474,8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511,8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540,7</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12,4</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+1,4</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Канада</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142,3</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160,3</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215,5</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4,9</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+5,1</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Китай</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181,4</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203,0</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214,6</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4,9</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+1,8</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Ирак</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89,9</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121,5</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197,0</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4,5</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+11,9</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Иран</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207,8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211,9</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182,6</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4,2</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-1,2</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ОАЭ</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135,7</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133,3</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175,5</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4,0</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+2,9</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Кувейт</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130,4</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123,3</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149,1</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3,4</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+1,4</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Бразилия</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89,1</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111,4</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131,8</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3,0</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+4,8</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10 ведущих стран</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2281,7</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2383,1</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2942,5</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67,3</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+2,9</w:t>
            </w:r>
          </w:p>
        </w:tc>
      </w:tr>
      <w:tr w:rsidR="00BB5DC7" w:rsidRPr="00754701" w:rsidTr="00F4634F">
        <w:tc>
          <w:tcPr>
            <w:tcW w:w="2277"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Мир в целом</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3937,8</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3979,1</w:t>
            </w:r>
          </w:p>
        </w:tc>
        <w:tc>
          <w:tcPr>
            <w:tcW w:w="1225"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4361,9</w:t>
            </w:r>
          </w:p>
        </w:tc>
        <w:tc>
          <w:tcPr>
            <w:tcW w:w="179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100,0</w:t>
            </w:r>
          </w:p>
        </w:tc>
        <w:tc>
          <w:tcPr>
            <w:tcW w:w="18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+1,1</w:t>
            </w:r>
          </w:p>
        </w:tc>
      </w:tr>
    </w:tbl>
    <w:p w:rsidR="00BB5DC7" w:rsidRPr="00B6063F" w:rsidRDefault="00BB5DC7" w:rsidP="00BB5DC7">
      <w:pPr>
        <w:spacing w:after="0" w:line="360" w:lineRule="auto"/>
        <w:jc w:val="center"/>
        <w:rPr>
          <w:rFonts w:ascii="Times New Roman" w:hAnsi="Times New Roman"/>
          <w:sz w:val="28"/>
          <w:szCs w:val="28"/>
        </w:rPr>
      </w:pP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Следует отметить гибкость производства сланцевых углеводородов. Так, США могут расширить или сократить их добычу в кратчайшие с</w:t>
      </w:r>
      <w:r>
        <w:rPr>
          <w:rFonts w:ascii="Times New Roman" w:hAnsi="Times New Roman"/>
          <w:sz w:val="28"/>
          <w:szCs w:val="28"/>
        </w:rPr>
        <w:t>роки: произв</w:t>
      </w:r>
      <w:r w:rsidRPr="00B6063F">
        <w:rPr>
          <w:rFonts w:ascii="Times New Roman" w:hAnsi="Times New Roman"/>
          <w:sz w:val="28"/>
          <w:szCs w:val="28"/>
        </w:rPr>
        <w:t xml:space="preserve">одственные затраты при этом ограничены </w:t>
      </w:r>
      <w:r>
        <w:rPr>
          <w:rFonts w:ascii="Times New Roman" w:hAnsi="Times New Roman"/>
          <w:sz w:val="28"/>
          <w:szCs w:val="28"/>
        </w:rPr>
        <w:t>операционными расходами (в отли</w:t>
      </w:r>
      <w:r w:rsidRPr="00B6063F">
        <w:rPr>
          <w:rFonts w:ascii="Times New Roman" w:hAnsi="Times New Roman"/>
          <w:sz w:val="28"/>
          <w:szCs w:val="28"/>
        </w:rPr>
        <w:t xml:space="preserve">чие от месторождений традиционного типа, которые требует </w:t>
      </w:r>
      <w:proofErr w:type="spellStart"/>
      <w:r w:rsidRPr="00B6063F">
        <w:rPr>
          <w:rFonts w:ascii="Times New Roman" w:hAnsi="Times New Roman"/>
          <w:sz w:val="28"/>
          <w:szCs w:val="28"/>
        </w:rPr>
        <w:t>высокозатратных</w:t>
      </w:r>
      <w:proofErr w:type="spellEnd"/>
      <w:r w:rsidRPr="00B6063F">
        <w:rPr>
          <w:rFonts w:ascii="Times New Roman" w:hAnsi="Times New Roman"/>
          <w:sz w:val="28"/>
          <w:szCs w:val="28"/>
        </w:rPr>
        <w:t xml:space="preserve"> подготовительных работ). Поэтому у США е</w:t>
      </w:r>
      <w:r>
        <w:rPr>
          <w:rFonts w:ascii="Times New Roman" w:hAnsi="Times New Roman"/>
          <w:sz w:val="28"/>
          <w:szCs w:val="28"/>
        </w:rPr>
        <w:t>сть инструмент быстрого реагиро</w:t>
      </w:r>
      <w:r w:rsidRPr="00B6063F">
        <w:rPr>
          <w:rFonts w:ascii="Times New Roman" w:hAnsi="Times New Roman"/>
          <w:sz w:val="28"/>
          <w:szCs w:val="28"/>
        </w:rPr>
        <w:t>вания на изменение конъюнктуры мирового рынка, что позволяет стране получать дополнительную прибыль и при снижении цены на нефть за счет сворачивания ее добычи, и при ее росте путем опережающего ввода новых мощностей в эксплуатацию.</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Крайне негативное, дестабилизирующее влияние на </w:t>
      </w:r>
      <w:r>
        <w:rPr>
          <w:rFonts w:ascii="Times New Roman" w:hAnsi="Times New Roman"/>
          <w:sz w:val="28"/>
          <w:szCs w:val="28"/>
        </w:rPr>
        <w:t>глобальную энерге</w:t>
      </w:r>
      <w:r w:rsidRPr="00B6063F">
        <w:rPr>
          <w:rFonts w:ascii="Times New Roman" w:hAnsi="Times New Roman"/>
          <w:sz w:val="28"/>
          <w:szCs w:val="28"/>
        </w:rPr>
        <w:t xml:space="preserve">тику оказала политика антироссийских экономических санкций со </w:t>
      </w:r>
      <w:r w:rsidRPr="00B6063F">
        <w:rPr>
          <w:rFonts w:ascii="Times New Roman" w:hAnsi="Times New Roman"/>
          <w:sz w:val="28"/>
          <w:szCs w:val="28"/>
        </w:rPr>
        <w:lastRenderedPageBreak/>
        <w:t xml:space="preserve">стороны США и других стран Запада, которая привела к свертыванию многих </w:t>
      </w:r>
      <w:proofErr w:type="spellStart"/>
      <w:r w:rsidRPr="00B6063F">
        <w:rPr>
          <w:rFonts w:ascii="Times New Roman" w:hAnsi="Times New Roman"/>
          <w:sz w:val="28"/>
          <w:szCs w:val="28"/>
        </w:rPr>
        <w:t>товаропотоков</w:t>
      </w:r>
      <w:proofErr w:type="spellEnd"/>
      <w:r w:rsidRPr="00B6063F">
        <w:rPr>
          <w:rFonts w:ascii="Times New Roman" w:hAnsi="Times New Roman"/>
          <w:sz w:val="28"/>
          <w:szCs w:val="28"/>
        </w:rPr>
        <w:t>, способствовала корректировке стратегии развития российской нефтегазовой отрасли и сроков реализации проектов транспортировки сырья. Определенный вклад в удержание низких мировых цен на нефть внесли и страны-члены ОПЕК, не снижавшие квоты на протяжении четырех последних лет. В конце 2014 г. и в конце 2015 г., под воздействием Саудовской Аравии, Катар</w:t>
      </w:r>
      <w:proofErr w:type="gramStart"/>
      <w:r w:rsidRPr="00B6063F">
        <w:rPr>
          <w:rFonts w:ascii="Times New Roman" w:hAnsi="Times New Roman"/>
          <w:sz w:val="28"/>
          <w:szCs w:val="28"/>
        </w:rPr>
        <w:t>а и ОАЭ</w:t>
      </w:r>
      <w:proofErr w:type="gramEnd"/>
      <w:r w:rsidRPr="00B6063F">
        <w:rPr>
          <w:rFonts w:ascii="Times New Roman" w:hAnsi="Times New Roman"/>
          <w:sz w:val="28"/>
          <w:szCs w:val="28"/>
        </w:rPr>
        <w:t xml:space="preserve"> нефтяной картель в очередной раз укл</w:t>
      </w:r>
      <w:r>
        <w:rPr>
          <w:rFonts w:ascii="Times New Roman" w:hAnsi="Times New Roman"/>
          <w:sz w:val="28"/>
          <w:szCs w:val="28"/>
        </w:rPr>
        <w:t>онился от снижения добычи (пози</w:t>
      </w:r>
      <w:r w:rsidRPr="00B6063F">
        <w:rPr>
          <w:rFonts w:ascii="Times New Roman" w:hAnsi="Times New Roman"/>
          <w:sz w:val="28"/>
          <w:szCs w:val="28"/>
        </w:rPr>
        <w:t>ция Алжира, Венесуэлы и Ливии была противоположной).</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Между тем, мировой рынок ожидает экспорта углеводородов со стороны Ирана, заявившего о возврате к национальным «</w:t>
      </w:r>
      <w:proofErr w:type="spellStart"/>
      <w:r w:rsidRPr="00B6063F">
        <w:rPr>
          <w:rFonts w:ascii="Times New Roman" w:hAnsi="Times New Roman"/>
          <w:sz w:val="28"/>
          <w:szCs w:val="28"/>
        </w:rPr>
        <w:t>досанкционным</w:t>
      </w:r>
      <w:proofErr w:type="spellEnd"/>
      <w:r w:rsidRPr="00B6063F">
        <w:rPr>
          <w:rFonts w:ascii="Times New Roman" w:hAnsi="Times New Roman"/>
          <w:sz w:val="28"/>
          <w:szCs w:val="28"/>
        </w:rPr>
        <w:t xml:space="preserve">» квотам. </w:t>
      </w:r>
      <w:proofErr w:type="gramStart"/>
      <w:r w:rsidRPr="00B6063F">
        <w:rPr>
          <w:rFonts w:ascii="Times New Roman" w:hAnsi="Times New Roman"/>
          <w:sz w:val="28"/>
          <w:szCs w:val="28"/>
        </w:rPr>
        <w:t xml:space="preserve">В ОПЕК ряд стран с таким положением не согласны, и уже во второй половине 2015 г. Эквадор начал продавать нефть </w:t>
      </w:r>
      <w:r>
        <w:rPr>
          <w:rFonts w:ascii="Times New Roman" w:hAnsi="Times New Roman"/>
          <w:sz w:val="28"/>
          <w:szCs w:val="28"/>
        </w:rPr>
        <w:t>по цене ниже ее себестоимости</w:t>
      </w:r>
      <w:r>
        <w:rPr>
          <w:rStyle w:val="a8"/>
          <w:rFonts w:ascii="Times New Roman" w:hAnsi="Times New Roman"/>
          <w:sz w:val="28"/>
          <w:szCs w:val="28"/>
        </w:rPr>
        <w:footnoteReference w:id="5"/>
      </w:r>
      <w:r>
        <w:rPr>
          <w:rFonts w:ascii="Times New Roman" w:hAnsi="Times New Roman"/>
          <w:sz w:val="28"/>
          <w:szCs w:val="28"/>
        </w:rPr>
        <w:t>.</w:t>
      </w:r>
      <w:r w:rsidRPr="00B6063F">
        <w:rPr>
          <w:rFonts w:ascii="Times New Roman" w:hAnsi="Times New Roman"/>
          <w:sz w:val="28"/>
          <w:szCs w:val="28"/>
        </w:rPr>
        <w:t xml:space="preserve"> В конце 2015 г. цена нефти из Мексики и Венесуэлы снизилась соответственно на 73</w:t>
      </w:r>
      <w:r>
        <w:rPr>
          <w:rFonts w:ascii="Times New Roman" w:hAnsi="Times New Roman"/>
          <w:sz w:val="28"/>
          <w:szCs w:val="28"/>
        </w:rPr>
        <w:t>%</w:t>
      </w:r>
      <w:r w:rsidRPr="00B6063F">
        <w:rPr>
          <w:rFonts w:ascii="Times New Roman" w:hAnsi="Times New Roman"/>
          <w:sz w:val="28"/>
          <w:szCs w:val="28"/>
        </w:rPr>
        <w:t xml:space="preserve"> и 75% до 28 долл. за баррель, с</w:t>
      </w:r>
      <w:r>
        <w:rPr>
          <w:rFonts w:ascii="Times New Roman" w:hAnsi="Times New Roman"/>
          <w:sz w:val="28"/>
          <w:szCs w:val="28"/>
        </w:rPr>
        <w:t xml:space="preserve">ернистой </w:t>
      </w:r>
      <w:proofErr w:type="spellStart"/>
      <w:r>
        <w:rPr>
          <w:rFonts w:ascii="Times New Roman" w:hAnsi="Times New Roman"/>
          <w:sz w:val="28"/>
          <w:szCs w:val="28"/>
        </w:rPr>
        <w:t>канадско</w:t>
      </w:r>
      <w:proofErr w:type="spellEnd"/>
      <w:r>
        <w:rPr>
          <w:rFonts w:ascii="Times New Roman" w:hAnsi="Times New Roman"/>
          <w:sz w:val="28"/>
          <w:szCs w:val="28"/>
        </w:rPr>
        <w:t xml:space="preserve"> нефти – на 75</w:t>
      </w:r>
      <w:r w:rsidRPr="00B6063F">
        <w:rPr>
          <w:rFonts w:ascii="Times New Roman" w:hAnsi="Times New Roman"/>
          <w:sz w:val="28"/>
          <w:szCs w:val="28"/>
        </w:rPr>
        <w:t>% до 21 долл. за баррель.</w:t>
      </w:r>
      <w:proofErr w:type="gramEnd"/>
      <w:r w:rsidRPr="00B6063F">
        <w:rPr>
          <w:rFonts w:ascii="Times New Roman" w:hAnsi="Times New Roman"/>
          <w:sz w:val="28"/>
          <w:szCs w:val="28"/>
        </w:rPr>
        <w:t xml:space="preserve"> Также менее 30 долл. за баррель стоила нефть из Саудо</w:t>
      </w:r>
      <w:r>
        <w:rPr>
          <w:rFonts w:ascii="Times New Roman" w:hAnsi="Times New Roman"/>
          <w:sz w:val="28"/>
          <w:szCs w:val="28"/>
        </w:rPr>
        <w:t>вской Аравии, Ирака и Эквадора</w:t>
      </w:r>
      <w:r>
        <w:rPr>
          <w:rStyle w:val="a8"/>
          <w:rFonts w:ascii="Times New Roman" w:hAnsi="Times New Roman"/>
          <w:sz w:val="28"/>
          <w:szCs w:val="28"/>
        </w:rPr>
        <w:footnoteReference w:id="6"/>
      </w:r>
      <w:r>
        <w:rPr>
          <w:rFonts w:ascii="Times New Roman" w:hAnsi="Times New Roman"/>
          <w:sz w:val="28"/>
          <w:szCs w:val="28"/>
        </w:rPr>
        <w:t>.</w:t>
      </w:r>
      <w:r w:rsidRPr="00B6063F">
        <w:rPr>
          <w:rFonts w:ascii="Times New Roman" w:hAnsi="Times New Roman"/>
          <w:sz w:val="28"/>
          <w:szCs w:val="28"/>
        </w:rPr>
        <w:t xml:space="preserve"> Чтобы минимизировать риски Мексикой был предпринят ряд мер по страхованию экспорта нефти по цене в 49 долл. за баррель (программа страхования реализуется совместно с крупными зарубе</w:t>
      </w:r>
      <w:r>
        <w:rPr>
          <w:rFonts w:ascii="Times New Roman" w:hAnsi="Times New Roman"/>
          <w:sz w:val="28"/>
          <w:szCs w:val="28"/>
        </w:rPr>
        <w:t>жными финансовыми структурами)</w:t>
      </w:r>
      <w:r>
        <w:rPr>
          <w:rStyle w:val="a8"/>
          <w:rFonts w:ascii="Times New Roman" w:hAnsi="Times New Roman"/>
          <w:sz w:val="28"/>
          <w:szCs w:val="28"/>
        </w:rPr>
        <w:footnoteReference w:id="7"/>
      </w:r>
      <w:r>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Если рассматривать характеристики </w:t>
      </w:r>
      <w:r>
        <w:rPr>
          <w:rFonts w:ascii="Times New Roman" w:hAnsi="Times New Roman"/>
          <w:sz w:val="28"/>
          <w:szCs w:val="28"/>
        </w:rPr>
        <w:t>мировой энергетики в разрезе от</w:t>
      </w:r>
      <w:r w:rsidRPr="00B6063F">
        <w:rPr>
          <w:rFonts w:ascii="Times New Roman" w:hAnsi="Times New Roman"/>
          <w:sz w:val="28"/>
          <w:szCs w:val="28"/>
        </w:rPr>
        <w:t xml:space="preserve">дельных регионов, то в последние годы структура глобального спроса на энергоносители изменилась несущественно. Остается стабильной и обеспеченность мировой экономики топливом. Российские оценки </w:t>
      </w:r>
      <w:r w:rsidRPr="00B6063F">
        <w:rPr>
          <w:rFonts w:ascii="Times New Roman" w:hAnsi="Times New Roman"/>
          <w:sz w:val="28"/>
          <w:szCs w:val="28"/>
        </w:rPr>
        <w:lastRenderedPageBreak/>
        <w:t>показывают, что обеспеченность нефтью при текущем уровне ее добычи со</w:t>
      </w:r>
      <w:r>
        <w:rPr>
          <w:rFonts w:ascii="Times New Roman" w:hAnsi="Times New Roman"/>
          <w:sz w:val="28"/>
          <w:szCs w:val="28"/>
        </w:rPr>
        <w:t>ставляет 52 года, газом – 54 года, углем – 110 лет</w:t>
      </w:r>
      <w:r>
        <w:rPr>
          <w:rStyle w:val="a8"/>
          <w:rFonts w:ascii="Times New Roman" w:hAnsi="Times New Roman"/>
          <w:sz w:val="28"/>
          <w:szCs w:val="28"/>
        </w:rPr>
        <w:footnoteReference w:id="8"/>
      </w:r>
      <w:r>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proofErr w:type="gramStart"/>
      <w:r w:rsidRPr="00B6063F">
        <w:rPr>
          <w:rFonts w:ascii="Times New Roman" w:hAnsi="Times New Roman"/>
          <w:sz w:val="28"/>
          <w:szCs w:val="28"/>
        </w:rPr>
        <w:t>В 2004-2015 г. доля мирового экспорта нефти в ее мировом производстве возросла с 60,9</w:t>
      </w:r>
      <w:r>
        <w:rPr>
          <w:rFonts w:ascii="Times New Roman" w:hAnsi="Times New Roman"/>
          <w:sz w:val="28"/>
          <w:szCs w:val="28"/>
        </w:rPr>
        <w:t>%</w:t>
      </w:r>
      <w:r w:rsidRPr="00B6063F">
        <w:rPr>
          <w:rFonts w:ascii="Times New Roman" w:hAnsi="Times New Roman"/>
          <w:sz w:val="28"/>
          <w:szCs w:val="28"/>
        </w:rPr>
        <w:t xml:space="preserve"> до 66,8%, при этому существенно расширился экспорт нефтепродуктов – с 22,1</w:t>
      </w:r>
      <w:r>
        <w:rPr>
          <w:rFonts w:ascii="Times New Roman" w:hAnsi="Times New Roman"/>
          <w:sz w:val="28"/>
          <w:szCs w:val="28"/>
        </w:rPr>
        <w:t>%</w:t>
      </w:r>
      <w:r w:rsidRPr="00B6063F">
        <w:rPr>
          <w:rFonts w:ascii="Times New Roman" w:hAnsi="Times New Roman"/>
          <w:sz w:val="28"/>
          <w:szCs w:val="28"/>
        </w:rPr>
        <w:t xml:space="preserve"> до 32,5%. Что касается, газа, то доля мирового экспорта газа в его совокупной добыче в мире возросла в 2004-2015 гг. с 25,3</w:t>
      </w:r>
      <w:r>
        <w:rPr>
          <w:rFonts w:ascii="Times New Roman" w:hAnsi="Times New Roman"/>
          <w:sz w:val="28"/>
          <w:szCs w:val="28"/>
        </w:rPr>
        <w:t>% до 29</w:t>
      </w:r>
      <w:r w:rsidRPr="00B6063F">
        <w:rPr>
          <w:rFonts w:ascii="Times New Roman" w:hAnsi="Times New Roman"/>
          <w:sz w:val="28"/>
          <w:szCs w:val="28"/>
        </w:rPr>
        <w:t>,5%</w:t>
      </w:r>
      <w:r>
        <w:rPr>
          <w:rStyle w:val="a8"/>
          <w:rFonts w:ascii="Times New Roman" w:hAnsi="Times New Roman"/>
          <w:sz w:val="28"/>
          <w:szCs w:val="28"/>
        </w:rPr>
        <w:footnoteReference w:id="9"/>
      </w:r>
      <w:r w:rsidRPr="00B6063F">
        <w:rPr>
          <w:rFonts w:ascii="Times New Roman" w:hAnsi="Times New Roman"/>
          <w:sz w:val="28"/>
          <w:szCs w:val="28"/>
        </w:rPr>
        <w:t>. Потребление угля в мире в большей степени лок</w:t>
      </w:r>
      <w:r>
        <w:rPr>
          <w:rFonts w:ascii="Times New Roman" w:hAnsi="Times New Roman"/>
          <w:sz w:val="28"/>
          <w:szCs w:val="28"/>
        </w:rPr>
        <w:t>ализовано и на экспорт поставля</w:t>
      </w:r>
      <w:r w:rsidRPr="00B6063F">
        <w:rPr>
          <w:rFonts w:ascii="Times New Roman" w:hAnsi="Times New Roman"/>
          <w:sz w:val="28"/>
          <w:szCs w:val="28"/>
        </w:rPr>
        <w:t>ется</w:t>
      </w:r>
      <w:proofErr w:type="gramEnd"/>
      <w:r w:rsidRPr="00B6063F">
        <w:rPr>
          <w:rFonts w:ascii="Times New Roman" w:hAnsi="Times New Roman"/>
          <w:sz w:val="28"/>
          <w:szCs w:val="28"/>
        </w:rPr>
        <w:t xml:space="preserve"> не более одной шестой его добычи в мире. Китай остается лидером по производству угля в мире: его добыча в стране возросла за </w:t>
      </w:r>
      <w:proofErr w:type="gramStart"/>
      <w:r w:rsidRPr="00B6063F">
        <w:rPr>
          <w:rFonts w:ascii="Times New Roman" w:hAnsi="Times New Roman"/>
          <w:sz w:val="28"/>
          <w:szCs w:val="28"/>
        </w:rPr>
        <w:t>последние</w:t>
      </w:r>
      <w:proofErr w:type="gramEnd"/>
      <w:r w:rsidRPr="00B6063F">
        <w:rPr>
          <w:rFonts w:ascii="Times New Roman" w:hAnsi="Times New Roman"/>
          <w:sz w:val="28"/>
          <w:szCs w:val="28"/>
        </w:rPr>
        <w:t xml:space="preserve"> д</w:t>
      </w:r>
      <w:r>
        <w:rPr>
          <w:rFonts w:ascii="Times New Roman" w:hAnsi="Times New Roman"/>
          <w:sz w:val="28"/>
          <w:szCs w:val="28"/>
        </w:rPr>
        <w:t>есть лет на 66%</w:t>
      </w:r>
      <w:r>
        <w:rPr>
          <w:rStyle w:val="a8"/>
          <w:rFonts w:ascii="Times New Roman" w:hAnsi="Times New Roman"/>
          <w:sz w:val="28"/>
          <w:szCs w:val="28"/>
        </w:rPr>
        <w:footnoteReference w:id="10"/>
      </w:r>
      <w:r>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Если говорить о структуре энергопотр</w:t>
      </w:r>
      <w:r>
        <w:rPr>
          <w:rFonts w:ascii="Times New Roman" w:hAnsi="Times New Roman"/>
          <w:sz w:val="28"/>
          <w:szCs w:val="28"/>
        </w:rPr>
        <w:t>ебления в мире, то ключевыми по</w:t>
      </w:r>
      <w:r w:rsidRPr="00B6063F">
        <w:rPr>
          <w:rFonts w:ascii="Times New Roman" w:hAnsi="Times New Roman"/>
          <w:sz w:val="28"/>
          <w:szCs w:val="28"/>
        </w:rPr>
        <w:t>требителями нефти (по данным за 2015 год</w:t>
      </w:r>
      <w:r>
        <w:rPr>
          <w:rFonts w:ascii="Times New Roman" w:hAnsi="Times New Roman"/>
          <w:sz w:val="28"/>
          <w:szCs w:val="28"/>
        </w:rPr>
        <w:t>) остаются США и Китая, на которые</w:t>
      </w:r>
      <w:r w:rsidRPr="00B6063F">
        <w:rPr>
          <w:rFonts w:ascii="Times New Roman" w:hAnsi="Times New Roman"/>
          <w:sz w:val="28"/>
          <w:szCs w:val="28"/>
        </w:rPr>
        <w:t xml:space="preserve"> пришлось 32,6% общемирового потребления нефти в мире (их доля почти не изменилась с 2005 г.). Для почти всех развитых стран наблюдается снижение потребления нефти: в 2005-2015 гг. потребление нефти в Германии снизилось на 10,0%, во Франции – на 18,3</w:t>
      </w:r>
      <w:r>
        <w:rPr>
          <w:rFonts w:ascii="Times New Roman" w:hAnsi="Times New Roman"/>
          <w:sz w:val="28"/>
          <w:szCs w:val="28"/>
        </w:rPr>
        <w:t>%</w:t>
      </w:r>
      <w:r w:rsidRPr="00B6063F">
        <w:rPr>
          <w:rFonts w:ascii="Times New Roman" w:hAnsi="Times New Roman"/>
          <w:sz w:val="28"/>
          <w:szCs w:val="28"/>
        </w:rPr>
        <w:t>, в Японии – на 23,4</w:t>
      </w:r>
      <w:r>
        <w:rPr>
          <w:rFonts w:ascii="Times New Roman" w:hAnsi="Times New Roman"/>
          <w:sz w:val="28"/>
          <w:szCs w:val="28"/>
        </w:rPr>
        <w:t>%</w:t>
      </w:r>
      <w:r w:rsidRPr="00B6063F">
        <w:rPr>
          <w:rFonts w:ascii="Times New Roman" w:hAnsi="Times New Roman"/>
          <w:sz w:val="28"/>
          <w:szCs w:val="28"/>
        </w:rPr>
        <w:t>. В структуре общемирового потребления газа на три крупнейших потребителя – США, Россию и Китай – в 2015 г. приходилось 39,4% общемирового потребления этого товара. Потребление угля в мире более сконцентрировано в разрезе стран: здесь доминируют Китай, Индия и СШ</w:t>
      </w:r>
      <w:r>
        <w:rPr>
          <w:rFonts w:ascii="Times New Roman" w:hAnsi="Times New Roman"/>
          <w:sz w:val="28"/>
          <w:szCs w:val="28"/>
        </w:rPr>
        <w:t>А – на эти страны в 2015 г. при</w:t>
      </w:r>
      <w:r w:rsidRPr="00B6063F">
        <w:rPr>
          <w:rFonts w:ascii="Times New Roman" w:hAnsi="Times New Roman"/>
          <w:sz w:val="28"/>
          <w:szCs w:val="28"/>
        </w:rPr>
        <w:t>шлось 70,9% общемирового потребления угля. Лидером в производстве атомной энергии остаются США и Франция (49,4% мир</w:t>
      </w:r>
      <w:r>
        <w:rPr>
          <w:rFonts w:ascii="Times New Roman" w:hAnsi="Times New Roman"/>
          <w:sz w:val="28"/>
          <w:szCs w:val="28"/>
        </w:rPr>
        <w:t>ового производства в 2015 г.)</w:t>
      </w:r>
      <w:r>
        <w:rPr>
          <w:rStyle w:val="a8"/>
          <w:rFonts w:ascii="Times New Roman" w:hAnsi="Times New Roman"/>
          <w:sz w:val="28"/>
          <w:szCs w:val="28"/>
        </w:rPr>
        <w:footnoteReference w:id="11"/>
      </w:r>
      <w:r>
        <w:rPr>
          <w:rFonts w:ascii="Times New Roman" w:hAnsi="Times New Roman"/>
          <w:sz w:val="28"/>
          <w:szCs w:val="28"/>
        </w:rPr>
        <w:t>.</w:t>
      </w:r>
      <w:r w:rsidRPr="00B6063F">
        <w:rPr>
          <w:rFonts w:ascii="Times New Roman" w:hAnsi="Times New Roman"/>
          <w:sz w:val="28"/>
          <w:szCs w:val="28"/>
        </w:rPr>
        <w:t xml:space="preserve"> Очевидно, что важную роль в мировом </w:t>
      </w:r>
      <w:r w:rsidRPr="00B6063F">
        <w:rPr>
          <w:rFonts w:ascii="Times New Roman" w:hAnsi="Times New Roman"/>
          <w:sz w:val="28"/>
          <w:szCs w:val="28"/>
        </w:rPr>
        <w:lastRenderedPageBreak/>
        <w:t>э</w:t>
      </w:r>
      <w:r>
        <w:rPr>
          <w:rFonts w:ascii="Times New Roman" w:hAnsi="Times New Roman"/>
          <w:sz w:val="28"/>
          <w:szCs w:val="28"/>
        </w:rPr>
        <w:t>нергобалансе начинают играть во</w:t>
      </w:r>
      <w:r w:rsidRPr="00B6063F">
        <w:rPr>
          <w:rFonts w:ascii="Times New Roman" w:hAnsi="Times New Roman"/>
          <w:sz w:val="28"/>
          <w:szCs w:val="28"/>
        </w:rPr>
        <w:t>зобновляемые источники энергии, хотя бы с точки зрения беспрецедентной динамики их развития в последние годы.</w:t>
      </w:r>
    </w:p>
    <w:p w:rsidR="00BB5DC7" w:rsidRPr="00B6063F" w:rsidRDefault="00BB5DC7" w:rsidP="00BB5DC7">
      <w:pPr>
        <w:spacing w:after="0" w:line="360" w:lineRule="auto"/>
        <w:ind w:firstLine="708"/>
        <w:jc w:val="both"/>
        <w:rPr>
          <w:rFonts w:ascii="Times New Roman" w:hAnsi="Times New Roman"/>
          <w:sz w:val="28"/>
          <w:szCs w:val="28"/>
        </w:rPr>
      </w:pPr>
      <w:proofErr w:type="gramStart"/>
      <w:r w:rsidRPr="00B6063F">
        <w:rPr>
          <w:rFonts w:ascii="Times New Roman" w:hAnsi="Times New Roman"/>
          <w:sz w:val="28"/>
          <w:szCs w:val="28"/>
        </w:rPr>
        <w:t xml:space="preserve">Если рассматривать энергопотребление в мире в целом за 2015 г., то крупнейшими потребителями энергии являются Китай (3,0 млрд. </w:t>
      </w:r>
      <w:proofErr w:type="spellStart"/>
      <w:r w:rsidRPr="00B6063F">
        <w:rPr>
          <w:rFonts w:ascii="Times New Roman" w:hAnsi="Times New Roman"/>
          <w:sz w:val="28"/>
          <w:szCs w:val="28"/>
        </w:rPr>
        <w:t>т.н.э</w:t>
      </w:r>
      <w:proofErr w:type="spellEnd"/>
      <w:r w:rsidRPr="00B6063F">
        <w:rPr>
          <w:rFonts w:ascii="Times New Roman" w:hAnsi="Times New Roman"/>
          <w:sz w:val="28"/>
          <w:szCs w:val="28"/>
        </w:rPr>
        <w:t xml:space="preserve">.), США (2,3 млрд. </w:t>
      </w:r>
      <w:proofErr w:type="spellStart"/>
      <w:r w:rsidRPr="00B6063F">
        <w:rPr>
          <w:rFonts w:ascii="Times New Roman" w:hAnsi="Times New Roman"/>
          <w:sz w:val="28"/>
          <w:szCs w:val="28"/>
        </w:rPr>
        <w:t>т.н.э</w:t>
      </w:r>
      <w:proofErr w:type="spellEnd"/>
      <w:r w:rsidRPr="00B6063F">
        <w:rPr>
          <w:rFonts w:ascii="Times New Roman" w:hAnsi="Times New Roman"/>
          <w:sz w:val="28"/>
          <w:szCs w:val="28"/>
        </w:rPr>
        <w:t xml:space="preserve">.), Индия (0,7 млрд. </w:t>
      </w:r>
      <w:proofErr w:type="spellStart"/>
      <w:r w:rsidRPr="00B6063F">
        <w:rPr>
          <w:rFonts w:ascii="Times New Roman" w:hAnsi="Times New Roman"/>
          <w:sz w:val="28"/>
          <w:szCs w:val="28"/>
        </w:rPr>
        <w:t>т.н.э</w:t>
      </w:r>
      <w:proofErr w:type="spellEnd"/>
      <w:r w:rsidRPr="00B6063F">
        <w:rPr>
          <w:rFonts w:ascii="Times New Roman" w:hAnsi="Times New Roman"/>
          <w:sz w:val="28"/>
          <w:szCs w:val="28"/>
        </w:rPr>
        <w:t xml:space="preserve">.), Россия (0,67 млрд. </w:t>
      </w:r>
      <w:proofErr w:type="spellStart"/>
      <w:r w:rsidRPr="00B6063F">
        <w:rPr>
          <w:rFonts w:ascii="Times New Roman" w:hAnsi="Times New Roman"/>
          <w:sz w:val="28"/>
          <w:szCs w:val="28"/>
        </w:rPr>
        <w:t>т.н.э</w:t>
      </w:r>
      <w:proofErr w:type="spellEnd"/>
      <w:r w:rsidRPr="00B6063F">
        <w:rPr>
          <w:rFonts w:ascii="Times New Roman" w:hAnsi="Times New Roman"/>
          <w:sz w:val="28"/>
          <w:szCs w:val="28"/>
        </w:rPr>
        <w:t xml:space="preserve">.) и Япония (0,45 млрд. </w:t>
      </w:r>
      <w:proofErr w:type="spellStart"/>
      <w:r w:rsidRPr="00B6063F">
        <w:rPr>
          <w:rFonts w:ascii="Times New Roman" w:hAnsi="Times New Roman"/>
          <w:sz w:val="28"/>
          <w:szCs w:val="28"/>
        </w:rPr>
        <w:t>т.н.э</w:t>
      </w:r>
      <w:proofErr w:type="spellEnd"/>
      <w:r w:rsidRPr="00B6063F">
        <w:rPr>
          <w:rFonts w:ascii="Times New Roman" w:hAnsi="Times New Roman"/>
          <w:sz w:val="28"/>
          <w:szCs w:val="28"/>
        </w:rPr>
        <w:t>.) – на эти пять стран приходится 54% потребления энергии в мире.</w:t>
      </w:r>
      <w:proofErr w:type="gramEnd"/>
      <w:r w:rsidRPr="00B6063F">
        <w:rPr>
          <w:rFonts w:ascii="Times New Roman" w:hAnsi="Times New Roman"/>
          <w:sz w:val="28"/>
          <w:szCs w:val="28"/>
        </w:rPr>
        <w:t xml:space="preserve"> </w:t>
      </w:r>
      <w:proofErr w:type="gramStart"/>
      <w:r w:rsidRPr="00B6063F">
        <w:rPr>
          <w:rFonts w:ascii="Times New Roman" w:hAnsi="Times New Roman"/>
          <w:sz w:val="28"/>
          <w:szCs w:val="28"/>
        </w:rPr>
        <w:t xml:space="preserve">Между тем, структура энергобалансов </w:t>
      </w:r>
      <w:r>
        <w:rPr>
          <w:rFonts w:ascii="Times New Roman" w:hAnsi="Times New Roman"/>
          <w:sz w:val="28"/>
          <w:szCs w:val="28"/>
        </w:rPr>
        <w:t>указанных стран существенно раз</w:t>
      </w:r>
      <w:r w:rsidRPr="00B6063F">
        <w:rPr>
          <w:rFonts w:ascii="Times New Roman" w:hAnsi="Times New Roman"/>
          <w:sz w:val="28"/>
          <w:szCs w:val="28"/>
        </w:rPr>
        <w:t>личается: если в Китае и Индии в национальном энергопотреблении преобладает уголь (63,7</w:t>
      </w:r>
      <w:r>
        <w:rPr>
          <w:rFonts w:ascii="Times New Roman" w:hAnsi="Times New Roman"/>
          <w:sz w:val="28"/>
          <w:szCs w:val="28"/>
        </w:rPr>
        <w:t>%</w:t>
      </w:r>
      <w:r w:rsidRPr="00B6063F">
        <w:rPr>
          <w:rFonts w:ascii="Times New Roman" w:hAnsi="Times New Roman"/>
          <w:sz w:val="28"/>
          <w:szCs w:val="28"/>
        </w:rPr>
        <w:t xml:space="preserve"> и 58,1% соответственно), то в Японии и США – нефть (42,2</w:t>
      </w:r>
      <w:r>
        <w:rPr>
          <w:rFonts w:ascii="Times New Roman" w:hAnsi="Times New Roman"/>
          <w:sz w:val="28"/>
          <w:szCs w:val="28"/>
        </w:rPr>
        <w:t>%</w:t>
      </w:r>
      <w:r w:rsidRPr="00B6063F">
        <w:rPr>
          <w:rFonts w:ascii="Times New Roman" w:hAnsi="Times New Roman"/>
          <w:sz w:val="28"/>
          <w:szCs w:val="28"/>
        </w:rPr>
        <w:t xml:space="preserve"> и 37,3% соответственно), а в России – природный газ (53,0% в структуре энерго</w:t>
      </w:r>
      <w:r>
        <w:rPr>
          <w:rFonts w:ascii="Times New Roman" w:hAnsi="Times New Roman"/>
          <w:sz w:val="28"/>
          <w:szCs w:val="28"/>
        </w:rPr>
        <w:t>потребления страны)</w:t>
      </w:r>
      <w:r>
        <w:rPr>
          <w:rStyle w:val="a8"/>
          <w:rFonts w:ascii="Times New Roman" w:hAnsi="Times New Roman"/>
          <w:sz w:val="28"/>
          <w:szCs w:val="28"/>
        </w:rPr>
        <w:footnoteReference w:id="12"/>
      </w:r>
      <w:r>
        <w:rPr>
          <w:rFonts w:ascii="Times New Roman" w:hAnsi="Times New Roman"/>
          <w:sz w:val="28"/>
          <w:szCs w:val="28"/>
        </w:rPr>
        <w:t>.</w:t>
      </w:r>
      <w:r w:rsidRPr="00B6063F">
        <w:rPr>
          <w:rFonts w:ascii="Times New Roman" w:hAnsi="Times New Roman"/>
          <w:sz w:val="28"/>
          <w:szCs w:val="28"/>
        </w:rPr>
        <w:t xml:space="preserve"> Традиционно высока доля вида топлива в тех странах, которые специализируются на его добыче (так, для Туркменистана, Катара, Азербайджана</w:t>
      </w:r>
      <w:proofErr w:type="gramEnd"/>
      <w:r w:rsidRPr="00B6063F">
        <w:rPr>
          <w:rFonts w:ascii="Times New Roman" w:hAnsi="Times New Roman"/>
          <w:sz w:val="28"/>
          <w:szCs w:val="28"/>
        </w:rPr>
        <w:t xml:space="preserve"> и Ирана доля газа в энергобалансе составляет соответственно 80</w:t>
      </w:r>
      <w:r>
        <w:rPr>
          <w:rFonts w:ascii="Times New Roman" w:hAnsi="Times New Roman"/>
          <w:sz w:val="28"/>
          <w:szCs w:val="28"/>
        </w:rPr>
        <w:t>%</w:t>
      </w:r>
      <w:r w:rsidRPr="00B6063F">
        <w:rPr>
          <w:rFonts w:ascii="Times New Roman" w:hAnsi="Times New Roman"/>
          <w:sz w:val="28"/>
          <w:szCs w:val="28"/>
        </w:rPr>
        <w:t>, 80</w:t>
      </w:r>
      <w:r>
        <w:rPr>
          <w:rFonts w:ascii="Times New Roman" w:hAnsi="Times New Roman"/>
          <w:sz w:val="28"/>
          <w:szCs w:val="28"/>
        </w:rPr>
        <w:t>%</w:t>
      </w:r>
      <w:r w:rsidRPr="00B6063F">
        <w:rPr>
          <w:rFonts w:ascii="Times New Roman" w:hAnsi="Times New Roman"/>
          <w:sz w:val="28"/>
          <w:szCs w:val="28"/>
        </w:rPr>
        <w:t>, 63</w:t>
      </w:r>
      <w:r>
        <w:rPr>
          <w:rFonts w:ascii="Times New Roman" w:hAnsi="Times New Roman"/>
          <w:sz w:val="28"/>
          <w:szCs w:val="28"/>
        </w:rPr>
        <w:t>%</w:t>
      </w:r>
      <w:r w:rsidRPr="00B6063F">
        <w:rPr>
          <w:rFonts w:ascii="Times New Roman" w:hAnsi="Times New Roman"/>
          <w:sz w:val="28"/>
          <w:szCs w:val="28"/>
        </w:rPr>
        <w:t xml:space="preserve"> и 61 %; доля угля в национальных эне</w:t>
      </w:r>
      <w:r>
        <w:rPr>
          <w:rFonts w:ascii="Times New Roman" w:hAnsi="Times New Roman"/>
          <w:sz w:val="28"/>
          <w:szCs w:val="28"/>
        </w:rPr>
        <w:t>ргобалансах ЮАР и Казахстана со</w:t>
      </w:r>
      <w:r w:rsidRPr="00B6063F">
        <w:rPr>
          <w:rFonts w:ascii="Times New Roman" w:hAnsi="Times New Roman"/>
          <w:sz w:val="28"/>
          <w:szCs w:val="28"/>
        </w:rPr>
        <w:t>ставляет соответственно 71</w:t>
      </w:r>
      <w:r>
        <w:rPr>
          <w:rFonts w:ascii="Times New Roman" w:hAnsi="Times New Roman"/>
          <w:sz w:val="28"/>
          <w:szCs w:val="28"/>
        </w:rPr>
        <w:t>% и 64%)</w:t>
      </w:r>
      <w:r>
        <w:rPr>
          <w:rStyle w:val="a8"/>
          <w:rFonts w:ascii="Times New Roman" w:hAnsi="Times New Roman"/>
          <w:sz w:val="28"/>
          <w:szCs w:val="28"/>
        </w:rPr>
        <w:footnoteReference w:id="13"/>
      </w:r>
      <w:r>
        <w:rPr>
          <w:rFonts w:ascii="Times New Roman" w:hAnsi="Times New Roman"/>
          <w:sz w:val="28"/>
          <w:szCs w:val="28"/>
        </w:rPr>
        <w:t>.</w:t>
      </w:r>
      <w:r w:rsidRPr="00B6063F">
        <w:rPr>
          <w:rFonts w:ascii="Times New Roman" w:hAnsi="Times New Roman"/>
          <w:sz w:val="28"/>
          <w:szCs w:val="28"/>
        </w:rPr>
        <w:t xml:space="preserve"> В некоторых странах высока доля энергии ГЭС</w:t>
      </w:r>
      <w:r>
        <w:rPr>
          <w:rFonts w:ascii="Times New Roman" w:hAnsi="Times New Roman"/>
          <w:sz w:val="28"/>
          <w:szCs w:val="28"/>
        </w:rPr>
        <w:t xml:space="preserve"> </w:t>
      </w:r>
      <w:r w:rsidRPr="00B6063F">
        <w:rPr>
          <w:rFonts w:ascii="Times New Roman" w:hAnsi="Times New Roman"/>
          <w:sz w:val="28"/>
          <w:szCs w:val="28"/>
        </w:rPr>
        <w:t>(в 2015 г. в Норвегии – 65,2%, в Швеции – 31,9%). Во Франции доля энергии, производимой на АЭС, в национальном энергобалансе составляет 41,4%.</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В целом, структура национального энергетического баланса разных стран отличается ввиду особенностей внутреннего</w:t>
      </w:r>
      <w:r>
        <w:rPr>
          <w:rFonts w:ascii="Times New Roman" w:hAnsi="Times New Roman"/>
          <w:sz w:val="28"/>
          <w:szCs w:val="28"/>
        </w:rPr>
        <w:t xml:space="preserve"> потребления и производства пер</w:t>
      </w:r>
      <w:r w:rsidRPr="00B6063F">
        <w:rPr>
          <w:rFonts w:ascii="Times New Roman" w:hAnsi="Times New Roman"/>
          <w:sz w:val="28"/>
          <w:szCs w:val="28"/>
        </w:rPr>
        <w:t xml:space="preserve">вичных энергоносителей, а также темпов и направлений социально-экономического развития. Многие ведущие страны являются нетто-импортерами энергоносителей. В абсолютном выражении наибольший дефицит энергоносителей (превышение производства над потреблением) испытывают Китай, Япония, США, Индия и Южная Корея. Если же </w:t>
      </w:r>
      <w:r>
        <w:rPr>
          <w:rFonts w:ascii="Times New Roman" w:hAnsi="Times New Roman"/>
          <w:sz w:val="28"/>
          <w:szCs w:val="28"/>
        </w:rPr>
        <w:lastRenderedPageBreak/>
        <w:t>рассматривать долю по</w:t>
      </w:r>
      <w:r w:rsidRPr="00B6063F">
        <w:rPr>
          <w:rFonts w:ascii="Times New Roman" w:hAnsi="Times New Roman"/>
          <w:sz w:val="28"/>
          <w:szCs w:val="28"/>
        </w:rPr>
        <w:t>требления, обеспеченного за счет импорта, то,</w:t>
      </w:r>
      <w:r>
        <w:rPr>
          <w:rFonts w:ascii="Times New Roman" w:hAnsi="Times New Roman"/>
          <w:sz w:val="28"/>
          <w:szCs w:val="28"/>
        </w:rPr>
        <w:t xml:space="preserve"> например, в Японии этот показа</w:t>
      </w:r>
      <w:r w:rsidRPr="00B6063F">
        <w:rPr>
          <w:rFonts w:ascii="Times New Roman" w:hAnsi="Times New Roman"/>
          <w:sz w:val="28"/>
          <w:szCs w:val="28"/>
        </w:rPr>
        <w:t>тель составляет 93%, в Южной Корее – 86%, тогда как, например, в Китае – лишь 16%, а в США – 13%. Относительно вы</w:t>
      </w:r>
      <w:r>
        <w:rPr>
          <w:rFonts w:ascii="Times New Roman" w:hAnsi="Times New Roman"/>
          <w:sz w:val="28"/>
          <w:szCs w:val="28"/>
        </w:rPr>
        <w:t>сокий уровень зависимости от им</w:t>
      </w:r>
      <w:r w:rsidRPr="00B6063F">
        <w:rPr>
          <w:rFonts w:ascii="Times New Roman" w:hAnsi="Times New Roman"/>
          <w:sz w:val="28"/>
          <w:szCs w:val="28"/>
        </w:rPr>
        <w:t>порта энергоносителей демонстрируют Германия (65%), Италия (73%), Ф</w:t>
      </w:r>
      <w:r>
        <w:rPr>
          <w:rFonts w:ascii="Times New Roman" w:hAnsi="Times New Roman"/>
          <w:sz w:val="28"/>
          <w:szCs w:val="28"/>
        </w:rPr>
        <w:t>ран</w:t>
      </w:r>
      <w:r w:rsidRPr="00B6063F">
        <w:rPr>
          <w:rFonts w:ascii="Times New Roman" w:hAnsi="Times New Roman"/>
          <w:sz w:val="28"/>
          <w:szCs w:val="28"/>
        </w:rPr>
        <w:t>ция (50%), Испания (70%).</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Среди прочих стран мира для Китая характерны наиболее высокие и устойчивые темпы экономического роста, поэтому производство энергоносителей в этой стране не успевает за их потреблением</w:t>
      </w:r>
      <w:r>
        <w:rPr>
          <w:rFonts w:ascii="Times New Roman" w:hAnsi="Times New Roman"/>
          <w:sz w:val="28"/>
          <w:szCs w:val="28"/>
        </w:rPr>
        <w:t>. Это обстоятельство предопреде</w:t>
      </w:r>
      <w:r w:rsidRPr="00B6063F">
        <w:rPr>
          <w:rFonts w:ascii="Times New Roman" w:hAnsi="Times New Roman"/>
          <w:sz w:val="28"/>
          <w:szCs w:val="28"/>
        </w:rPr>
        <w:t>ляет энергетическую стратегию страны, нацеленную на расширение закупок на внешних рынках. США же стремятся повысить эффективность использования энергоносителей, сокращают их импорт и увеличивают собственное производство. Страны ЕС, в свою очередь, стремятся ограничить внутреннее энергопотребление.</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Среди крупнейших субъектов глобальной энергетики Россия является единственной страной с существенным прео</w:t>
      </w:r>
      <w:r>
        <w:rPr>
          <w:rFonts w:ascii="Times New Roman" w:hAnsi="Times New Roman"/>
          <w:sz w:val="28"/>
          <w:szCs w:val="28"/>
        </w:rPr>
        <w:t>бладанием производства энергети</w:t>
      </w:r>
      <w:r w:rsidRPr="00B6063F">
        <w:rPr>
          <w:rFonts w:ascii="Times New Roman" w:hAnsi="Times New Roman"/>
          <w:sz w:val="28"/>
          <w:szCs w:val="28"/>
        </w:rPr>
        <w:t xml:space="preserve">ческих ресурсов над их потреблением. Экономика Китая, зависящая от импорта энергоносителей, тем не </w:t>
      </w:r>
      <w:proofErr w:type="gramStart"/>
      <w:r w:rsidRPr="00B6063F">
        <w:rPr>
          <w:rFonts w:ascii="Times New Roman" w:hAnsi="Times New Roman"/>
          <w:sz w:val="28"/>
          <w:szCs w:val="28"/>
        </w:rPr>
        <w:t>менее</w:t>
      </w:r>
      <w:proofErr w:type="gramEnd"/>
      <w:r w:rsidRPr="00B6063F">
        <w:rPr>
          <w:rFonts w:ascii="Times New Roman" w:hAnsi="Times New Roman"/>
          <w:sz w:val="28"/>
          <w:szCs w:val="28"/>
        </w:rPr>
        <w:t xml:space="preserve"> идет по пути наращивания производства энергоносителей. </w:t>
      </w:r>
      <w:r>
        <w:rPr>
          <w:rFonts w:ascii="Times New Roman" w:hAnsi="Times New Roman"/>
          <w:sz w:val="28"/>
          <w:szCs w:val="28"/>
        </w:rPr>
        <w:t xml:space="preserve">Так, </w:t>
      </w:r>
      <w:r w:rsidRPr="00B6063F">
        <w:rPr>
          <w:rFonts w:ascii="Times New Roman" w:hAnsi="Times New Roman"/>
          <w:sz w:val="28"/>
          <w:szCs w:val="28"/>
        </w:rPr>
        <w:t>за период 2005-2015 гг. Китай увеличил добычу нефти на 18,1%, добычу газа – в 2,7 раза, угля – на 47%, энерг</w:t>
      </w:r>
      <w:proofErr w:type="gramStart"/>
      <w:r w:rsidRPr="00B6063F">
        <w:rPr>
          <w:rFonts w:ascii="Times New Roman" w:hAnsi="Times New Roman"/>
          <w:sz w:val="28"/>
          <w:szCs w:val="28"/>
        </w:rPr>
        <w:t>ии АЭ</w:t>
      </w:r>
      <w:proofErr w:type="gramEnd"/>
      <w:r w:rsidRPr="00B6063F">
        <w:rPr>
          <w:rFonts w:ascii="Times New Roman" w:hAnsi="Times New Roman"/>
          <w:sz w:val="28"/>
          <w:szCs w:val="28"/>
        </w:rPr>
        <w:t>С – в 3,2 раза, энергии ГЭС – в 2,8 раза, энергии из возобновляемых источ</w:t>
      </w:r>
      <w:r>
        <w:rPr>
          <w:rFonts w:ascii="Times New Roman" w:hAnsi="Times New Roman"/>
          <w:sz w:val="28"/>
          <w:szCs w:val="28"/>
        </w:rPr>
        <w:t>ников – в 37</w:t>
      </w:r>
      <w:r w:rsidRPr="00B6063F">
        <w:rPr>
          <w:rFonts w:ascii="Times New Roman" w:hAnsi="Times New Roman"/>
          <w:sz w:val="28"/>
          <w:szCs w:val="28"/>
        </w:rPr>
        <w:t xml:space="preserve"> раз. В итоге Китай занимает второе место в мире после США по производству энергии из возобновляемых источников (17,1% мирового производства). В США в 2009-2015 гг. добыча нефти возросла на 70,4%, а газа – на 31,4%, и это существенно увеличило обеспеченность страны энергоносителями. Большая часть прироста обеспечена ростом объема добычи углеводородов из сланцевых пород (в четыре раза за </w:t>
      </w:r>
      <w:r w:rsidRPr="00B6063F">
        <w:rPr>
          <w:rFonts w:ascii="Times New Roman" w:hAnsi="Times New Roman"/>
          <w:sz w:val="28"/>
          <w:szCs w:val="28"/>
        </w:rPr>
        <w:lastRenderedPageBreak/>
        <w:t>рассматриваемый период), доля которых в производстве страны возросла с 10</w:t>
      </w:r>
      <w:r>
        <w:rPr>
          <w:rFonts w:ascii="Times New Roman" w:hAnsi="Times New Roman"/>
          <w:sz w:val="28"/>
          <w:szCs w:val="28"/>
        </w:rPr>
        <w:t>%</w:t>
      </w:r>
      <w:r w:rsidRPr="00B6063F">
        <w:rPr>
          <w:rFonts w:ascii="Times New Roman" w:hAnsi="Times New Roman"/>
          <w:sz w:val="28"/>
          <w:szCs w:val="28"/>
        </w:rPr>
        <w:t xml:space="preserve"> до 35%</w:t>
      </w:r>
      <w:r>
        <w:rPr>
          <w:rStyle w:val="a8"/>
          <w:rFonts w:ascii="Times New Roman" w:hAnsi="Times New Roman"/>
          <w:sz w:val="28"/>
          <w:szCs w:val="28"/>
        </w:rPr>
        <w:footnoteReference w:id="14"/>
      </w:r>
      <w:r w:rsidRPr="00B6063F">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В России</w:t>
      </w:r>
      <w:r w:rsidRPr="00B6063F">
        <w:rPr>
          <w:rFonts w:ascii="Times New Roman" w:hAnsi="Times New Roman"/>
          <w:sz w:val="28"/>
          <w:szCs w:val="28"/>
        </w:rPr>
        <w:t xml:space="preserve"> на нефтегазовый сектор приходится около </w:t>
      </w:r>
      <w:r>
        <w:rPr>
          <w:rFonts w:ascii="Times New Roman" w:hAnsi="Times New Roman"/>
          <w:sz w:val="28"/>
          <w:szCs w:val="28"/>
        </w:rPr>
        <w:t>одной трети</w:t>
      </w:r>
      <w:r w:rsidRPr="00B6063F">
        <w:rPr>
          <w:rFonts w:ascii="Times New Roman" w:hAnsi="Times New Roman"/>
          <w:sz w:val="28"/>
          <w:szCs w:val="28"/>
        </w:rPr>
        <w:t xml:space="preserve"> ВВП двух третей национального экспорта. На 10 крупнейших</w:t>
      </w:r>
      <w:r>
        <w:rPr>
          <w:rFonts w:ascii="Times New Roman" w:hAnsi="Times New Roman"/>
          <w:sz w:val="28"/>
          <w:szCs w:val="28"/>
        </w:rPr>
        <w:t xml:space="preserve"> отечественных энергетических компаний</w:t>
      </w:r>
      <w:r w:rsidRPr="00B6063F">
        <w:rPr>
          <w:rFonts w:ascii="Times New Roman" w:hAnsi="Times New Roman"/>
          <w:sz w:val="28"/>
          <w:szCs w:val="28"/>
        </w:rPr>
        <w:t xml:space="preserve"> приходится около 70% российской нефтедобычи. Добыча газа </w:t>
      </w:r>
      <w:r>
        <w:rPr>
          <w:rFonts w:ascii="Times New Roman" w:hAnsi="Times New Roman"/>
          <w:sz w:val="28"/>
          <w:szCs w:val="28"/>
        </w:rPr>
        <w:t>более монополизирована – на ком</w:t>
      </w:r>
      <w:r w:rsidRPr="00B6063F">
        <w:rPr>
          <w:rFonts w:ascii="Times New Roman" w:hAnsi="Times New Roman"/>
          <w:sz w:val="28"/>
          <w:szCs w:val="28"/>
        </w:rPr>
        <w:t xml:space="preserve">панию «Газпром» приходится 79% российской и 14% мировой газодобычи. В условиях действия санкций Россия предприняла ряд </w:t>
      </w:r>
      <w:proofErr w:type="gramStart"/>
      <w:r w:rsidRPr="00B6063F">
        <w:rPr>
          <w:rFonts w:ascii="Times New Roman" w:hAnsi="Times New Roman"/>
          <w:sz w:val="28"/>
          <w:szCs w:val="28"/>
        </w:rPr>
        <w:t>попыток диверсификации направлений экспорта углеводородов</w:t>
      </w:r>
      <w:proofErr w:type="gramEnd"/>
      <w:r w:rsidRPr="00B6063F">
        <w:rPr>
          <w:rFonts w:ascii="Times New Roman" w:hAnsi="Times New Roman"/>
          <w:sz w:val="28"/>
          <w:szCs w:val="28"/>
        </w:rPr>
        <w:t>. Например, в 2014 г. был заключен контракт по строительству трубопровода и экспорте газа в Китай в объеме 38 млрд. куб. м в течение 20 лет, что обеспечит больше половины спроса Китая на газ.</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Мировые рынки энергоносителей в последние годы испытывают </w:t>
      </w:r>
      <w:proofErr w:type="gramStart"/>
      <w:r w:rsidRPr="00B6063F">
        <w:rPr>
          <w:rFonts w:ascii="Times New Roman" w:hAnsi="Times New Roman"/>
          <w:sz w:val="28"/>
          <w:szCs w:val="28"/>
        </w:rPr>
        <w:t>серьезную</w:t>
      </w:r>
      <w:proofErr w:type="gramEnd"/>
      <w:r w:rsidRPr="00B6063F">
        <w:rPr>
          <w:rFonts w:ascii="Times New Roman" w:hAnsi="Times New Roman"/>
          <w:sz w:val="28"/>
          <w:szCs w:val="28"/>
        </w:rPr>
        <w:t xml:space="preserve"> ценовую волатильность. Так, в середине 2014 г. цены на нефть и газ снизились более чем в два раза, при этом период низких цен продолжался вплоть до февраля 2016 г., после чего началась медленная повышательная динамика. Если брать цену на уголь, то с 2011 г. она снижалась последовательно на 40%. Аналогичная тенденция была характерна для цен на урановый концентрат.</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Ситуация с нестабильностью ценообразования на мировом рынке нефти несет серьезные риски для нашей страны и является фактором перехода экономики на более высокий уровень развития, на основе внедрения перерабатывающих технологий, расширения </w:t>
      </w:r>
      <w:proofErr w:type="spellStart"/>
      <w:r w:rsidRPr="00B6063F">
        <w:rPr>
          <w:rFonts w:ascii="Times New Roman" w:hAnsi="Times New Roman"/>
          <w:sz w:val="28"/>
          <w:szCs w:val="28"/>
        </w:rPr>
        <w:t>несырьевого</w:t>
      </w:r>
      <w:proofErr w:type="spellEnd"/>
      <w:r w:rsidRPr="00B6063F">
        <w:rPr>
          <w:rFonts w:ascii="Times New Roman" w:hAnsi="Times New Roman"/>
          <w:sz w:val="28"/>
          <w:szCs w:val="28"/>
        </w:rPr>
        <w:t xml:space="preserve"> экспорта, развития природного и человеческого капиталов.</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В мировом потреблении нефти в последние годы наблюдалось чередование этапов роста и спада. Если в 2004-2009 г</w:t>
      </w:r>
      <w:r>
        <w:rPr>
          <w:rFonts w:ascii="Times New Roman" w:hAnsi="Times New Roman"/>
          <w:sz w:val="28"/>
          <w:szCs w:val="28"/>
        </w:rPr>
        <w:t>г. потребление нефти в мире воз</w:t>
      </w:r>
      <w:r w:rsidRPr="00B6063F">
        <w:rPr>
          <w:rFonts w:ascii="Times New Roman" w:hAnsi="Times New Roman"/>
          <w:sz w:val="28"/>
          <w:szCs w:val="28"/>
        </w:rPr>
        <w:t xml:space="preserve">росло только на 1,3%, то в 2008-2015 гг. – уже на 9,7%. Постепенно </w:t>
      </w:r>
      <w:r>
        <w:rPr>
          <w:rFonts w:ascii="Times New Roman" w:hAnsi="Times New Roman"/>
          <w:sz w:val="28"/>
          <w:szCs w:val="28"/>
        </w:rPr>
        <w:t>происходи</w:t>
      </w:r>
      <w:r w:rsidRPr="00B6063F">
        <w:rPr>
          <w:rFonts w:ascii="Times New Roman" w:hAnsi="Times New Roman"/>
          <w:sz w:val="28"/>
          <w:szCs w:val="28"/>
        </w:rPr>
        <w:t xml:space="preserve">ло смещение центров спроса и предложения. Кроме того, что в </w:t>
      </w:r>
      <w:r w:rsidRPr="00B6063F">
        <w:rPr>
          <w:rFonts w:ascii="Times New Roman" w:hAnsi="Times New Roman"/>
          <w:sz w:val="28"/>
          <w:szCs w:val="28"/>
        </w:rPr>
        <w:lastRenderedPageBreak/>
        <w:t xml:space="preserve">США импорт нефти в </w:t>
      </w:r>
      <w:r>
        <w:rPr>
          <w:rFonts w:ascii="Times New Roman" w:hAnsi="Times New Roman"/>
          <w:sz w:val="28"/>
          <w:szCs w:val="28"/>
        </w:rPr>
        <w:t>2005-2015 г. сократился на 30,5</w:t>
      </w:r>
      <w:r w:rsidRPr="00B6063F">
        <w:rPr>
          <w:rFonts w:ascii="Times New Roman" w:hAnsi="Times New Roman"/>
          <w:sz w:val="28"/>
          <w:szCs w:val="28"/>
        </w:rPr>
        <w:t>%, с</w:t>
      </w:r>
      <w:r>
        <w:rPr>
          <w:rFonts w:ascii="Times New Roman" w:hAnsi="Times New Roman"/>
          <w:sz w:val="28"/>
          <w:szCs w:val="28"/>
        </w:rPr>
        <w:t>ледует сказать об увеличении им</w:t>
      </w:r>
      <w:r w:rsidRPr="00B6063F">
        <w:rPr>
          <w:rFonts w:ascii="Times New Roman" w:hAnsi="Times New Roman"/>
          <w:sz w:val="28"/>
          <w:szCs w:val="28"/>
        </w:rPr>
        <w:t>порта Китаем за указанный период в 2,4 раза и уменьшении импорта Японией на 17%. Что касается международной торговли газом, то она на протяжении 2005-2015 гг. развивалась более равномерно. В международной торговле газом в 2015 г. 32,4% пришлось на СПГ, основными экспортерами которого стал Катар (31,4% всех международных поставок), а импортерами – Япония (34,9% мирового импорта СПГ) и Южная Корея (12,9%)</w:t>
      </w:r>
      <w:r>
        <w:rPr>
          <w:rStyle w:val="a8"/>
          <w:rFonts w:ascii="Times New Roman" w:hAnsi="Times New Roman"/>
          <w:sz w:val="28"/>
          <w:szCs w:val="28"/>
        </w:rPr>
        <w:footnoteReference w:id="15"/>
      </w:r>
      <w:r w:rsidRPr="00B6063F">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В целом, за последние годы потребление первичной энергии в мире продолжало возрастать, тем не менее, темп прир</w:t>
      </w:r>
      <w:r>
        <w:rPr>
          <w:rFonts w:ascii="Times New Roman" w:hAnsi="Times New Roman"/>
          <w:sz w:val="28"/>
          <w:szCs w:val="28"/>
        </w:rPr>
        <w:t>оста был ниже аналогичного пока</w:t>
      </w:r>
      <w:r w:rsidRPr="00B6063F">
        <w:rPr>
          <w:rFonts w:ascii="Times New Roman" w:hAnsi="Times New Roman"/>
          <w:sz w:val="28"/>
          <w:szCs w:val="28"/>
        </w:rPr>
        <w:t>зателя мирового ВВП. В развитых странах – нетто-импортерах внутренний спрос стабилизировался, и тем самым была сокращена зависимость от импорта, а для экономик крупных развивающихся стран был харак</w:t>
      </w:r>
      <w:r>
        <w:rPr>
          <w:rFonts w:ascii="Times New Roman" w:hAnsi="Times New Roman"/>
          <w:sz w:val="28"/>
          <w:szCs w:val="28"/>
        </w:rPr>
        <w:t xml:space="preserve">терен рост </w:t>
      </w:r>
      <w:proofErr w:type="spellStart"/>
      <w:r>
        <w:rPr>
          <w:rFonts w:ascii="Times New Roman" w:hAnsi="Times New Roman"/>
          <w:sz w:val="28"/>
          <w:szCs w:val="28"/>
        </w:rPr>
        <w:t>энергоптотребления</w:t>
      </w:r>
      <w:proofErr w:type="spellEnd"/>
      <w:r>
        <w:rPr>
          <w:rStyle w:val="a8"/>
          <w:rFonts w:ascii="Times New Roman" w:hAnsi="Times New Roman"/>
          <w:sz w:val="28"/>
          <w:szCs w:val="28"/>
        </w:rPr>
        <w:footnoteReference w:id="16"/>
      </w:r>
      <w:r>
        <w:rPr>
          <w:rFonts w:ascii="Times New Roman" w:hAnsi="Times New Roman"/>
          <w:sz w:val="28"/>
          <w:szCs w:val="28"/>
        </w:rPr>
        <w:t>.</w:t>
      </w:r>
      <w:r w:rsidRPr="00B6063F">
        <w:rPr>
          <w:rFonts w:ascii="Times New Roman" w:hAnsi="Times New Roman"/>
          <w:sz w:val="28"/>
          <w:szCs w:val="28"/>
        </w:rPr>
        <w:t xml:space="preserve"> Обеспеченность мировой энергоносителями оставалась стабильной на горизонте, который превышает 50 лет. В 2014 г. сформировалось избыточное предложение по всем видам углеводородного сырья, причиной чему стала позиция ОПЕК, не стремящейся к «справедливой» цене нефти за счет снижении квот на добычу, развития технологий и инфраструктуры в США. В целом для мирового рынка энергоресурсов, начиная со второй половины 2014 г., стала характерной депрессия, характеризующаяся замедлением ключевых показателей.</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При прогнозировании мирового энергопотребления традиционно в качестве ключевых факторов учитывают рост численности населения и экономический рост. Также учитывают климатические особенности отдельных стран, структуру их экономики и энергопотребления, доступность и наличие </w:t>
      </w:r>
      <w:proofErr w:type="gramStart"/>
      <w:r w:rsidRPr="00B6063F">
        <w:rPr>
          <w:rFonts w:ascii="Times New Roman" w:hAnsi="Times New Roman"/>
          <w:sz w:val="28"/>
          <w:szCs w:val="28"/>
        </w:rPr>
        <w:t>энергоресурсов</w:t>
      </w:r>
      <w:proofErr w:type="gramEnd"/>
      <w:r w:rsidRPr="00B6063F">
        <w:rPr>
          <w:rFonts w:ascii="Times New Roman" w:hAnsi="Times New Roman"/>
          <w:sz w:val="28"/>
          <w:szCs w:val="28"/>
        </w:rPr>
        <w:t xml:space="preserve"> и уровень цен на них, научно-технический </w:t>
      </w:r>
      <w:r w:rsidRPr="00B6063F">
        <w:rPr>
          <w:rFonts w:ascii="Times New Roman" w:hAnsi="Times New Roman"/>
          <w:sz w:val="28"/>
          <w:szCs w:val="28"/>
        </w:rPr>
        <w:lastRenderedPageBreak/>
        <w:t xml:space="preserve">прогресс, уровень </w:t>
      </w:r>
      <w:proofErr w:type="spellStart"/>
      <w:r w:rsidRPr="00B6063F">
        <w:rPr>
          <w:rFonts w:ascii="Times New Roman" w:hAnsi="Times New Roman"/>
          <w:sz w:val="28"/>
          <w:szCs w:val="28"/>
        </w:rPr>
        <w:t>энергоэффективности</w:t>
      </w:r>
      <w:proofErr w:type="spellEnd"/>
      <w:r w:rsidRPr="00B6063F">
        <w:rPr>
          <w:rFonts w:ascii="Times New Roman" w:hAnsi="Times New Roman"/>
          <w:sz w:val="28"/>
          <w:szCs w:val="28"/>
        </w:rPr>
        <w:t xml:space="preserve"> национальной экономики, экологические барьеры, энергетическую безопасность, государственную политику в сфере энергообеспечения.</w:t>
      </w:r>
    </w:p>
    <w:p w:rsidR="00BB5DC7" w:rsidRPr="00B6063F"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Отечественный исследователь </w:t>
      </w:r>
      <w:r w:rsidRPr="00B6063F">
        <w:rPr>
          <w:rFonts w:ascii="Times New Roman" w:hAnsi="Times New Roman"/>
          <w:sz w:val="28"/>
          <w:szCs w:val="28"/>
        </w:rPr>
        <w:t xml:space="preserve">А.М. </w:t>
      </w:r>
      <w:proofErr w:type="spellStart"/>
      <w:r w:rsidRPr="00B6063F">
        <w:rPr>
          <w:rFonts w:ascii="Times New Roman" w:hAnsi="Times New Roman"/>
          <w:sz w:val="28"/>
          <w:szCs w:val="28"/>
        </w:rPr>
        <w:t>Мастепанов</w:t>
      </w:r>
      <w:proofErr w:type="spellEnd"/>
      <w:r w:rsidRPr="00B6063F">
        <w:rPr>
          <w:rFonts w:ascii="Times New Roman" w:hAnsi="Times New Roman"/>
          <w:sz w:val="28"/>
          <w:szCs w:val="28"/>
        </w:rPr>
        <w:t xml:space="preserve"> указывает на то, чт</w:t>
      </w:r>
      <w:r>
        <w:rPr>
          <w:rFonts w:ascii="Times New Roman" w:hAnsi="Times New Roman"/>
          <w:sz w:val="28"/>
          <w:szCs w:val="28"/>
        </w:rPr>
        <w:t>о надежность прогнозирования ми</w:t>
      </w:r>
      <w:r w:rsidRPr="00B6063F">
        <w:rPr>
          <w:rFonts w:ascii="Times New Roman" w:hAnsi="Times New Roman"/>
          <w:sz w:val="28"/>
          <w:szCs w:val="28"/>
        </w:rPr>
        <w:t>рового энергопотребления зависит от адекватного и правильного понимания интеграционных</w:t>
      </w:r>
      <w:r>
        <w:rPr>
          <w:rFonts w:ascii="Times New Roman" w:hAnsi="Times New Roman"/>
          <w:sz w:val="28"/>
          <w:szCs w:val="28"/>
        </w:rPr>
        <w:t xml:space="preserve"> процессов в современном мире</w:t>
      </w:r>
      <w:r>
        <w:rPr>
          <w:rStyle w:val="a8"/>
          <w:rFonts w:ascii="Times New Roman" w:hAnsi="Times New Roman"/>
          <w:sz w:val="28"/>
          <w:szCs w:val="28"/>
        </w:rPr>
        <w:footnoteReference w:id="17"/>
      </w:r>
      <w:r>
        <w:rPr>
          <w:rFonts w:ascii="Times New Roman" w:hAnsi="Times New Roman"/>
          <w:sz w:val="28"/>
          <w:szCs w:val="28"/>
        </w:rPr>
        <w:t>.</w:t>
      </w:r>
      <w:r w:rsidRPr="00B6063F">
        <w:rPr>
          <w:rFonts w:ascii="Times New Roman" w:hAnsi="Times New Roman"/>
          <w:sz w:val="28"/>
          <w:szCs w:val="28"/>
        </w:rPr>
        <w:t xml:space="preserve"> Например, формирование Европейского </w:t>
      </w:r>
      <w:r>
        <w:rPr>
          <w:rFonts w:ascii="Times New Roman" w:hAnsi="Times New Roman"/>
          <w:sz w:val="28"/>
          <w:szCs w:val="28"/>
        </w:rPr>
        <w:t>С</w:t>
      </w:r>
      <w:r w:rsidRPr="00B6063F">
        <w:rPr>
          <w:rFonts w:ascii="Times New Roman" w:hAnsi="Times New Roman"/>
          <w:sz w:val="28"/>
          <w:szCs w:val="28"/>
        </w:rPr>
        <w:t xml:space="preserve">оюза (ЕС) оказало серьезное влияние на энергетическую политику его стран-членов, а также на источники покрытия дефицита энергии и масштабы энергопотребления. На современном </w:t>
      </w:r>
      <w:r>
        <w:rPr>
          <w:rFonts w:ascii="Times New Roman" w:hAnsi="Times New Roman"/>
          <w:sz w:val="28"/>
          <w:szCs w:val="28"/>
        </w:rPr>
        <w:t>этапе создание разных торго</w:t>
      </w:r>
      <w:r w:rsidRPr="00B6063F">
        <w:rPr>
          <w:rFonts w:ascii="Times New Roman" w:hAnsi="Times New Roman"/>
          <w:sz w:val="28"/>
          <w:szCs w:val="28"/>
        </w:rPr>
        <w:t xml:space="preserve">вых соглашений и интеграционных объединений (ШОС, НАФТА, ЕАЭС, </w:t>
      </w:r>
      <w:proofErr w:type="spellStart"/>
      <w:r w:rsidRPr="00B6063F">
        <w:rPr>
          <w:rFonts w:ascii="Times New Roman" w:hAnsi="Times New Roman"/>
          <w:sz w:val="28"/>
          <w:szCs w:val="28"/>
        </w:rPr>
        <w:t>Транстихоокеанское</w:t>
      </w:r>
      <w:proofErr w:type="spellEnd"/>
      <w:r w:rsidRPr="00B6063F">
        <w:rPr>
          <w:rFonts w:ascii="Times New Roman" w:hAnsi="Times New Roman"/>
          <w:sz w:val="28"/>
          <w:szCs w:val="28"/>
        </w:rPr>
        <w:t xml:space="preserve"> и </w:t>
      </w:r>
      <w:proofErr w:type="spellStart"/>
      <w:r w:rsidRPr="00B6063F">
        <w:rPr>
          <w:rFonts w:ascii="Times New Roman" w:hAnsi="Times New Roman"/>
          <w:sz w:val="28"/>
          <w:szCs w:val="28"/>
        </w:rPr>
        <w:t>Транслантическое</w:t>
      </w:r>
      <w:proofErr w:type="spellEnd"/>
      <w:r w:rsidRPr="00B6063F">
        <w:rPr>
          <w:rFonts w:ascii="Times New Roman" w:hAnsi="Times New Roman"/>
          <w:sz w:val="28"/>
          <w:szCs w:val="28"/>
        </w:rPr>
        <w:t xml:space="preserve"> партнерства) способствует изменению региональных энергетических рынков и потоков энергоресурсов, а от успешности функционирования этих организаций з</w:t>
      </w:r>
      <w:r>
        <w:rPr>
          <w:rFonts w:ascii="Times New Roman" w:hAnsi="Times New Roman"/>
          <w:sz w:val="28"/>
          <w:szCs w:val="28"/>
        </w:rPr>
        <w:t>ависит и энергетическая безопас</w:t>
      </w:r>
      <w:r w:rsidRPr="00B6063F">
        <w:rPr>
          <w:rFonts w:ascii="Times New Roman" w:hAnsi="Times New Roman"/>
          <w:sz w:val="28"/>
          <w:szCs w:val="28"/>
        </w:rPr>
        <w:t>ность отдельных их стран-членов.</w:t>
      </w:r>
    </w:p>
    <w:p w:rsidR="00BB5DC7" w:rsidRPr="00B6063F" w:rsidRDefault="00BB5DC7" w:rsidP="00BB5DC7">
      <w:pPr>
        <w:spacing w:after="0" w:line="360" w:lineRule="auto"/>
        <w:jc w:val="both"/>
        <w:rPr>
          <w:rFonts w:ascii="Times New Roman" w:hAnsi="Times New Roman"/>
          <w:sz w:val="28"/>
          <w:szCs w:val="28"/>
        </w:rPr>
      </w:pPr>
    </w:p>
    <w:p w:rsidR="00BB5DC7" w:rsidRPr="00627A4F" w:rsidRDefault="00BB5DC7" w:rsidP="00BB5DC7">
      <w:pPr>
        <w:pStyle w:val="2"/>
        <w:spacing w:before="0" w:after="0" w:line="360" w:lineRule="auto"/>
        <w:jc w:val="center"/>
        <w:rPr>
          <w:rFonts w:ascii="Times New Roman" w:hAnsi="Times New Roman"/>
          <w:i w:val="0"/>
        </w:rPr>
      </w:pPr>
      <w:bookmarkStart w:id="4" w:name="_Toc479667918"/>
      <w:r w:rsidRPr="00627A4F">
        <w:rPr>
          <w:rFonts w:ascii="Times New Roman" w:hAnsi="Times New Roman"/>
          <w:i w:val="0"/>
        </w:rPr>
        <w:t>1.2 Место и роль стран БРИКС на мировом энергетическом рынке</w:t>
      </w:r>
      <w:bookmarkEnd w:id="4"/>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Страны БРИКС являются важнейшими участниками мирового энергетического рынка, в первую очередь это касается рынка нефти.</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В рамках БРИКС энергетическое сотрудничество становится важнейшим фактором развития глобальной энергетики и энергетической безопасности на современном этапе. БРИКС в целом представляют собой </w:t>
      </w:r>
      <w:proofErr w:type="spellStart"/>
      <w:r w:rsidRPr="00B6063F">
        <w:rPr>
          <w:rFonts w:ascii="Times New Roman" w:hAnsi="Times New Roman"/>
          <w:sz w:val="28"/>
          <w:szCs w:val="28"/>
        </w:rPr>
        <w:t>энергодостаточное</w:t>
      </w:r>
      <w:proofErr w:type="spellEnd"/>
      <w:r w:rsidRPr="00B6063F">
        <w:rPr>
          <w:rFonts w:ascii="Times New Roman" w:hAnsi="Times New Roman"/>
          <w:sz w:val="28"/>
          <w:szCs w:val="28"/>
        </w:rPr>
        <w:t xml:space="preserve"> объединение. Однако его страны отличаются друг от друга по степени обеспеченности энергетическими, трудовыми и прочими ресурсами</w:t>
      </w:r>
      <w:r>
        <w:rPr>
          <w:rFonts w:ascii="Times New Roman" w:hAnsi="Times New Roman"/>
          <w:sz w:val="28"/>
          <w:szCs w:val="28"/>
        </w:rPr>
        <w:t xml:space="preserve"> (рис. 2, 3, 4)</w:t>
      </w:r>
      <w:r w:rsidRPr="00B6063F">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extent cx="5549900" cy="379730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Рисунок 2. Показатели рынка нефти в странах БРИКС, 2014 г.</w:t>
      </w:r>
      <w:r w:rsidRPr="007F0F0E">
        <w:rPr>
          <w:rFonts w:ascii="Times New Roman" w:hAnsi="Times New Roman"/>
          <w:sz w:val="28"/>
          <w:szCs w:val="28"/>
        </w:rPr>
        <w:t xml:space="preserve"> </w:t>
      </w:r>
      <w:r>
        <w:rPr>
          <w:rStyle w:val="a8"/>
          <w:rFonts w:ascii="Times New Roman" w:hAnsi="Times New Roman"/>
          <w:sz w:val="28"/>
          <w:szCs w:val="28"/>
        </w:rPr>
        <w:footnoteReference w:id="18"/>
      </w: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372100" cy="36449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Рисунок 3. Показатели рынка газа в странах БРИКС, 2014 г.</w:t>
      </w:r>
      <w:r w:rsidRPr="007F0F0E">
        <w:rPr>
          <w:rFonts w:ascii="Times New Roman" w:hAnsi="Times New Roman"/>
          <w:sz w:val="28"/>
          <w:szCs w:val="28"/>
        </w:rPr>
        <w:t xml:space="preserve"> </w:t>
      </w:r>
      <w:r>
        <w:rPr>
          <w:rStyle w:val="a8"/>
          <w:rFonts w:ascii="Times New Roman" w:hAnsi="Times New Roman"/>
          <w:sz w:val="28"/>
          <w:szCs w:val="28"/>
        </w:rPr>
        <w:footnoteReference w:id="19"/>
      </w:r>
    </w:p>
    <w:p w:rsidR="00BB5DC7" w:rsidRDefault="00BB5DC7" w:rsidP="00BB5DC7">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321300" cy="36195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Рисунок 4. Показатели рынка угля в странах БРИКС, 2014 г.</w:t>
      </w:r>
      <w:r>
        <w:rPr>
          <w:rStyle w:val="a8"/>
          <w:rFonts w:ascii="Times New Roman" w:hAnsi="Times New Roman"/>
          <w:sz w:val="28"/>
          <w:szCs w:val="28"/>
        </w:rPr>
        <w:footnoteReference w:id="20"/>
      </w:r>
    </w:p>
    <w:p w:rsidR="00BB5DC7" w:rsidRDefault="00BB5DC7" w:rsidP="00BB5DC7">
      <w:pPr>
        <w:spacing w:after="0" w:line="360" w:lineRule="auto"/>
        <w:ind w:firstLine="708"/>
        <w:jc w:val="both"/>
        <w:rPr>
          <w:rFonts w:ascii="Times New Roman" w:hAnsi="Times New Roman"/>
          <w:sz w:val="28"/>
          <w:szCs w:val="28"/>
        </w:rPr>
      </w:pP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 xml:space="preserve">Россия обладает одним из самых больших в мире потенциалов топливно-энергетических ресурсов. На 13% территории Земли, в стране, где проживает менее 3% населения мира, сосредоточено около 13% всех мировых разведанных запасов нефти. </w:t>
      </w: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 xml:space="preserve">Ежегодное производство первичных энергоресурсов в России составляет более 12% от общего мирового производства. Сегодня топливно-энергетический комплекс является одним из важнейших, устойчиво работающих и динамично развивающихся производственных комплексов российской экономики. На его долю приходится около четверти производства ВВП, трети объема промышленного производства, около половины доходов федерального бюджета, экспорта и валютных поступлений страны. </w:t>
      </w: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lastRenderedPageBreak/>
        <w:t>Однако такая ситуация иногда подвергается критике со стороны ряда российских и зарубежных экспертов, которые утверждают, что такая доля ТЭК свидетельствует о сильной зависимости российской экономики от добычи нефти и газа и о том, что наша страна превращается в сырьевой придаток мировой экономики.</w:t>
      </w: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По информации Министерства энергетики РФ, доля нефтегазового комплекса в налоговых поступлениях в бюджетную систему России в 2014 году составила 48,3%. Доля нефтегазового комплекса во всех таможенных платежах превышает 85%</w:t>
      </w:r>
      <w:r w:rsidRPr="00204C65">
        <w:rPr>
          <w:rStyle w:val="a8"/>
          <w:rFonts w:ascii="Times New Roman" w:hAnsi="Times New Roman"/>
          <w:sz w:val="28"/>
          <w:szCs w:val="28"/>
        </w:rPr>
        <w:footnoteReference w:id="21"/>
      </w:r>
      <w:r w:rsidRPr="00204C65">
        <w:rPr>
          <w:rFonts w:ascii="Times New Roman" w:hAnsi="Times New Roman"/>
          <w:sz w:val="28"/>
          <w:szCs w:val="28"/>
        </w:rPr>
        <w:t>.</w:t>
      </w: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Основополагающим товаром экспорта РФ являются именно топливно-энергетические ресурсы – 69,2%. Также данные статистики за первое полугодие 2015 года показывают, что экспорт такой ключевой позиции как сырая нефть снизился с 87,1 млрд. долларов в 2014 году до 48,3 млрд. долларов в 2015 году или на 44,5%</w:t>
      </w:r>
      <w:r w:rsidRPr="00204C65">
        <w:rPr>
          <w:rStyle w:val="a8"/>
          <w:rFonts w:ascii="Times New Roman" w:hAnsi="Times New Roman"/>
          <w:sz w:val="28"/>
          <w:szCs w:val="28"/>
        </w:rPr>
        <w:footnoteReference w:id="22"/>
      </w:r>
      <w:r w:rsidRPr="00204C65">
        <w:rPr>
          <w:rFonts w:ascii="Times New Roman" w:hAnsi="Times New Roman"/>
          <w:sz w:val="28"/>
          <w:szCs w:val="28"/>
        </w:rPr>
        <w:t xml:space="preserve">, что объясняется падением цен на нефть. </w:t>
      </w:r>
      <w:proofErr w:type="gramStart"/>
      <w:r w:rsidRPr="00204C65">
        <w:rPr>
          <w:rFonts w:ascii="Times New Roman" w:hAnsi="Times New Roman"/>
          <w:sz w:val="28"/>
          <w:szCs w:val="28"/>
        </w:rPr>
        <w:t>Экспорт нефтепродуктов упал с 59,1 млрд. долларов в первом полугодии 2014 года до 39,3 млрд. долларов в аналогичный период 2015 года или на 33,5%</w:t>
      </w:r>
      <w:r w:rsidRPr="00204C65">
        <w:rPr>
          <w:rStyle w:val="a8"/>
          <w:rFonts w:ascii="Times New Roman" w:hAnsi="Times New Roman"/>
          <w:sz w:val="28"/>
          <w:szCs w:val="28"/>
        </w:rPr>
        <w:footnoteReference w:id="23"/>
      </w:r>
      <w:r w:rsidRPr="00204C65">
        <w:rPr>
          <w:rFonts w:ascii="Times New Roman" w:hAnsi="Times New Roman"/>
          <w:sz w:val="28"/>
          <w:szCs w:val="28"/>
        </w:rPr>
        <w:t>. Экспорт природного газа снизился с 34 млрд. долларов до 22,3 млрд. долларов или на 34,4%</w:t>
      </w:r>
      <w:r w:rsidRPr="00204C65">
        <w:rPr>
          <w:rStyle w:val="a8"/>
          <w:rFonts w:ascii="Times New Roman" w:hAnsi="Times New Roman"/>
          <w:sz w:val="28"/>
          <w:szCs w:val="28"/>
        </w:rPr>
        <w:footnoteReference w:id="24"/>
      </w:r>
      <w:r w:rsidRPr="00204C65">
        <w:rPr>
          <w:rFonts w:ascii="Times New Roman" w:hAnsi="Times New Roman"/>
          <w:sz w:val="28"/>
          <w:szCs w:val="28"/>
        </w:rPr>
        <w:t>, однако на мировом рынке цены на газ снизились меньше, чем на сырую нефть</w:t>
      </w:r>
      <w:r w:rsidRPr="00204C65">
        <w:rPr>
          <w:rStyle w:val="a8"/>
          <w:rFonts w:ascii="Times New Roman" w:hAnsi="Times New Roman"/>
          <w:sz w:val="28"/>
          <w:szCs w:val="28"/>
        </w:rPr>
        <w:footnoteReference w:id="25"/>
      </w:r>
      <w:r w:rsidRPr="00204C65">
        <w:rPr>
          <w:rFonts w:ascii="Times New Roman" w:hAnsi="Times New Roman"/>
          <w:sz w:val="28"/>
          <w:szCs w:val="28"/>
        </w:rPr>
        <w:t>. Таким образом, можно сделать вывод о том, что</w:t>
      </w:r>
      <w:proofErr w:type="gramEnd"/>
      <w:r w:rsidRPr="00204C65">
        <w:rPr>
          <w:rFonts w:ascii="Times New Roman" w:hAnsi="Times New Roman"/>
          <w:sz w:val="28"/>
          <w:szCs w:val="28"/>
        </w:rPr>
        <w:t xml:space="preserve"> спад российской экономики в 2015 году (ВВП сократился на 3,7%</w:t>
      </w:r>
      <w:r w:rsidRPr="00204C65">
        <w:rPr>
          <w:rStyle w:val="a8"/>
          <w:rFonts w:ascii="Times New Roman" w:hAnsi="Times New Roman"/>
          <w:sz w:val="28"/>
          <w:szCs w:val="28"/>
        </w:rPr>
        <w:footnoteReference w:id="26"/>
      </w:r>
      <w:r w:rsidRPr="00204C65">
        <w:rPr>
          <w:rFonts w:ascii="Times New Roman" w:hAnsi="Times New Roman"/>
          <w:sz w:val="28"/>
          <w:szCs w:val="28"/>
        </w:rPr>
        <w:t>) во многом связан и со сложностями энергетического сектора.</w:t>
      </w:r>
    </w:p>
    <w:p w:rsidR="00BB5DC7" w:rsidRPr="00204C65" w:rsidRDefault="00BB5DC7" w:rsidP="00BB5DC7">
      <w:pPr>
        <w:spacing w:after="0" w:line="360" w:lineRule="auto"/>
        <w:ind w:firstLine="709"/>
        <w:jc w:val="both"/>
        <w:rPr>
          <w:rFonts w:ascii="Times New Roman" w:hAnsi="Times New Roman"/>
          <w:sz w:val="28"/>
          <w:szCs w:val="28"/>
        </w:rPr>
      </w:pPr>
      <w:r w:rsidRPr="00204C65">
        <w:rPr>
          <w:rFonts w:ascii="Times New Roman" w:hAnsi="Times New Roman"/>
          <w:sz w:val="28"/>
          <w:szCs w:val="28"/>
        </w:rPr>
        <w:t xml:space="preserve">Доказанные запасы нефти в России составляют 584,6 млрд. тонн. С началом нового XXI века российский нефтяной комплекс сохранил положение мощного локомотива экономического роста отечественной экономики. </w:t>
      </w:r>
      <w:proofErr w:type="gramStart"/>
      <w:r w:rsidRPr="00204C65">
        <w:rPr>
          <w:rFonts w:ascii="Times New Roman" w:hAnsi="Times New Roman"/>
          <w:sz w:val="28"/>
          <w:szCs w:val="28"/>
        </w:rPr>
        <w:t xml:space="preserve">Если в </w:t>
      </w:r>
      <w:smartTag w:uri="urn:schemas-microsoft-com:office:smarttags" w:element="metricconverter">
        <w:smartTagPr>
          <w:attr w:name="ProductID" w:val="2000 г"/>
        </w:smartTagPr>
        <w:r w:rsidRPr="00204C65">
          <w:rPr>
            <w:rFonts w:ascii="Times New Roman" w:hAnsi="Times New Roman"/>
            <w:sz w:val="28"/>
            <w:szCs w:val="28"/>
          </w:rPr>
          <w:t>2000 г</w:t>
        </w:r>
      </w:smartTag>
      <w:r w:rsidRPr="00204C65">
        <w:rPr>
          <w:rFonts w:ascii="Times New Roman" w:hAnsi="Times New Roman"/>
          <w:sz w:val="28"/>
          <w:szCs w:val="28"/>
        </w:rPr>
        <w:t xml:space="preserve">. в России было добыто 323,3 млн. т. нефти, то в </w:t>
      </w:r>
      <w:smartTag w:uri="urn:schemas-microsoft-com:office:smarttags" w:element="metricconverter">
        <w:smartTagPr>
          <w:attr w:name="ProductID" w:val="2005 г"/>
        </w:smartTagPr>
        <w:r w:rsidRPr="00204C65">
          <w:rPr>
            <w:rFonts w:ascii="Times New Roman" w:hAnsi="Times New Roman"/>
            <w:sz w:val="28"/>
            <w:szCs w:val="28"/>
          </w:rPr>
          <w:lastRenderedPageBreak/>
          <w:t>2005 г</w:t>
        </w:r>
      </w:smartTag>
      <w:r w:rsidRPr="00204C65">
        <w:rPr>
          <w:rFonts w:ascii="Times New Roman" w:hAnsi="Times New Roman"/>
          <w:sz w:val="28"/>
          <w:szCs w:val="28"/>
        </w:rPr>
        <w:t xml:space="preserve">. уже – 470,2 млн. т., а в </w:t>
      </w:r>
      <w:smartTag w:uri="urn:schemas-microsoft-com:office:smarttags" w:element="metricconverter">
        <w:smartTagPr>
          <w:attr w:name="ProductID" w:val="2015 г"/>
        </w:smartTagPr>
        <w:r w:rsidRPr="00204C65">
          <w:rPr>
            <w:rFonts w:ascii="Times New Roman" w:hAnsi="Times New Roman"/>
            <w:sz w:val="28"/>
            <w:szCs w:val="28"/>
          </w:rPr>
          <w:t>2015 г</w:t>
        </w:r>
      </w:smartTag>
      <w:r w:rsidRPr="00204C65">
        <w:rPr>
          <w:rFonts w:ascii="Times New Roman" w:hAnsi="Times New Roman"/>
          <w:sz w:val="28"/>
          <w:szCs w:val="28"/>
        </w:rPr>
        <w:t xml:space="preserve">. – </w:t>
      </w:r>
      <w:r>
        <w:rPr>
          <w:rFonts w:ascii="Times New Roman" w:hAnsi="Times New Roman"/>
          <w:sz w:val="28"/>
          <w:szCs w:val="28"/>
        </w:rPr>
        <w:t>244,5</w:t>
      </w:r>
      <w:r w:rsidRPr="00204C65">
        <w:rPr>
          <w:rFonts w:ascii="Times New Roman" w:hAnsi="Times New Roman"/>
          <w:sz w:val="28"/>
          <w:szCs w:val="28"/>
        </w:rPr>
        <w:t xml:space="preserve"> млн. т. нефти</w:t>
      </w:r>
      <w:r w:rsidRPr="00204C65">
        <w:rPr>
          <w:rStyle w:val="a8"/>
          <w:rFonts w:ascii="Times New Roman" w:hAnsi="Times New Roman"/>
          <w:sz w:val="28"/>
          <w:szCs w:val="28"/>
        </w:rPr>
        <w:footnoteReference w:id="27"/>
      </w:r>
      <w:r w:rsidRPr="00204C65">
        <w:rPr>
          <w:rFonts w:ascii="Times New Roman" w:hAnsi="Times New Roman"/>
          <w:sz w:val="28"/>
          <w:szCs w:val="28"/>
        </w:rPr>
        <w:t>. Важно отметить, что показатели добычи нефти за 2013 год были рекордными для нефтяной отрасли нашей страны (523,2 млн. т), Россия заняла первое место в мире по добыче этого вида ресурса, обогнав Саудовскую</w:t>
      </w:r>
      <w:proofErr w:type="gramEnd"/>
      <w:r w:rsidRPr="00204C65">
        <w:rPr>
          <w:rFonts w:ascii="Times New Roman" w:hAnsi="Times New Roman"/>
          <w:sz w:val="28"/>
          <w:szCs w:val="28"/>
        </w:rPr>
        <w:t xml:space="preserve"> Аравию.</w:t>
      </w:r>
    </w:p>
    <w:p w:rsidR="00BB5DC7"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 xml:space="preserve">Экспорт нефти </w:t>
      </w:r>
      <w:proofErr w:type="gramStart"/>
      <w:r w:rsidRPr="00204C65">
        <w:rPr>
          <w:rFonts w:ascii="Times New Roman" w:hAnsi="Times New Roman"/>
          <w:sz w:val="28"/>
          <w:szCs w:val="28"/>
        </w:rPr>
        <w:t>играет важное значение</w:t>
      </w:r>
      <w:proofErr w:type="gramEnd"/>
      <w:r w:rsidRPr="00204C65">
        <w:rPr>
          <w:rFonts w:ascii="Times New Roman" w:hAnsi="Times New Roman"/>
          <w:sz w:val="28"/>
          <w:szCs w:val="28"/>
        </w:rPr>
        <w:t xml:space="preserve"> для экономики России. Однако после небольшого подъема в 2009 году спад стал постоянной тенденцией последних лет (рис. </w:t>
      </w:r>
      <w:r>
        <w:rPr>
          <w:rFonts w:ascii="Times New Roman" w:hAnsi="Times New Roman"/>
          <w:sz w:val="28"/>
          <w:szCs w:val="28"/>
        </w:rPr>
        <w:t>5</w:t>
      </w:r>
      <w:r w:rsidRPr="00204C65">
        <w:rPr>
          <w:rFonts w:ascii="Times New Roman" w:hAnsi="Times New Roman"/>
          <w:sz w:val="28"/>
          <w:szCs w:val="28"/>
        </w:rPr>
        <w:t>).</w:t>
      </w:r>
      <w:r>
        <w:rPr>
          <w:rFonts w:ascii="Times New Roman" w:hAnsi="Times New Roman"/>
          <w:sz w:val="28"/>
          <w:szCs w:val="28"/>
        </w:rPr>
        <w:t xml:space="preserve"> По итогам 2015 года в денежном выражении доходы государства от экспорта нефти упали на 41,8% до 89,6 млрд. долларов</w:t>
      </w:r>
      <w:r>
        <w:rPr>
          <w:rStyle w:val="a8"/>
          <w:rFonts w:ascii="Times New Roman" w:hAnsi="Times New Roman"/>
          <w:sz w:val="28"/>
          <w:szCs w:val="28"/>
        </w:rPr>
        <w:footnoteReference w:id="28"/>
      </w:r>
      <w:r>
        <w:rPr>
          <w:rFonts w:ascii="Times New Roman" w:hAnsi="Times New Roman"/>
          <w:sz w:val="28"/>
          <w:szCs w:val="28"/>
        </w:rPr>
        <w:t>.</w:t>
      </w:r>
      <w:r w:rsidRPr="003D1FBA">
        <w:rPr>
          <w:rFonts w:ascii="Times New Roman" w:hAnsi="Times New Roman"/>
          <w:sz w:val="28"/>
          <w:szCs w:val="28"/>
        </w:rPr>
        <w:t xml:space="preserve"> </w:t>
      </w:r>
    </w:p>
    <w:p w:rsidR="00BB5DC7" w:rsidRDefault="00BB5DC7" w:rsidP="00BB5DC7">
      <w:pPr>
        <w:spacing w:after="0" w:line="360" w:lineRule="auto"/>
        <w:ind w:firstLine="708"/>
        <w:jc w:val="both"/>
        <w:rPr>
          <w:rFonts w:ascii="Times New Roman" w:hAnsi="Times New Roman"/>
          <w:sz w:val="28"/>
          <w:szCs w:val="28"/>
        </w:rPr>
      </w:pPr>
    </w:p>
    <w:p w:rsidR="00BB5DC7" w:rsidRPr="00204C65" w:rsidRDefault="00BB5DC7" w:rsidP="00BB5DC7">
      <w:pPr>
        <w:spacing w:after="0" w:line="360" w:lineRule="auto"/>
        <w:jc w:val="center"/>
        <w:rPr>
          <w:rFonts w:ascii="Times New Roman" w:hAnsi="Times New Roman"/>
          <w:sz w:val="28"/>
          <w:szCs w:val="28"/>
        </w:rPr>
      </w:pPr>
      <w:r w:rsidRPr="00204C65">
        <w:rPr>
          <w:rFonts w:ascii="Times New Roman" w:hAnsi="Times New Roman"/>
          <w:sz w:val="28"/>
          <w:szCs w:val="28"/>
        </w:rPr>
        <w:tab/>
      </w:r>
      <w:r>
        <w:rPr>
          <w:rFonts w:ascii="Times New Roman" w:hAnsi="Times New Roman"/>
          <w:noProof/>
          <w:sz w:val="28"/>
          <w:szCs w:val="28"/>
          <w:lang w:eastAsia="ru-RU"/>
        </w:rPr>
        <w:drawing>
          <wp:inline distT="0" distB="0" distL="0" distR="0">
            <wp:extent cx="4927600" cy="3251200"/>
            <wp:effectExtent l="0" t="0" r="6350" b="635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5DC7" w:rsidRPr="00204C65" w:rsidRDefault="00BB5DC7" w:rsidP="00BB5DC7">
      <w:pPr>
        <w:spacing w:after="0" w:line="360" w:lineRule="auto"/>
        <w:jc w:val="center"/>
        <w:rPr>
          <w:rFonts w:ascii="Times New Roman" w:hAnsi="Times New Roman"/>
          <w:bCs/>
          <w:sz w:val="28"/>
          <w:szCs w:val="28"/>
        </w:rPr>
      </w:pPr>
      <w:r w:rsidRPr="00204C65">
        <w:rPr>
          <w:rFonts w:ascii="Times New Roman" w:hAnsi="Times New Roman"/>
          <w:bCs/>
          <w:sz w:val="28"/>
          <w:szCs w:val="28"/>
        </w:rPr>
        <w:t>Рис</w:t>
      </w:r>
      <w:r>
        <w:rPr>
          <w:rFonts w:ascii="Times New Roman" w:hAnsi="Times New Roman"/>
          <w:bCs/>
          <w:sz w:val="28"/>
          <w:szCs w:val="28"/>
        </w:rPr>
        <w:t>унок</w:t>
      </w:r>
      <w:r w:rsidRPr="00204C65">
        <w:rPr>
          <w:rFonts w:ascii="Times New Roman" w:hAnsi="Times New Roman"/>
          <w:bCs/>
          <w:sz w:val="28"/>
          <w:szCs w:val="28"/>
        </w:rPr>
        <w:t xml:space="preserve"> </w:t>
      </w:r>
      <w:r>
        <w:rPr>
          <w:rFonts w:ascii="Times New Roman" w:hAnsi="Times New Roman"/>
          <w:bCs/>
          <w:sz w:val="28"/>
          <w:szCs w:val="28"/>
        </w:rPr>
        <w:t>5</w:t>
      </w:r>
      <w:r w:rsidRPr="00204C65">
        <w:rPr>
          <w:rFonts w:ascii="Times New Roman" w:hAnsi="Times New Roman"/>
          <w:bCs/>
          <w:sz w:val="28"/>
          <w:szCs w:val="28"/>
        </w:rPr>
        <w:t>. Динамика экспорта нефти из России, 2009-201</w:t>
      </w:r>
      <w:r>
        <w:rPr>
          <w:rFonts w:ascii="Times New Roman" w:hAnsi="Times New Roman"/>
          <w:bCs/>
          <w:sz w:val="28"/>
          <w:szCs w:val="28"/>
        </w:rPr>
        <w:t>5</w:t>
      </w:r>
      <w:r w:rsidRPr="00204C65">
        <w:rPr>
          <w:rFonts w:ascii="Times New Roman" w:hAnsi="Times New Roman"/>
          <w:bCs/>
          <w:sz w:val="28"/>
          <w:szCs w:val="28"/>
        </w:rPr>
        <w:t xml:space="preserve"> гг., млн. тонн</w:t>
      </w:r>
      <w:r w:rsidRPr="00204C65">
        <w:rPr>
          <w:rStyle w:val="a8"/>
          <w:rFonts w:ascii="Times New Roman" w:hAnsi="Times New Roman"/>
          <w:bCs/>
          <w:sz w:val="28"/>
          <w:szCs w:val="28"/>
        </w:rPr>
        <w:footnoteReference w:id="29"/>
      </w:r>
    </w:p>
    <w:p w:rsidR="00BB5DC7" w:rsidRDefault="00BB5DC7" w:rsidP="00BB5DC7">
      <w:pPr>
        <w:spacing w:after="0" w:line="360" w:lineRule="auto"/>
        <w:ind w:firstLine="708"/>
        <w:jc w:val="both"/>
        <w:rPr>
          <w:rFonts w:ascii="Times New Roman" w:hAnsi="Times New Roman"/>
          <w:sz w:val="28"/>
          <w:szCs w:val="28"/>
        </w:rPr>
      </w:pP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 xml:space="preserve">Крупнейшими компаниями РФ, работающими на мировом рынке нефти, являются «Роснефть», «Лукойл», «Газпром нефть», «Сургутнефтегаз». </w:t>
      </w:r>
    </w:p>
    <w:p w:rsidR="00BB5DC7" w:rsidRPr="00204C65" w:rsidRDefault="00BB5DC7" w:rsidP="00BB5DC7">
      <w:pPr>
        <w:spacing w:after="0" w:line="360" w:lineRule="auto"/>
        <w:jc w:val="both"/>
        <w:rPr>
          <w:rFonts w:ascii="Times New Roman" w:hAnsi="Times New Roman"/>
          <w:sz w:val="28"/>
          <w:szCs w:val="28"/>
        </w:rPr>
      </w:pPr>
      <w:r w:rsidRPr="00204C65">
        <w:rPr>
          <w:rFonts w:ascii="Times New Roman" w:hAnsi="Times New Roman"/>
          <w:sz w:val="28"/>
          <w:szCs w:val="28"/>
        </w:rPr>
        <w:lastRenderedPageBreak/>
        <w:tab/>
        <w:t xml:space="preserve">Рассмотрим также газодобывающую отрасль России. Она является стратегически важной составляющей всего энергетического потенциала страны. В настоящее время Россия выступает одним из самых крупных добытчиков данного природного ресурса. В перспективе ставятся планы серьезного развития всей газовой отрасли. </w:t>
      </w:r>
    </w:p>
    <w:p w:rsidR="00BB5DC7" w:rsidRPr="00204C65" w:rsidRDefault="00BB5DC7" w:rsidP="00BB5DC7">
      <w:pPr>
        <w:spacing w:after="0" w:line="360" w:lineRule="auto"/>
        <w:jc w:val="both"/>
        <w:rPr>
          <w:rFonts w:ascii="Times New Roman" w:hAnsi="Times New Roman"/>
          <w:sz w:val="28"/>
          <w:szCs w:val="28"/>
        </w:rPr>
      </w:pPr>
      <w:r w:rsidRPr="00204C65">
        <w:rPr>
          <w:rFonts w:ascii="Times New Roman" w:hAnsi="Times New Roman"/>
          <w:sz w:val="28"/>
          <w:szCs w:val="28"/>
        </w:rPr>
        <w:tab/>
        <w:t>Сегодня большая часть добычи остается внутри страны для внутреннего потребления. Однако ставятся планы по наращиванию экспортного элемента.</w:t>
      </w:r>
    </w:p>
    <w:p w:rsidR="00BB5DC7" w:rsidRPr="00204C65" w:rsidRDefault="00BB5DC7" w:rsidP="00BB5DC7">
      <w:pPr>
        <w:spacing w:after="0" w:line="360" w:lineRule="auto"/>
        <w:ind w:firstLine="708"/>
        <w:jc w:val="both"/>
        <w:rPr>
          <w:rFonts w:ascii="Times New Roman" w:hAnsi="Times New Roman"/>
          <w:sz w:val="28"/>
          <w:szCs w:val="28"/>
        </w:rPr>
      </w:pPr>
      <w:r w:rsidRPr="00204C65">
        <w:rPr>
          <w:rFonts w:ascii="Times New Roman" w:hAnsi="Times New Roman"/>
          <w:sz w:val="28"/>
          <w:szCs w:val="28"/>
        </w:rPr>
        <w:t xml:space="preserve">В газовой отрасли России ведущая роль принадлежит ОАО «Газпром» - крупнейшей газовой компании мира. Прежде всего, деятельность компании «Газпром» является неотъемлемой частью экономики России, участие «Газпрома» в формировании макроэкономических показателей Российской Федерации представлено в табл. </w:t>
      </w:r>
      <w:r>
        <w:rPr>
          <w:rFonts w:ascii="Times New Roman" w:hAnsi="Times New Roman"/>
          <w:sz w:val="28"/>
          <w:szCs w:val="28"/>
        </w:rPr>
        <w:t>3</w:t>
      </w:r>
      <w:r w:rsidRPr="00204C65">
        <w:rPr>
          <w:rFonts w:ascii="Times New Roman" w:hAnsi="Times New Roman"/>
          <w:sz w:val="28"/>
          <w:szCs w:val="28"/>
        </w:rPr>
        <w:t>.</w:t>
      </w:r>
    </w:p>
    <w:p w:rsidR="00BB5DC7" w:rsidRDefault="00BB5DC7" w:rsidP="00BB5DC7">
      <w:pPr>
        <w:pStyle w:val="a9"/>
        <w:spacing w:before="0" w:beforeAutospacing="0" w:after="0" w:afterAutospacing="0" w:line="360" w:lineRule="auto"/>
        <w:ind w:firstLine="708"/>
        <w:rPr>
          <w:rFonts w:ascii="Times New Roman" w:hAnsi="Times New Roman" w:cs="Times New Roman"/>
          <w:sz w:val="28"/>
          <w:szCs w:val="28"/>
        </w:rPr>
      </w:pPr>
    </w:p>
    <w:p w:rsidR="00BB5DC7" w:rsidRPr="00204C65" w:rsidRDefault="00BB5DC7" w:rsidP="00BB5DC7">
      <w:pPr>
        <w:pStyle w:val="a9"/>
        <w:spacing w:before="0" w:beforeAutospacing="0" w:after="0" w:afterAutospacing="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Таблица 3</w:t>
      </w:r>
      <w:r w:rsidRPr="00204C65">
        <w:rPr>
          <w:rFonts w:ascii="Times New Roman" w:hAnsi="Times New Roman" w:cs="Times New Roman"/>
          <w:sz w:val="28"/>
          <w:szCs w:val="28"/>
        </w:rPr>
        <w:t>. Доля ОАО «Газпром» в макроэкономических показателях Российской Федерации в 2015году</w:t>
      </w:r>
      <w:r w:rsidRPr="00204C65">
        <w:rPr>
          <w:rStyle w:val="a8"/>
          <w:rFonts w:ascii="Times New Roman" w:hAnsi="Times New Roman"/>
          <w:sz w:val="28"/>
          <w:szCs w:val="28"/>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771"/>
      </w:tblGrid>
      <w:tr w:rsidR="00BB5DC7" w:rsidRPr="00204C65" w:rsidTr="00F4634F">
        <w:trPr>
          <w:tblHeader/>
        </w:trPr>
        <w:tc>
          <w:tcPr>
            <w:tcW w:w="4800" w:type="dxa"/>
            <w:shd w:val="clear" w:color="auto" w:fill="FFFFFF"/>
          </w:tcPr>
          <w:p w:rsidR="00BB5DC7" w:rsidRPr="00204C65" w:rsidRDefault="00BB5DC7" w:rsidP="00F4634F">
            <w:pPr>
              <w:pStyle w:val="a9"/>
              <w:spacing w:before="0" w:beforeAutospacing="0" w:after="0" w:afterAutospacing="0" w:line="360" w:lineRule="auto"/>
              <w:jc w:val="center"/>
              <w:rPr>
                <w:rFonts w:ascii="Times New Roman" w:hAnsi="Times New Roman" w:cs="Times New Roman"/>
                <w:sz w:val="28"/>
                <w:szCs w:val="28"/>
              </w:rPr>
            </w:pPr>
            <w:r w:rsidRPr="00204C65">
              <w:rPr>
                <w:rFonts w:ascii="Times New Roman" w:hAnsi="Times New Roman" w:cs="Times New Roman"/>
                <w:sz w:val="28"/>
                <w:szCs w:val="28"/>
              </w:rPr>
              <w:t>Показатели</w:t>
            </w:r>
          </w:p>
        </w:tc>
        <w:tc>
          <w:tcPr>
            <w:tcW w:w="4771" w:type="dxa"/>
            <w:shd w:val="clear" w:color="auto" w:fill="FFFFFF"/>
          </w:tcPr>
          <w:p w:rsidR="00BB5DC7" w:rsidRPr="00204C65" w:rsidRDefault="00BB5DC7" w:rsidP="00F4634F">
            <w:pPr>
              <w:pStyle w:val="a9"/>
              <w:spacing w:before="0" w:beforeAutospacing="0" w:after="0" w:afterAutospacing="0" w:line="360" w:lineRule="auto"/>
              <w:jc w:val="center"/>
              <w:rPr>
                <w:rFonts w:ascii="Times New Roman" w:hAnsi="Times New Roman" w:cs="Times New Roman"/>
                <w:sz w:val="28"/>
                <w:szCs w:val="28"/>
              </w:rPr>
            </w:pPr>
            <w:r w:rsidRPr="00204C65">
              <w:rPr>
                <w:rFonts w:ascii="Times New Roman" w:hAnsi="Times New Roman" w:cs="Times New Roman"/>
                <w:sz w:val="28"/>
                <w:szCs w:val="28"/>
              </w:rPr>
              <w:t>Доля, %</w:t>
            </w:r>
          </w:p>
        </w:tc>
      </w:tr>
      <w:tr w:rsidR="00BB5DC7" w:rsidRPr="00204C65" w:rsidTr="00F4634F">
        <w:tc>
          <w:tcPr>
            <w:tcW w:w="4800" w:type="dxa"/>
          </w:tcPr>
          <w:p w:rsidR="00BB5DC7" w:rsidRPr="00204C65" w:rsidRDefault="00BB5DC7" w:rsidP="00F4634F">
            <w:pPr>
              <w:pStyle w:val="a9"/>
              <w:spacing w:before="0" w:beforeAutospacing="0" w:after="0" w:afterAutospacing="0" w:line="360" w:lineRule="auto"/>
              <w:rPr>
                <w:rFonts w:ascii="Times New Roman" w:hAnsi="Times New Roman" w:cs="Times New Roman"/>
                <w:sz w:val="28"/>
                <w:szCs w:val="28"/>
              </w:rPr>
            </w:pPr>
            <w:r w:rsidRPr="00204C65">
              <w:rPr>
                <w:rFonts w:ascii="Times New Roman" w:hAnsi="Times New Roman" w:cs="Times New Roman"/>
                <w:sz w:val="28"/>
                <w:szCs w:val="28"/>
              </w:rPr>
              <w:t>ВВП</w:t>
            </w:r>
          </w:p>
        </w:tc>
        <w:tc>
          <w:tcPr>
            <w:tcW w:w="4771" w:type="dxa"/>
          </w:tcPr>
          <w:p w:rsidR="00BB5DC7" w:rsidRPr="00204C65" w:rsidRDefault="00BB5DC7" w:rsidP="00F4634F">
            <w:pPr>
              <w:pStyle w:val="a9"/>
              <w:spacing w:before="0" w:beforeAutospacing="0" w:after="0" w:afterAutospacing="0" w:line="360" w:lineRule="auto"/>
              <w:jc w:val="center"/>
              <w:rPr>
                <w:rFonts w:ascii="Times New Roman" w:hAnsi="Times New Roman" w:cs="Times New Roman"/>
                <w:sz w:val="28"/>
                <w:szCs w:val="28"/>
              </w:rPr>
            </w:pPr>
            <w:r w:rsidRPr="00204C65">
              <w:rPr>
                <w:rFonts w:ascii="Times New Roman" w:hAnsi="Times New Roman" w:cs="Times New Roman"/>
                <w:sz w:val="28"/>
                <w:szCs w:val="28"/>
              </w:rPr>
              <w:t>Более 8</w:t>
            </w:r>
          </w:p>
        </w:tc>
      </w:tr>
      <w:tr w:rsidR="00BB5DC7" w:rsidRPr="00204C65" w:rsidTr="00F4634F">
        <w:tc>
          <w:tcPr>
            <w:tcW w:w="4800" w:type="dxa"/>
          </w:tcPr>
          <w:p w:rsidR="00BB5DC7" w:rsidRPr="00204C65" w:rsidRDefault="00BB5DC7" w:rsidP="00F4634F">
            <w:pPr>
              <w:pStyle w:val="a9"/>
              <w:spacing w:before="0" w:beforeAutospacing="0" w:after="0" w:afterAutospacing="0" w:line="360" w:lineRule="auto"/>
              <w:rPr>
                <w:rFonts w:ascii="Times New Roman" w:hAnsi="Times New Roman" w:cs="Times New Roman"/>
                <w:sz w:val="28"/>
                <w:szCs w:val="28"/>
              </w:rPr>
            </w:pPr>
            <w:r w:rsidRPr="00204C65">
              <w:rPr>
                <w:rFonts w:ascii="Times New Roman" w:hAnsi="Times New Roman" w:cs="Times New Roman"/>
                <w:sz w:val="28"/>
                <w:szCs w:val="28"/>
              </w:rPr>
              <w:t>Российские запасы газа</w:t>
            </w:r>
          </w:p>
        </w:tc>
        <w:tc>
          <w:tcPr>
            <w:tcW w:w="4771" w:type="dxa"/>
          </w:tcPr>
          <w:p w:rsidR="00BB5DC7" w:rsidRPr="00204C65" w:rsidRDefault="00BB5DC7" w:rsidP="00F4634F">
            <w:pPr>
              <w:pStyle w:val="a9"/>
              <w:spacing w:before="0" w:beforeAutospacing="0" w:after="0" w:afterAutospacing="0" w:line="360" w:lineRule="auto"/>
              <w:jc w:val="center"/>
              <w:rPr>
                <w:rFonts w:ascii="Times New Roman" w:hAnsi="Times New Roman" w:cs="Times New Roman"/>
                <w:sz w:val="28"/>
                <w:szCs w:val="28"/>
              </w:rPr>
            </w:pPr>
            <w:r w:rsidRPr="00204C65">
              <w:rPr>
                <w:rFonts w:ascii="Times New Roman" w:hAnsi="Times New Roman" w:cs="Times New Roman"/>
                <w:sz w:val="28"/>
                <w:szCs w:val="28"/>
              </w:rPr>
              <w:t>Более 60</w:t>
            </w:r>
          </w:p>
        </w:tc>
      </w:tr>
      <w:tr w:rsidR="00BB5DC7" w:rsidRPr="00204C65" w:rsidTr="00F4634F">
        <w:tc>
          <w:tcPr>
            <w:tcW w:w="4800" w:type="dxa"/>
          </w:tcPr>
          <w:p w:rsidR="00BB5DC7" w:rsidRPr="00204C65" w:rsidRDefault="00BB5DC7" w:rsidP="00F4634F">
            <w:pPr>
              <w:pStyle w:val="a9"/>
              <w:spacing w:before="0" w:beforeAutospacing="0" w:after="0" w:afterAutospacing="0" w:line="360" w:lineRule="auto"/>
              <w:rPr>
                <w:rFonts w:ascii="Times New Roman" w:hAnsi="Times New Roman" w:cs="Times New Roman"/>
                <w:sz w:val="28"/>
                <w:szCs w:val="28"/>
              </w:rPr>
            </w:pPr>
            <w:r w:rsidRPr="00204C65">
              <w:rPr>
                <w:rFonts w:ascii="Times New Roman" w:hAnsi="Times New Roman" w:cs="Times New Roman"/>
                <w:sz w:val="28"/>
                <w:szCs w:val="28"/>
              </w:rPr>
              <w:t>Добыча природного газа</w:t>
            </w:r>
          </w:p>
        </w:tc>
        <w:tc>
          <w:tcPr>
            <w:tcW w:w="4771" w:type="dxa"/>
          </w:tcPr>
          <w:p w:rsidR="00BB5DC7" w:rsidRPr="00204C65" w:rsidRDefault="00BB5DC7" w:rsidP="00F4634F">
            <w:pPr>
              <w:pStyle w:val="a9"/>
              <w:spacing w:before="0" w:beforeAutospacing="0" w:after="0" w:afterAutospacing="0" w:line="360" w:lineRule="auto"/>
              <w:jc w:val="center"/>
              <w:rPr>
                <w:rFonts w:ascii="Times New Roman" w:hAnsi="Times New Roman" w:cs="Times New Roman"/>
                <w:sz w:val="28"/>
                <w:szCs w:val="28"/>
              </w:rPr>
            </w:pPr>
            <w:r w:rsidRPr="00204C65">
              <w:rPr>
                <w:rFonts w:ascii="Times New Roman" w:hAnsi="Times New Roman" w:cs="Times New Roman"/>
                <w:sz w:val="28"/>
                <w:szCs w:val="28"/>
              </w:rPr>
              <w:t>85,5</w:t>
            </w:r>
          </w:p>
        </w:tc>
      </w:tr>
    </w:tbl>
    <w:p w:rsidR="00BB5DC7" w:rsidRPr="00204C65" w:rsidRDefault="00BB5DC7" w:rsidP="00BB5DC7">
      <w:pPr>
        <w:pStyle w:val="a9"/>
        <w:spacing w:before="0" w:beforeAutospacing="0" w:after="0" w:afterAutospacing="0" w:line="360" w:lineRule="auto"/>
        <w:rPr>
          <w:rFonts w:ascii="Times New Roman" w:hAnsi="Times New Roman" w:cs="Times New Roman"/>
          <w:sz w:val="28"/>
          <w:szCs w:val="28"/>
        </w:rPr>
      </w:pPr>
    </w:p>
    <w:p w:rsidR="00BB5DC7" w:rsidRPr="00386036"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Говоря о Китае, нужно отметить, что с</w:t>
      </w:r>
      <w:r w:rsidRPr="00386036">
        <w:rPr>
          <w:rFonts w:ascii="Times New Roman" w:hAnsi="Times New Roman"/>
          <w:sz w:val="28"/>
          <w:szCs w:val="28"/>
        </w:rPr>
        <w:t xml:space="preserve">егодня </w:t>
      </w:r>
      <w:r>
        <w:rPr>
          <w:rFonts w:ascii="Times New Roman" w:hAnsi="Times New Roman"/>
          <w:sz w:val="28"/>
          <w:szCs w:val="28"/>
        </w:rPr>
        <w:t>эта страна</w:t>
      </w:r>
      <w:r w:rsidRPr="00386036">
        <w:rPr>
          <w:rFonts w:ascii="Times New Roman" w:hAnsi="Times New Roman"/>
          <w:sz w:val="28"/>
          <w:szCs w:val="28"/>
        </w:rPr>
        <w:t xml:space="preserve"> стоит на третьем месте в мире по объемам импорта сырой нефти, при этом он уступает только Соединенным Штатам и Японии. </w:t>
      </w:r>
    </w:p>
    <w:p w:rsidR="00BB5DC7" w:rsidRPr="00386036"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 xml:space="preserve">Важной тенденцией последнего времени становится увеличение разницы между добычей и потреблением. </w:t>
      </w:r>
    </w:p>
    <w:p w:rsidR="00BB5DC7" w:rsidRPr="00386036"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 xml:space="preserve">При этом разрыв между добычей и потреблением становится все более ощутимым. Так, согласно статистике, в 2008 году Китай добыл нефти на </w:t>
      </w:r>
      <w:r w:rsidRPr="00386036">
        <w:rPr>
          <w:rFonts w:ascii="Times New Roman" w:hAnsi="Times New Roman"/>
          <w:sz w:val="28"/>
          <w:szCs w:val="28"/>
        </w:rPr>
        <w:lastRenderedPageBreak/>
        <w:t xml:space="preserve">2,2% больше по сравнению с 2007 годом, потребление в свою очередь увеличилось на 5,8% по сравнению с 2007 годом. В физических величинах ситуация выглядит следующем образом: 221 млн. тонн добычи против 365 млн. тонн потребления. По данным китайского правительства, импорт нефти в 2008 году составил 179 млн. тонн. </w:t>
      </w:r>
    </w:p>
    <w:p w:rsidR="00BB5DC7" w:rsidRPr="00386036"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 xml:space="preserve">На протяжении многих лет китайскому государству было достаточно собственных запасов энергетических ресурсов, однако начиная с 1990-х годов ситуация изменилась, появился дефицит, который стал покрываться за счет импорта. Это касается как нефти, так и угля. И, согласно оценкам экспертов, коснется в ближайшем будущем природного газа. </w:t>
      </w:r>
    </w:p>
    <w:p w:rsidR="00BB5DC7" w:rsidRDefault="00BB5DC7" w:rsidP="00BB5DC7">
      <w:pPr>
        <w:spacing w:after="0" w:line="360" w:lineRule="auto"/>
        <w:ind w:right="57" w:firstLine="708"/>
        <w:jc w:val="both"/>
        <w:rPr>
          <w:rFonts w:ascii="Times New Roman" w:hAnsi="Times New Roman"/>
          <w:sz w:val="28"/>
          <w:szCs w:val="28"/>
        </w:rPr>
      </w:pPr>
      <w:r>
        <w:rPr>
          <w:rFonts w:ascii="Times New Roman" w:hAnsi="Times New Roman"/>
          <w:sz w:val="28"/>
          <w:szCs w:val="28"/>
        </w:rPr>
        <w:t xml:space="preserve">Спрос на энергетические ресурсы в Индии на современном этапе продолжает расти вместе с развитием индийской экономики. В </w:t>
      </w:r>
      <w:r w:rsidRPr="00087BE0">
        <w:rPr>
          <w:rFonts w:ascii="Times New Roman" w:hAnsi="Times New Roman"/>
          <w:sz w:val="28"/>
          <w:szCs w:val="28"/>
        </w:rPr>
        <w:t>20</w:t>
      </w:r>
      <w:r>
        <w:rPr>
          <w:rFonts w:ascii="Times New Roman" w:hAnsi="Times New Roman"/>
          <w:sz w:val="28"/>
          <w:szCs w:val="28"/>
        </w:rPr>
        <w:t xml:space="preserve">13 </w:t>
      </w:r>
      <w:r w:rsidRPr="00087BE0">
        <w:rPr>
          <w:rFonts w:ascii="Times New Roman" w:hAnsi="Times New Roman"/>
          <w:sz w:val="28"/>
          <w:szCs w:val="28"/>
        </w:rPr>
        <w:t xml:space="preserve">году объем спроса на энергию в Индии был третьим по величине в мире после Китая и США. По данным Международного энергетического агентства, спрос на энергию Индии увеличились вдвое с 319 </w:t>
      </w:r>
      <w:r>
        <w:rPr>
          <w:rFonts w:ascii="Times New Roman" w:hAnsi="Times New Roman"/>
          <w:sz w:val="28"/>
          <w:szCs w:val="28"/>
        </w:rPr>
        <w:t xml:space="preserve">млн. </w:t>
      </w:r>
      <w:r w:rsidRPr="00087BE0">
        <w:rPr>
          <w:rFonts w:ascii="Times New Roman" w:hAnsi="Times New Roman"/>
          <w:sz w:val="28"/>
          <w:szCs w:val="28"/>
        </w:rPr>
        <w:t>тонн нефтяного эквивалента (</w:t>
      </w:r>
      <w:proofErr w:type="spellStart"/>
      <w:r w:rsidRPr="00087BE0">
        <w:rPr>
          <w:rFonts w:ascii="Times New Roman" w:hAnsi="Times New Roman"/>
          <w:sz w:val="28"/>
          <w:szCs w:val="28"/>
        </w:rPr>
        <w:t>Мтнэ</w:t>
      </w:r>
      <w:proofErr w:type="spellEnd"/>
      <w:r w:rsidRPr="00087BE0">
        <w:rPr>
          <w:rFonts w:ascii="Times New Roman" w:hAnsi="Times New Roman"/>
          <w:sz w:val="28"/>
          <w:szCs w:val="28"/>
        </w:rPr>
        <w:t xml:space="preserve">) в 1990 году до 669 </w:t>
      </w:r>
      <w:proofErr w:type="spellStart"/>
      <w:r w:rsidRPr="00087BE0">
        <w:rPr>
          <w:rFonts w:ascii="Times New Roman" w:hAnsi="Times New Roman"/>
          <w:sz w:val="28"/>
          <w:szCs w:val="28"/>
        </w:rPr>
        <w:t>Мтнэ</w:t>
      </w:r>
      <w:proofErr w:type="spellEnd"/>
      <w:r w:rsidRPr="00087BE0">
        <w:rPr>
          <w:rFonts w:ascii="Times New Roman" w:hAnsi="Times New Roman"/>
          <w:sz w:val="28"/>
          <w:szCs w:val="28"/>
        </w:rPr>
        <w:t xml:space="preserve"> в 20</w:t>
      </w:r>
      <w:r>
        <w:rPr>
          <w:rFonts w:ascii="Times New Roman" w:hAnsi="Times New Roman"/>
          <w:sz w:val="28"/>
          <w:szCs w:val="28"/>
        </w:rPr>
        <w:t>13</w:t>
      </w:r>
      <w:r w:rsidRPr="00087BE0">
        <w:rPr>
          <w:rFonts w:ascii="Times New Roman" w:hAnsi="Times New Roman"/>
          <w:sz w:val="28"/>
          <w:szCs w:val="28"/>
        </w:rPr>
        <w:t xml:space="preserve"> году. </w:t>
      </w:r>
    </w:p>
    <w:p w:rsidR="00BB5DC7" w:rsidRPr="00087BE0" w:rsidRDefault="00BB5DC7" w:rsidP="00BB5DC7">
      <w:pPr>
        <w:spacing w:after="0" w:line="360" w:lineRule="auto"/>
        <w:ind w:right="57" w:firstLine="708"/>
        <w:jc w:val="both"/>
        <w:rPr>
          <w:rFonts w:ascii="Times New Roman" w:hAnsi="Times New Roman"/>
          <w:sz w:val="28"/>
          <w:szCs w:val="28"/>
        </w:rPr>
      </w:pPr>
      <w:r>
        <w:rPr>
          <w:rFonts w:ascii="Times New Roman" w:hAnsi="Times New Roman"/>
          <w:sz w:val="28"/>
          <w:szCs w:val="28"/>
        </w:rPr>
        <w:t xml:space="preserve">Сегодня </w:t>
      </w:r>
      <w:r w:rsidRPr="00087BE0">
        <w:rPr>
          <w:rFonts w:ascii="Times New Roman" w:hAnsi="Times New Roman"/>
          <w:sz w:val="28"/>
          <w:szCs w:val="28"/>
        </w:rPr>
        <w:t xml:space="preserve">спрос на энергию в Индии на душу населения ниже, чем у развитых и даже некоторых развивающихся стран.  </w:t>
      </w:r>
      <w:r>
        <w:rPr>
          <w:rFonts w:ascii="Times New Roman" w:hAnsi="Times New Roman"/>
          <w:sz w:val="28"/>
          <w:szCs w:val="28"/>
        </w:rPr>
        <w:t>Н</w:t>
      </w:r>
      <w:r w:rsidRPr="00087BE0">
        <w:rPr>
          <w:rFonts w:ascii="Times New Roman" w:hAnsi="Times New Roman"/>
          <w:sz w:val="28"/>
          <w:szCs w:val="28"/>
        </w:rPr>
        <w:t>изкий показатель сигнализирует о неудовлетворенности потребностей Индии в энергии. При развивающейся экономике и населением в 1,2</w:t>
      </w:r>
      <w:r>
        <w:rPr>
          <w:rFonts w:ascii="Times New Roman" w:hAnsi="Times New Roman"/>
          <w:sz w:val="28"/>
          <w:szCs w:val="28"/>
        </w:rPr>
        <w:t>5</w:t>
      </w:r>
      <w:r w:rsidRPr="00087BE0">
        <w:rPr>
          <w:rFonts w:ascii="Times New Roman" w:hAnsi="Times New Roman"/>
          <w:sz w:val="28"/>
          <w:szCs w:val="28"/>
        </w:rPr>
        <w:t xml:space="preserve"> </w:t>
      </w:r>
      <w:r>
        <w:rPr>
          <w:rFonts w:ascii="Times New Roman" w:hAnsi="Times New Roman"/>
          <w:sz w:val="28"/>
          <w:szCs w:val="28"/>
        </w:rPr>
        <w:t>млрд.</w:t>
      </w:r>
      <w:r w:rsidRPr="00087BE0">
        <w:rPr>
          <w:rFonts w:ascii="Times New Roman" w:hAnsi="Times New Roman"/>
          <w:sz w:val="28"/>
          <w:szCs w:val="28"/>
        </w:rPr>
        <w:t xml:space="preserve"> человек, претендующим на более высокий уровень жизни, ро</w:t>
      </w:r>
      <w:proofErr w:type="gramStart"/>
      <w:r w:rsidRPr="00087BE0">
        <w:rPr>
          <w:rFonts w:ascii="Times New Roman" w:hAnsi="Times New Roman"/>
          <w:sz w:val="28"/>
          <w:szCs w:val="28"/>
        </w:rPr>
        <w:t>ст спр</w:t>
      </w:r>
      <w:proofErr w:type="gramEnd"/>
      <w:r w:rsidRPr="00087BE0">
        <w:rPr>
          <w:rFonts w:ascii="Times New Roman" w:hAnsi="Times New Roman"/>
          <w:sz w:val="28"/>
          <w:szCs w:val="28"/>
        </w:rPr>
        <w:t xml:space="preserve">оса на энергию неизбежен.  </w:t>
      </w:r>
    </w:p>
    <w:p w:rsidR="00BB5DC7" w:rsidRPr="00087BE0" w:rsidRDefault="00BB5DC7" w:rsidP="00BB5DC7">
      <w:pPr>
        <w:spacing w:after="0" w:line="360" w:lineRule="auto"/>
        <w:ind w:right="57" w:firstLine="708"/>
        <w:jc w:val="both"/>
        <w:rPr>
          <w:rFonts w:ascii="Times New Roman" w:hAnsi="Times New Roman"/>
          <w:sz w:val="28"/>
          <w:szCs w:val="28"/>
        </w:rPr>
      </w:pPr>
      <w:r>
        <w:rPr>
          <w:rFonts w:ascii="Times New Roman" w:hAnsi="Times New Roman"/>
          <w:sz w:val="28"/>
          <w:szCs w:val="28"/>
        </w:rPr>
        <w:t xml:space="preserve">На современном этапе ключевым </w:t>
      </w:r>
      <w:r w:rsidRPr="00087BE0">
        <w:rPr>
          <w:rFonts w:ascii="Times New Roman" w:hAnsi="Times New Roman"/>
          <w:sz w:val="28"/>
          <w:szCs w:val="28"/>
        </w:rPr>
        <w:t xml:space="preserve">энергетическим ресурсом </w:t>
      </w:r>
      <w:r>
        <w:rPr>
          <w:rFonts w:ascii="Times New Roman" w:hAnsi="Times New Roman"/>
          <w:sz w:val="28"/>
          <w:szCs w:val="28"/>
        </w:rPr>
        <w:t xml:space="preserve">для </w:t>
      </w:r>
      <w:r w:rsidRPr="00087BE0">
        <w:rPr>
          <w:rFonts w:ascii="Times New Roman" w:hAnsi="Times New Roman"/>
          <w:sz w:val="28"/>
          <w:szCs w:val="28"/>
        </w:rPr>
        <w:t xml:space="preserve">Индии </w:t>
      </w:r>
      <w:r>
        <w:rPr>
          <w:rFonts w:ascii="Times New Roman" w:hAnsi="Times New Roman"/>
          <w:sz w:val="28"/>
          <w:szCs w:val="28"/>
        </w:rPr>
        <w:t>остается</w:t>
      </w:r>
      <w:r w:rsidRPr="00087BE0">
        <w:rPr>
          <w:rFonts w:ascii="Times New Roman" w:hAnsi="Times New Roman"/>
          <w:sz w:val="28"/>
          <w:szCs w:val="28"/>
        </w:rPr>
        <w:t xml:space="preserve"> уголь, </w:t>
      </w:r>
      <w:r>
        <w:rPr>
          <w:rFonts w:ascii="Times New Roman" w:hAnsi="Times New Roman"/>
          <w:sz w:val="28"/>
          <w:szCs w:val="28"/>
        </w:rPr>
        <w:t xml:space="preserve">его </w:t>
      </w:r>
      <w:r w:rsidRPr="00087BE0">
        <w:rPr>
          <w:rFonts w:ascii="Times New Roman" w:hAnsi="Times New Roman"/>
          <w:sz w:val="28"/>
          <w:szCs w:val="28"/>
        </w:rPr>
        <w:t>совокупн</w:t>
      </w:r>
      <w:r>
        <w:rPr>
          <w:rFonts w:ascii="Times New Roman" w:hAnsi="Times New Roman"/>
          <w:sz w:val="28"/>
          <w:szCs w:val="28"/>
        </w:rPr>
        <w:t>ая</w:t>
      </w:r>
      <w:r w:rsidRPr="00087BE0">
        <w:rPr>
          <w:rFonts w:ascii="Times New Roman" w:hAnsi="Times New Roman"/>
          <w:sz w:val="28"/>
          <w:szCs w:val="28"/>
        </w:rPr>
        <w:t xml:space="preserve"> дол</w:t>
      </w:r>
      <w:r>
        <w:rPr>
          <w:rFonts w:ascii="Times New Roman" w:hAnsi="Times New Roman"/>
          <w:sz w:val="28"/>
          <w:szCs w:val="28"/>
        </w:rPr>
        <w:t xml:space="preserve">я равна </w:t>
      </w:r>
      <w:r w:rsidRPr="00087BE0">
        <w:rPr>
          <w:rFonts w:ascii="Times New Roman" w:hAnsi="Times New Roman"/>
          <w:sz w:val="28"/>
          <w:szCs w:val="28"/>
        </w:rPr>
        <w:t xml:space="preserve">42%. На втором месте находилось энергетическое сырье из биомассы с долей 25% , хотя в 1990 году его доля составляла 42%. Доля нефтяного топлива 24%, а газового 7%. </w:t>
      </w:r>
    </w:p>
    <w:p w:rsidR="00BB5DC7" w:rsidRPr="00A7652C" w:rsidRDefault="00BB5DC7" w:rsidP="00BB5DC7">
      <w:pPr>
        <w:spacing w:after="0" w:line="360" w:lineRule="auto"/>
        <w:ind w:firstLine="708"/>
        <w:jc w:val="both"/>
        <w:rPr>
          <w:rFonts w:ascii="Times New Roman" w:hAnsi="Times New Roman"/>
          <w:sz w:val="28"/>
          <w:szCs w:val="28"/>
        </w:rPr>
      </w:pPr>
      <w:r w:rsidRPr="00A7652C">
        <w:rPr>
          <w:rFonts w:ascii="Times New Roman" w:hAnsi="Times New Roman"/>
          <w:sz w:val="28"/>
          <w:szCs w:val="28"/>
        </w:rPr>
        <w:t>В Бразилии добывается 2,5% мировых запа</w:t>
      </w:r>
      <w:r>
        <w:rPr>
          <w:rFonts w:ascii="Times New Roman" w:hAnsi="Times New Roman"/>
          <w:sz w:val="28"/>
          <w:szCs w:val="28"/>
        </w:rPr>
        <w:t>сов нефти. По данным Международ</w:t>
      </w:r>
      <w:r w:rsidRPr="00A7652C">
        <w:rPr>
          <w:rFonts w:ascii="Times New Roman" w:hAnsi="Times New Roman"/>
          <w:sz w:val="28"/>
          <w:szCs w:val="28"/>
        </w:rPr>
        <w:t>ного энергетического агентства (МЭА), среди стра</w:t>
      </w:r>
      <w:r>
        <w:rPr>
          <w:rFonts w:ascii="Times New Roman" w:hAnsi="Times New Roman"/>
          <w:sz w:val="28"/>
          <w:szCs w:val="28"/>
        </w:rPr>
        <w:t>н Латинской Америки Бразилия за</w:t>
      </w:r>
      <w:r w:rsidRPr="00A7652C">
        <w:rPr>
          <w:rFonts w:ascii="Times New Roman" w:hAnsi="Times New Roman"/>
          <w:sz w:val="28"/>
          <w:szCs w:val="28"/>
        </w:rPr>
        <w:t xml:space="preserve">нимает вторую позицию после Венесуэлы по запасам </w:t>
      </w:r>
      <w:r w:rsidRPr="00A7652C">
        <w:rPr>
          <w:rFonts w:ascii="Times New Roman" w:hAnsi="Times New Roman"/>
          <w:sz w:val="28"/>
          <w:szCs w:val="28"/>
        </w:rPr>
        <w:lastRenderedPageBreak/>
        <w:t>нефти. Регулярная добыча нефти</w:t>
      </w:r>
      <w:r>
        <w:rPr>
          <w:rFonts w:ascii="Times New Roman" w:hAnsi="Times New Roman"/>
          <w:sz w:val="28"/>
          <w:szCs w:val="28"/>
        </w:rPr>
        <w:t xml:space="preserve"> </w:t>
      </w:r>
      <w:r w:rsidRPr="00A7652C">
        <w:rPr>
          <w:rFonts w:ascii="Times New Roman" w:hAnsi="Times New Roman"/>
          <w:sz w:val="28"/>
          <w:szCs w:val="28"/>
        </w:rPr>
        <w:t>в Бразилии ведется с 1940 г</w:t>
      </w:r>
      <w:r>
        <w:rPr>
          <w:rFonts w:ascii="Times New Roman" w:hAnsi="Times New Roman"/>
          <w:sz w:val="28"/>
          <w:szCs w:val="28"/>
        </w:rPr>
        <w:t>ода</w:t>
      </w:r>
      <w:r w:rsidRPr="00A7652C">
        <w:rPr>
          <w:rFonts w:ascii="Times New Roman" w:hAnsi="Times New Roman"/>
          <w:sz w:val="28"/>
          <w:szCs w:val="28"/>
        </w:rPr>
        <w:t>, но потребности страны в сырой нефти за счет собственной</w:t>
      </w:r>
      <w:r>
        <w:rPr>
          <w:rFonts w:ascii="Times New Roman" w:hAnsi="Times New Roman"/>
          <w:sz w:val="28"/>
          <w:szCs w:val="28"/>
        </w:rPr>
        <w:t xml:space="preserve"> </w:t>
      </w:r>
      <w:r w:rsidRPr="00A7652C">
        <w:rPr>
          <w:rFonts w:ascii="Times New Roman" w:hAnsi="Times New Roman"/>
          <w:sz w:val="28"/>
          <w:szCs w:val="28"/>
        </w:rPr>
        <w:t>добычи стали удовлетворяться лишь в последнее время.</w:t>
      </w:r>
      <w:r>
        <w:rPr>
          <w:rFonts w:ascii="Times New Roman" w:hAnsi="Times New Roman"/>
          <w:sz w:val="28"/>
          <w:szCs w:val="28"/>
        </w:rPr>
        <w:t xml:space="preserve"> </w:t>
      </w:r>
    </w:p>
    <w:p w:rsidR="00BB5DC7" w:rsidRDefault="00BB5DC7" w:rsidP="00BB5DC7">
      <w:pPr>
        <w:spacing w:after="0" w:line="360" w:lineRule="auto"/>
        <w:ind w:firstLine="708"/>
        <w:jc w:val="both"/>
        <w:rPr>
          <w:rFonts w:ascii="Times New Roman" w:hAnsi="Times New Roman"/>
          <w:sz w:val="28"/>
          <w:szCs w:val="28"/>
        </w:rPr>
      </w:pPr>
      <w:r w:rsidRPr="00A7652C">
        <w:rPr>
          <w:rFonts w:ascii="Times New Roman" w:hAnsi="Times New Roman"/>
          <w:sz w:val="28"/>
          <w:szCs w:val="28"/>
        </w:rPr>
        <w:t>В Бразилии разрабатывается более 40 крупных</w:t>
      </w:r>
      <w:r>
        <w:rPr>
          <w:rFonts w:ascii="Times New Roman" w:hAnsi="Times New Roman"/>
          <w:sz w:val="28"/>
          <w:szCs w:val="28"/>
        </w:rPr>
        <w:t xml:space="preserve"> месторождений. Среди них </w:t>
      </w:r>
      <w:proofErr w:type="spellStart"/>
      <w:r>
        <w:rPr>
          <w:rFonts w:ascii="Times New Roman" w:hAnsi="Times New Roman"/>
          <w:sz w:val="28"/>
          <w:szCs w:val="28"/>
        </w:rPr>
        <w:t>Кармо</w:t>
      </w:r>
      <w:r w:rsidRPr="00A7652C">
        <w:rPr>
          <w:rFonts w:ascii="Times New Roman" w:hAnsi="Times New Roman"/>
          <w:sz w:val="28"/>
          <w:szCs w:val="28"/>
        </w:rPr>
        <w:t>полис</w:t>
      </w:r>
      <w:proofErr w:type="spellEnd"/>
      <w:r w:rsidRPr="00A7652C">
        <w:rPr>
          <w:rFonts w:ascii="Times New Roman" w:hAnsi="Times New Roman"/>
          <w:sz w:val="28"/>
          <w:szCs w:val="28"/>
        </w:rPr>
        <w:t xml:space="preserve">, </w:t>
      </w:r>
      <w:proofErr w:type="spellStart"/>
      <w:r w:rsidRPr="00A7652C">
        <w:rPr>
          <w:rFonts w:ascii="Times New Roman" w:hAnsi="Times New Roman"/>
          <w:sz w:val="28"/>
          <w:szCs w:val="28"/>
        </w:rPr>
        <w:t>Миранга</w:t>
      </w:r>
      <w:proofErr w:type="spellEnd"/>
      <w:r w:rsidRPr="00A7652C">
        <w:rPr>
          <w:rFonts w:ascii="Times New Roman" w:hAnsi="Times New Roman"/>
          <w:sz w:val="28"/>
          <w:szCs w:val="28"/>
        </w:rPr>
        <w:t xml:space="preserve">, </w:t>
      </w:r>
      <w:proofErr w:type="spellStart"/>
      <w:r w:rsidRPr="00A7652C">
        <w:rPr>
          <w:rFonts w:ascii="Times New Roman" w:hAnsi="Times New Roman"/>
          <w:sz w:val="28"/>
          <w:szCs w:val="28"/>
        </w:rPr>
        <w:t>Барасика</w:t>
      </w:r>
      <w:proofErr w:type="spellEnd"/>
      <w:r w:rsidRPr="00A7652C">
        <w:rPr>
          <w:rFonts w:ascii="Times New Roman" w:hAnsi="Times New Roman"/>
          <w:sz w:val="28"/>
          <w:szCs w:val="28"/>
        </w:rPr>
        <w:t xml:space="preserve">, </w:t>
      </w:r>
      <w:proofErr w:type="spellStart"/>
      <w:r w:rsidRPr="00A7652C">
        <w:rPr>
          <w:rFonts w:ascii="Times New Roman" w:hAnsi="Times New Roman"/>
          <w:sz w:val="28"/>
          <w:szCs w:val="28"/>
        </w:rPr>
        <w:t>Агуа</w:t>
      </w:r>
      <w:proofErr w:type="spellEnd"/>
      <w:r w:rsidRPr="00A7652C">
        <w:rPr>
          <w:rFonts w:ascii="Times New Roman" w:hAnsi="Times New Roman"/>
          <w:sz w:val="28"/>
          <w:szCs w:val="28"/>
        </w:rPr>
        <w:t xml:space="preserve">-Гранди, </w:t>
      </w:r>
      <w:proofErr w:type="spellStart"/>
      <w:r w:rsidRPr="00A7652C">
        <w:rPr>
          <w:rFonts w:ascii="Times New Roman" w:hAnsi="Times New Roman"/>
          <w:sz w:val="28"/>
          <w:szCs w:val="28"/>
        </w:rPr>
        <w:t>Аракас</w:t>
      </w:r>
      <w:proofErr w:type="spellEnd"/>
      <w:r w:rsidRPr="00A7652C">
        <w:rPr>
          <w:rFonts w:ascii="Times New Roman" w:hAnsi="Times New Roman"/>
          <w:sz w:val="28"/>
          <w:szCs w:val="28"/>
        </w:rPr>
        <w:t xml:space="preserve">, </w:t>
      </w:r>
      <w:proofErr w:type="spellStart"/>
      <w:r w:rsidRPr="00A7652C">
        <w:rPr>
          <w:rFonts w:ascii="Times New Roman" w:hAnsi="Times New Roman"/>
          <w:sz w:val="28"/>
          <w:szCs w:val="28"/>
        </w:rPr>
        <w:t>Эншова</w:t>
      </w:r>
      <w:proofErr w:type="spellEnd"/>
      <w:r w:rsidRPr="00A7652C">
        <w:rPr>
          <w:rFonts w:ascii="Times New Roman" w:hAnsi="Times New Roman"/>
          <w:sz w:val="28"/>
          <w:szCs w:val="28"/>
        </w:rPr>
        <w:t xml:space="preserve">, </w:t>
      </w:r>
      <w:proofErr w:type="spellStart"/>
      <w:r w:rsidRPr="00A7652C">
        <w:rPr>
          <w:rFonts w:ascii="Times New Roman" w:hAnsi="Times New Roman"/>
          <w:sz w:val="28"/>
          <w:szCs w:val="28"/>
        </w:rPr>
        <w:t>Намораду</w:t>
      </w:r>
      <w:proofErr w:type="spellEnd"/>
      <w:r w:rsidRPr="00A7652C">
        <w:rPr>
          <w:rFonts w:ascii="Times New Roman" w:hAnsi="Times New Roman"/>
          <w:sz w:val="28"/>
          <w:szCs w:val="28"/>
        </w:rPr>
        <w:t xml:space="preserve"> и др.</w:t>
      </w:r>
      <w:r>
        <w:rPr>
          <w:rFonts w:ascii="Times New Roman" w:hAnsi="Times New Roman"/>
          <w:sz w:val="28"/>
          <w:szCs w:val="28"/>
        </w:rPr>
        <w:t xml:space="preserve"> </w:t>
      </w:r>
      <w:r w:rsidRPr="00A7652C">
        <w:rPr>
          <w:rFonts w:ascii="Times New Roman" w:hAnsi="Times New Roman"/>
          <w:sz w:val="28"/>
          <w:szCs w:val="28"/>
        </w:rPr>
        <w:t>Нефтеперерабатывающая промышленность Бразилии представлена 13 заводами</w:t>
      </w:r>
      <w:r>
        <w:rPr>
          <w:rFonts w:ascii="Times New Roman" w:hAnsi="Times New Roman"/>
          <w:sz w:val="28"/>
          <w:szCs w:val="28"/>
        </w:rPr>
        <w:t xml:space="preserve"> </w:t>
      </w:r>
      <w:r w:rsidRPr="00A7652C">
        <w:rPr>
          <w:rFonts w:ascii="Times New Roman" w:hAnsi="Times New Roman"/>
          <w:sz w:val="28"/>
          <w:szCs w:val="28"/>
        </w:rPr>
        <w:t xml:space="preserve">(НПЗ) общей производственной мощностью более 99,5 </w:t>
      </w:r>
      <w:proofErr w:type="gramStart"/>
      <w:r w:rsidRPr="00A7652C">
        <w:rPr>
          <w:rFonts w:ascii="Times New Roman" w:hAnsi="Times New Roman"/>
          <w:sz w:val="28"/>
          <w:szCs w:val="28"/>
        </w:rPr>
        <w:t>млн</w:t>
      </w:r>
      <w:proofErr w:type="gramEnd"/>
      <w:r w:rsidRPr="00A7652C">
        <w:rPr>
          <w:rFonts w:ascii="Times New Roman" w:hAnsi="Times New Roman"/>
          <w:sz w:val="28"/>
          <w:szCs w:val="28"/>
        </w:rPr>
        <w:t xml:space="preserve"> т в год (данные МЭА).</w:t>
      </w:r>
      <w:r>
        <w:rPr>
          <w:rFonts w:ascii="Times New Roman" w:hAnsi="Times New Roman"/>
          <w:sz w:val="28"/>
          <w:szCs w:val="28"/>
        </w:rPr>
        <w:t xml:space="preserve"> </w:t>
      </w:r>
      <w:r w:rsidRPr="00A7652C">
        <w:rPr>
          <w:rFonts w:ascii="Times New Roman" w:hAnsi="Times New Roman"/>
          <w:sz w:val="28"/>
          <w:szCs w:val="28"/>
        </w:rPr>
        <w:t>Бразилия продолжает импортировать нефть из стран Ближнего Востока (Саудовской</w:t>
      </w:r>
      <w:r>
        <w:rPr>
          <w:rFonts w:ascii="Times New Roman" w:hAnsi="Times New Roman"/>
          <w:sz w:val="28"/>
          <w:szCs w:val="28"/>
        </w:rPr>
        <w:t xml:space="preserve"> </w:t>
      </w:r>
      <w:r w:rsidRPr="00A7652C">
        <w:rPr>
          <w:rFonts w:ascii="Times New Roman" w:hAnsi="Times New Roman"/>
          <w:sz w:val="28"/>
          <w:szCs w:val="28"/>
        </w:rPr>
        <w:t>Аравии) и Латинской Америки (Венесуэлы), однако</w:t>
      </w:r>
      <w:r>
        <w:rPr>
          <w:rFonts w:ascii="Times New Roman" w:hAnsi="Times New Roman"/>
          <w:sz w:val="28"/>
          <w:szCs w:val="28"/>
        </w:rPr>
        <w:t xml:space="preserve"> объемы импорта снижаются. В по</w:t>
      </w:r>
      <w:r w:rsidRPr="00A7652C">
        <w:rPr>
          <w:rFonts w:ascii="Times New Roman" w:hAnsi="Times New Roman"/>
          <w:sz w:val="28"/>
          <w:szCs w:val="28"/>
        </w:rPr>
        <w:t>следнее время ведется разведка нефти как внутри стр</w:t>
      </w:r>
      <w:r>
        <w:rPr>
          <w:rFonts w:ascii="Times New Roman" w:hAnsi="Times New Roman"/>
          <w:sz w:val="28"/>
          <w:szCs w:val="28"/>
        </w:rPr>
        <w:t>аны, так и в странах Африки (Алж</w:t>
      </w:r>
      <w:r w:rsidRPr="00A7652C">
        <w:rPr>
          <w:rFonts w:ascii="Times New Roman" w:hAnsi="Times New Roman"/>
          <w:sz w:val="28"/>
          <w:szCs w:val="28"/>
        </w:rPr>
        <w:t>ир, Ливия) и Латинской Америки (Колумбия).</w:t>
      </w:r>
      <w:r>
        <w:rPr>
          <w:rFonts w:ascii="Times New Roman" w:hAnsi="Times New Roman"/>
          <w:sz w:val="28"/>
          <w:szCs w:val="28"/>
        </w:rPr>
        <w:t xml:space="preserve"> </w:t>
      </w:r>
    </w:p>
    <w:p w:rsidR="00BB5DC7"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ЮАР не ведется добычи нефти, однако с развитием </w:t>
      </w:r>
      <w:proofErr w:type="spellStart"/>
      <w:r>
        <w:rPr>
          <w:rFonts w:ascii="Times New Roman" w:hAnsi="Times New Roman"/>
          <w:sz w:val="28"/>
          <w:szCs w:val="28"/>
        </w:rPr>
        <w:t>южно-африканской</w:t>
      </w:r>
      <w:proofErr w:type="spellEnd"/>
      <w:r>
        <w:rPr>
          <w:rFonts w:ascii="Times New Roman" w:hAnsi="Times New Roman"/>
          <w:sz w:val="28"/>
          <w:szCs w:val="28"/>
        </w:rPr>
        <w:t xml:space="preserve"> экономики потребности в энергетических ресурсах растут. Сегодня основной отраслью энергетики этой страны является уголь, что является общей чертой с Индией и Китаем. Свои потребности в угле ЮАР покрывает на 80% собственной добычей</w:t>
      </w:r>
      <w:r>
        <w:rPr>
          <w:rStyle w:val="a8"/>
          <w:rFonts w:ascii="Times New Roman" w:hAnsi="Times New Roman"/>
          <w:sz w:val="28"/>
          <w:szCs w:val="28"/>
        </w:rPr>
        <w:footnoteReference w:id="31"/>
      </w:r>
      <w:r>
        <w:rPr>
          <w:rFonts w:ascii="Times New Roman" w:hAnsi="Times New Roman"/>
          <w:sz w:val="28"/>
          <w:szCs w:val="28"/>
        </w:rPr>
        <w:t xml:space="preserve">. </w:t>
      </w:r>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1"/>
        <w:spacing w:before="0" w:after="0" w:line="360" w:lineRule="auto"/>
        <w:jc w:val="center"/>
        <w:rPr>
          <w:rFonts w:ascii="Times New Roman" w:hAnsi="Times New Roman"/>
          <w:sz w:val="28"/>
          <w:szCs w:val="28"/>
        </w:rPr>
      </w:pPr>
      <w:r>
        <w:br w:type="page"/>
      </w:r>
      <w:bookmarkStart w:id="5" w:name="_Toc479667919"/>
      <w:r w:rsidRPr="009B5184">
        <w:rPr>
          <w:rFonts w:ascii="Times New Roman" w:hAnsi="Times New Roman"/>
          <w:sz w:val="28"/>
          <w:szCs w:val="28"/>
        </w:rPr>
        <w:lastRenderedPageBreak/>
        <w:t>Глава 2. Современное состояние сотрудничества России и стран БРИКС в области энергетики</w:t>
      </w:r>
      <w:bookmarkEnd w:id="5"/>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2"/>
        <w:spacing w:before="0" w:after="0" w:line="360" w:lineRule="auto"/>
        <w:jc w:val="center"/>
        <w:rPr>
          <w:rFonts w:ascii="Times New Roman" w:hAnsi="Times New Roman"/>
          <w:i w:val="0"/>
        </w:rPr>
      </w:pPr>
      <w:bookmarkStart w:id="6" w:name="_Toc479667920"/>
      <w:r w:rsidRPr="009B5184">
        <w:rPr>
          <w:rFonts w:ascii="Times New Roman" w:hAnsi="Times New Roman"/>
          <w:i w:val="0"/>
        </w:rPr>
        <w:t>2.1 Уровень развития энергетического взаимодействия России со странами БРИКС</w:t>
      </w:r>
      <w:bookmarkEnd w:id="6"/>
    </w:p>
    <w:p w:rsidR="00BB5DC7" w:rsidRDefault="00BB5DC7" w:rsidP="00BB5DC7">
      <w:pPr>
        <w:spacing w:after="0" w:line="360" w:lineRule="auto"/>
        <w:jc w:val="both"/>
        <w:rPr>
          <w:rFonts w:ascii="Times New Roman" w:hAnsi="Times New Roman"/>
          <w:sz w:val="28"/>
          <w:szCs w:val="28"/>
        </w:rPr>
      </w:pP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В организацию БРИКС входят страны, энергетическое сотрудничество которых становится главным фактором развития мировой энергетики и обеспечения глобальной </w:t>
      </w:r>
      <w:proofErr w:type="spellStart"/>
      <w:r w:rsidRPr="00EF5448">
        <w:rPr>
          <w:rFonts w:ascii="Times New Roman" w:hAnsi="Times New Roman"/>
          <w:sz w:val="28"/>
          <w:szCs w:val="28"/>
        </w:rPr>
        <w:t>энергобезопасности</w:t>
      </w:r>
      <w:proofErr w:type="spellEnd"/>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Страны БРИКС на сегодняшний день в целом можно назвать </w:t>
      </w:r>
      <w:proofErr w:type="spellStart"/>
      <w:r w:rsidRPr="00EF5448">
        <w:rPr>
          <w:rFonts w:ascii="Times New Roman" w:hAnsi="Times New Roman"/>
          <w:sz w:val="28"/>
          <w:szCs w:val="28"/>
        </w:rPr>
        <w:t>энергодостаточными</w:t>
      </w:r>
      <w:proofErr w:type="spellEnd"/>
      <w:r w:rsidRPr="00EF5448">
        <w:rPr>
          <w:rFonts w:ascii="Times New Roman" w:hAnsi="Times New Roman"/>
          <w:sz w:val="28"/>
          <w:szCs w:val="28"/>
        </w:rPr>
        <w:t>. Однако при детальном рассмотрении стран-участниц можно обнаружить, одна часть стран богата энергетическими, минерально-сырьевыми и иными природными ресурсами, в свою очередь другая часть стран объединения богата трудовыми ресурсами, третья часть может похвастаться своими достижениями в разработке передовых технологий.</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Все это является отличной базой для партнерства, но возможности далеки от эффективного использования. Так, в группе БРИКС недостаточно сильно представлены некоторые из направлений сотрудничества, которые в свою очередь давно и прочно зарекомендовали себя в других странах мира. Это главным образом касается формата многосторонних связей.</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Если учесть увеличение спроса на энергоресурсы и </w:t>
      </w:r>
      <w:proofErr w:type="spellStart"/>
      <w:r w:rsidRPr="00EF5448">
        <w:rPr>
          <w:rFonts w:ascii="Times New Roman" w:hAnsi="Times New Roman"/>
          <w:sz w:val="28"/>
          <w:szCs w:val="28"/>
        </w:rPr>
        <w:t>энергоэффективные</w:t>
      </w:r>
      <w:proofErr w:type="spellEnd"/>
      <w:r w:rsidRPr="00EF5448">
        <w:rPr>
          <w:rFonts w:ascii="Times New Roman" w:hAnsi="Times New Roman"/>
          <w:sz w:val="28"/>
          <w:szCs w:val="28"/>
        </w:rPr>
        <w:t xml:space="preserve"> чистые и экологически безопасные технологии, страны, входящие в БРИКС, подчеркивают значимость обмена опытом в тех областях, которые связаны с планированием энергетики, производством и потреблением энергии, а также энергетическим сотрудничеством.</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Исходя из этого, сегодня важнее говорить об энергетическом партнерстве между странами БРИКС, а не об энергетическом сотрудничестве стран БРИКС.</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lastRenderedPageBreak/>
        <w:t>БРИКС на сегодняшний день – это платформа для развития диалога и партнерства между странами-членами, занимающими в сумме 30% суши, доля населения от мирового составляет 45%, а также 25% мирового внутреннего валового продукта (ВВП) по паритету по</w:t>
      </w:r>
      <w:r>
        <w:rPr>
          <w:rFonts w:ascii="Times New Roman" w:hAnsi="Times New Roman"/>
          <w:sz w:val="28"/>
          <w:szCs w:val="28"/>
        </w:rPr>
        <w:t>купательной способности (ППС)</w:t>
      </w:r>
      <w:r>
        <w:rPr>
          <w:rStyle w:val="a8"/>
          <w:rFonts w:ascii="Times New Roman" w:hAnsi="Times New Roman"/>
          <w:sz w:val="28"/>
          <w:szCs w:val="28"/>
        </w:rPr>
        <w:footnoteReference w:id="32"/>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Если рассматривать дела в формате двухсторонних связей, то ситуация здесь обстоят значительно лучше. Сотрудничество в энергетической сфере затрагивает всех членов БРИКС и основывается не только на межправительственных договорах, но и на долгосрочных соглашениях между хозяйственными субъектами. Стоит отметить, что все вышеизложенное касается взаимоотношений России с остальными странами БРИКС, так как партнерство между другими странами-членами БРИКС находится на низком уровне и на сегодняшний день оно не может похвастаться определенной базой в связи со спецификой экономик данных стран.</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Принятие в Уфе 9 июля 2015 г. на VII саммите Уфимской декларации, Стратегии экономического партнерства БРИКС и поручение лидеров стран изучить перспективу разработки Дорожной карты торгово-экономического и инвестиционного сотрудничества на период до 2020 г. дает возможность странам, которые входят в гру</w:t>
      </w:r>
      <w:r>
        <w:rPr>
          <w:rFonts w:ascii="Times New Roman" w:hAnsi="Times New Roman"/>
          <w:sz w:val="28"/>
          <w:szCs w:val="28"/>
        </w:rPr>
        <w:t>ппу БРИКС, новые перспективы</w:t>
      </w:r>
      <w:r>
        <w:rPr>
          <w:rStyle w:val="a8"/>
          <w:rFonts w:ascii="Times New Roman" w:hAnsi="Times New Roman"/>
          <w:sz w:val="28"/>
          <w:szCs w:val="28"/>
        </w:rPr>
        <w:footnoteReference w:id="33"/>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Как гласит Уфимская декларация: «Признавая важность мониторинга глобальных тенденций в энергетическом секторе, включая составление прогнозов потребления энергоресурсов, разработку рекомендаций по развитию энергетических рынков, для обеспечения энергетической безопасности и экономического развития, мы призываем наши соответствующие органы рассмотреть возможности энергетического </w:t>
      </w:r>
      <w:r>
        <w:rPr>
          <w:rFonts w:ascii="Times New Roman" w:hAnsi="Times New Roman"/>
          <w:sz w:val="28"/>
          <w:szCs w:val="28"/>
        </w:rPr>
        <w:t>сотрудничества в рамках БРИКС»</w:t>
      </w:r>
      <w:r>
        <w:rPr>
          <w:rStyle w:val="a8"/>
          <w:rFonts w:ascii="Times New Roman" w:hAnsi="Times New Roman"/>
          <w:sz w:val="28"/>
          <w:szCs w:val="28"/>
        </w:rPr>
        <w:footnoteReference w:id="34"/>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lastRenderedPageBreak/>
        <w:t>В Стратегии экономического сотрудничества представлена приближенная программа действий. Лидеры стран БРИКС считают, что для усиления энергетической безопасности странам объединения необходимо сконцентрировать свои усилия в таких приоритетных областях, как:</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 xml:space="preserve">рост степени информированности о потребностях стран-производителей и </w:t>
      </w:r>
      <w:proofErr w:type="spellStart"/>
      <w:r w:rsidRPr="00EF5448">
        <w:rPr>
          <w:rFonts w:ascii="Times New Roman" w:hAnsi="Times New Roman"/>
          <w:sz w:val="28"/>
          <w:szCs w:val="28"/>
        </w:rPr>
        <w:t>странпотребителей</w:t>
      </w:r>
      <w:proofErr w:type="spellEnd"/>
      <w:r w:rsidRPr="00EF5448">
        <w:rPr>
          <w:rFonts w:ascii="Times New Roman" w:hAnsi="Times New Roman"/>
          <w:sz w:val="28"/>
          <w:szCs w:val="28"/>
        </w:rPr>
        <w:t xml:space="preserve"> энергии;</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с целью диверсификации источников энергии необходимо оказывать всевозможную взаимную помощь;</w:t>
      </w:r>
    </w:p>
    <w:p w:rsidR="00BB5DC7" w:rsidRPr="00EF5448" w:rsidRDefault="00BB5DC7" w:rsidP="00BB5DC7">
      <w:pPr>
        <w:numPr>
          <w:ilvl w:val="0"/>
          <w:numId w:val="3"/>
        </w:numPr>
        <w:spacing w:after="0" w:line="360" w:lineRule="auto"/>
        <w:jc w:val="both"/>
        <w:rPr>
          <w:rFonts w:ascii="Times New Roman" w:hAnsi="Times New Roman"/>
          <w:sz w:val="28"/>
          <w:szCs w:val="28"/>
        </w:rPr>
      </w:pPr>
      <w:proofErr w:type="spellStart"/>
      <w:r w:rsidRPr="00EF5448">
        <w:rPr>
          <w:rFonts w:ascii="Times New Roman" w:hAnsi="Times New Roman"/>
          <w:sz w:val="28"/>
          <w:szCs w:val="28"/>
        </w:rPr>
        <w:t>рогресс</w:t>
      </w:r>
      <w:proofErr w:type="spellEnd"/>
      <w:r w:rsidRPr="00EF5448">
        <w:rPr>
          <w:rFonts w:ascii="Times New Roman" w:hAnsi="Times New Roman"/>
          <w:sz w:val="28"/>
          <w:szCs w:val="28"/>
        </w:rPr>
        <w:t xml:space="preserve"> энергетической инфраструктуры;</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помощь всем странам к доступу энергии;</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 xml:space="preserve">увеличение уровня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причем в коллективной разработке </w:t>
      </w:r>
      <w:proofErr w:type="spellStart"/>
      <w:r w:rsidRPr="00EF5448">
        <w:rPr>
          <w:rFonts w:ascii="Times New Roman" w:hAnsi="Times New Roman"/>
          <w:sz w:val="28"/>
          <w:szCs w:val="28"/>
        </w:rPr>
        <w:t>энергоэффективных</w:t>
      </w:r>
      <w:proofErr w:type="spellEnd"/>
      <w:r w:rsidRPr="00EF5448">
        <w:rPr>
          <w:rFonts w:ascii="Times New Roman" w:hAnsi="Times New Roman"/>
          <w:sz w:val="28"/>
          <w:szCs w:val="28"/>
        </w:rPr>
        <w:t xml:space="preserve"> и наиболее </w:t>
      </w:r>
      <w:proofErr w:type="gramStart"/>
      <w:r w:rsidRPr="00EF5448">
        <w:rPr>
          <w:rFonts w:ascii="Times New Roman" w:hAnsi="Times New Roman"/>
          <w:sz w:val="28"/>
          <w:szCs w:val="28"/>
        </w:rPr>
        <w:t>чистых</w:t>
      </w:r>
      <w:proofErr w:type="gramEnd"/>
      <w:r w:rsidRPr="00EF5448">
        <w:rPr>
          <w:rFonts w:ascii="Times New Roman" w:hAnsi="Times New Roman"/>
          <w:sz w:val="28"/>
          <w:szCs w:val="28"/>
        </w:rPr>
        <w:t xml:space="preserve"> </w:t>
      </w:r>
      <w:proofErr w:type="spellStart"/>
      <w:r w:rsidRPr="00EF5448">
        <w:rPr>
          <w:rFonts w:ascii="Times New Roman" w:hAnsi="Times New Roman"/>
          <w:sz w:val="28"/>
          <w:szCs w:val="28"/>
        </w:rPr>
        <w:t>энерготехнологий</w:t>
      </w:r>
      <w:proofErr w:type="spellEnd"/>
      <w:r w:rsidRPr="00EF5448">
        <w:rPr>
          <w:rFonts w:ascii="Times New Roman" w:hAnsi="Times New Roman"/>
          <w:sz w:val="28"/>
          <w:szCs w:val="28"/>
        </w:rPr>
        <w:t xml:space="preserve"> и обмен ими;</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введение таких технологий производства, хранения и потребления энергоресурсов, чтобы они были экологически безопасными;</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оказание поддержки по применению возобновляемых источников энергии;</w:t>
      </w:r>
    </w:p>
    <w:p w:rsidR="00BB5DC7" w:rsidRPr="00EF5448" w:rsidRDefault="00BB5DC7" w:rsidP="00BB5DC7">
      <w:pPr>
        <w:numPr>
          <w:ilvl w:val="0"/>
          <w:numId w:val="3"/>
        </w:numPr>
        <w:spacing w:after="0" w:line="360" w:lineRule="auto"/>
        <w:jc w:val="both"/>
        <w:rPr>
          <w:rFonts w:ascii="Times New Roman" w:hAnsi="Times New Roman"/>
          <w:sz w:val="28"/>
          <w:szCs w:val="28"/>
        </w:rPr>
      </w:pPr>
      <w:r w:rsidRPr="00EF5448">
        <w:rPr>
          <w:rFonts w:ascii="Times New Roman" w:hAnsi="Times New Roman"/>
          <w:sz w:val="28"/>
          <w:szCs w:val="28"/>
        </w:rPr>
        <w:t>увеличение эффективности применения чистых источников энергии, напр</w:t>
      </w:r>
      <w:r>
        <w:rPr>
          <w:rFonts w:ascii="Times New Roman" w:hAnsi="Times New Roman"/>
          <w:sz w:val="28"/>
          <w:szCs w:val="28"/>
        </w:rPr>
        <w:t>имер, таких как природный газ</w:t>
      </w:r>
      <w:r>
        <w:rPr>
          <w:rStyle w:val="a8"/>
          <w:rFonts w:ascii="Times New Roman" w:hAnsi="Times New Roman"/>
          <w:sz w:val="28"/>
          <w:szCs w:val="28"/>
        </w:rPr>
        <w:footnoteReference w:id="35"/>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По исследованиям, которые провел Аналитический центр энергетической политики и безопасности ИПНГ РАН, касательно форм сотрудничества можно сказать следующее: в связи со спецификой стран БРИКС энергетическое партнерство, прежде всего, будет развиваться в рамках уже сформированных двухсторонних взаимоотношений между странами.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Многостороннее партнерство, в первую очередь, будет развиваться на основании существующих многосторонних мероприятий и организаций, а </w:t>
      </w:r>
      <w:r w:rsidRPr="00EF5448">
        <w:rPr>
          <w:rFonts w:ascii="Times New Roman" w:hAnsi="Times New Roman"/>
          <w:sz w:val="28"/>
          <w:szCs w:val="28"/>
        </w:rPr>
        <w:lastRenderedPageBreak/>
        <w:t xml:space="preserve">также в рамках существующих форматов. Главный из них – это Шанхайская организация сотрудничества (ШОС). </w:t>
      </w:r>
      <w:r>
        <w:rPr>
          <w:rFonts w:ascii="Times New Roman" w:hAnsi="Times New Roman"/>
          <w:sz w:val="28"/>
          <w:szCs w:val="28"/>
        </w:rPr>
        <w:t>С</w:t>
      </w:r>
      <w:r w:rsidRPr="00EF5448">
        <w:rPr>
          <w:rFonts w:ascii="Times New Roman" w:hAnsi="Times New Roman"/>
          <w:sz w:val="28"/>
          <w:szCs w:val="28"/>
        </w:rPr>
        <w:t>аммит данного объединения состоялся как раз на следующий день после саммита БРИКС. Несмотря на то, что БРИКС и ШОС, как может показаться на первый взгляд, имеют абсолютно разную природу, но объединяет их всеобщие принципы равноправного партнерства и взаимного уважения.</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Прошедшие саммиты ШОС и БРИКС в Уфе 2015 года можно назвать серьезным шагом в развитии многопланового сотрудничества стран, которые приняли участие в них. Кроме саммитов ШОС и БРИКС, состоялась неформальная встреча лидеров стран данных объединений, к которым также присоединились и руководители стран Евразийского экономического союза.</w:t>
      </w:r>
    </w:p>
    <w:p w:rsidR="00BB5DC7" w:rsidRPr="00EF5448" w:rsidRDefault="00BB5DC7" w:rsidP="00BB5DC7">
      <w:pPr>
        <w:spacing w:after="0" w:line="360" w:lineRule="auto"/>
        <w:jc w:val="both"/>
        <w:rPr>
          <w:rFonts w:ascii="Times New Roman" w:hAnsi="Times New Roman"/>
          <w:sz w:val="28"/>
          <w:szCs w:val="28"/>
        </w:rPr>
      </w:pPr>
      <w:r w:rsidRPr="00EF5448">
        <w:rPr>
          <w:rFonts w:ascii="Times New Roman" w:hAnsi="Times New Roman"/>
          <w:sz w:val="28"/>
          <w:szCs w:val="28"/>
        </w:rPr>
        <w:t>Самые высокие перспективы партнерства имеют такие направления, как:</w:t>
      </w:r>
    </w:p>
    <w:p w:rsidR="00BB5DC7" w:rsidRPr="00EF5448" w:rsidRDefault="00BB5DC7" w:rsidP="00BB5DC7">
      <w:pPr>
        <w:numPr>
          <w:ilvl w:val="0"/>
          <w:numId w:val="4"/>
        </w:numPr>
        <w:spacing w:after="0" w:line="360" w:lineRule="auto"/>
        <w:jc w:val="both"/>
        <w:rPr>
          <w:rFonts w:ascii="Times New Roman" w:hAnsi="Times New Roman"/>
          <w:sz w:val="28"/>
          <w:szCs w:val="28"/>
        </w:rPr>
      </w:pPr>
      <w:r w:rsidRPr="00EF5448">
        <w:rPr>
          <w:rFonts w:ascii="Times New Roman" w:hAnsi="Times New Roman"/>
          <w:sz w:val="28"/>
          <w:szCs w:val="28"/>
        </w:rPr>
        <w:t>развитие атомной энергетики;</w:t>
      </w:r>
    </w:p>
    <w:p w:rsidR="00BB5DC7" w:rsidRPr="00EF5448" w:rsidRDefault="00BB5DC7" w:rsidP="00BB5DC7">
      <w:pPr>
        <w:numPr>
          <w:ilvl w:val="0"/>
          <w:numId w:val="4"/>
        </w:numPr>
        <w:spacing w:after="0" w:line="360" w:lineRule="auto"/>
        <w:jc w:val="both"/>
        <w:rPr>
          <w:rFonts w:ascii="Times New Roman" w:hAnsi="Times New Roman"/>
          <w:sz w:val="28"/>
          <w:szCs w:val="28"/>
        </w:rPr>
      </w:pPr>
      <w:r w:rsidRPr="00EF5448">
        <w:rPr>
          <w:rFonts w:ascii="Times New Roman" w:hAnsi="Times New Roman"/>
          <w:sz w:val="28"/>
          <w:szCs w:val="28"/>
        </w:rPr>
        <w:t>прогресс традиционной, в том числе углеводородной энергетики;</w:t>
      </w:r>
    </w:p>
    <w:p w:rsidR="00BB5DC7" w:rsidRPr="00EF5448" w:rsidRDefault="00BB5DC7" w:rsidP="00BB5DC7">
      <w:pPr>
        <w:numPr>
          <w:ilvl w:val="0"/>
          <w:numId w:val="4"/>
        </w:numPr>
        <w:spacing w:after="0" w:line="360" w:lineRule="auto"/>
        <w:jc w:val="both"/>
        <w:rPr>
          <w:rFonts w:ascii="Times New Roman" w:hAnsi="Times New Roman"/>
          <w:sz w:val="28"/>
          <w:szCs w:val="28"/>
        </w:rPr>
      </w:pPr>
      <w:proofErr w:type="spellStart"/>
      <w:r w:rsidRPr="00EF5448">
        <w:rPr>
          <w:rFonts w:ascii="Times New Roman" w:hAnsi="Times New Roman"/>
          <w:sz w:val="28"/>
          <w:szCs w:val="28"/>
        </w:rPr>
        <w:t>энергоэффективность</w:t>
      </w:r>
      <w:proofErr w:type="spellEnd"/>
      <w:r w:rsidRPr="00EF5448">
        <w:rPr>
          <w:rFonts w:ascii="Times New Roman" w:hAnsi="Times New Roman"/>
          <w:sz w:val="28"/>
          <w:szCs w:val="28"/>
        </w:rPr>
        <w:t xml:space="preserve"> и </w:t>
      </w:r>
      <w:proofErr w:type="spellStart"/>
      <w:r w:rsidRPr="00EF5448">
        <w:rPr>
          <w:rFonts w:ascii="Times New Roman" w:hAnsi="Times New Roman"/>
          <w:sz w:val="28"/>
          <w:szCs w:val="28"/>
        </w:rPr>
        <w:t>энергоэффективные</w:t>
      </w:r>
      <w:proofErr w:type="spellEnd"/>
      <w:r w:rsidRPr="00EF5448">
        <w:rPr>
          <w:rFonts w:ascii="Times New Roman" w:hAnsi="Times New Roman"/>
          <w:sz w:val="28"/>
          <w:szCs w:val="28"/>
        </w:rPr>
        <w:t xml:space="preserve"> технологии;</w:t>
      </w:r>
    </w:p>
    <w:p w:rsidR="00BB5DC7" w:rsidRPr="00EF5448" w:rsidRDefault="00BB5DC7" w:rsidP="00BB5DC7">
      <w:pPr>
        <w:numPr>
          <w:ilvl w:val="0"/>
          <w:numId w:val="4"/>
        </w:numPr>
        <w:spacing w:after="0" w:line="360" w:lineRule="auto"/>
        <w:jc w:val="both"/>
        <w:rPr>
          <w:rFonts w:ascii="Times New Roman" w:hAnsi="Times New Roman"/>
          <w:sz w:val="28"/>
          <w:szCs w:val="28"/>
        </w:rPr>
      </w:pPr>
      <w:r w:rsidRPr="00EF5448">
        <w:rPr>
          <w:rFonts w:ascii="Times New Roman" w:hAnsi="Times New Roman"/>
          <w:sz w:val="28"/>
          <w:szCs w:val="28"/>
        </w:rPr>
        <w:t>новые технологии и материалы для возобновляемой энергетики, а также технологии накопления и хранения энергии.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Развитие партнерских отношений в сфере атомной энергетики стран БРИКС на сегодняшний день реализуется на двусторонней основе. Крупнейшее экономическое и </w:t>
      </w:r>
      <w:proofErr w:type="spellStart"/>
      <w:r w:rsidRPr="00EF5448">
        <w:rPr>
          <w:rFonts w:ascii="Times New Roman" w:hAnsi="Times New Roman"/>
          <w:sz w:val="28"/>
          <w:szCs w:val="28"/>
        </w:rPr>
        <w:t>инновационно</w:t>
      </w:r>
      <w:proofErr w:type="spellEnd"/>
      <w:r w:rsidRPr="00EF5448">
        <w:rPr>
          <w:rFonts w:ascii="Times New Roman" w:hAnsi="Times New Roman"/>
          <w:sz w:val="28"/>
          <w:szCs w:val="28"/>
        </w:rPr>
        <w:t xml:space="preserve">-технологическое партнерство РФ осуществляет с Китаем и Индией, а так называемый рамочный межправительственный договор об использовании атомной энергии в мирных целях заключен со всеми членами БРИКС. Главными объектами партнерства в Китае и Индии является строительство АЭС. Помимо этого, с ЮАР и Бразилией ведутся переговоры об участии в конкурсе на строительство ряда энергоблоков АЭС. Уже разработан межправительственный консенсус о присоединении ЮАР к Международному центру по обогащению урана в Ангарске. Партнерство в сфере энергетики, в том числе углеводородной, в стоимостном выражении </w:t>
      </w:r>
      <w:r w:rsidRPr="00EF5448">
        <w:rPr>
          <w:rFonts w:ascii="Times New Roman" w:hAnsi="Times New Roman"/>
          <w:sz w:val="28"/>
          <w:szCs w:val="28"/>
        </w:rPr>
        <w:lastRenderedPageBreak/>
        <w:t>занимает главенствующее место в энергетических отношениях стран БРИКС, которые опираются на долгосрочные двусторонние межправительственные договоры и контракты на поставку энергоресурсов.</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Самым крупным компаньоном РФ в области энергоресурсов является Китай, являющийся одним из крупнейших импортеров российских энергоресурсов. Активное участие в воплощении ряда энергетических проектов РФ принимают компании из Китая. К таким проектам относятся:</w:t>
      </w:r>
    </w:p>
    <w:p w:rsidR="00BB5DC7" w:rsidRPr="00EF5448" w:rsidRDefault="00BB5DC7" w:rsidP="00BB5DC7">
      <w:pPr>
        <w:numPr>
          <w:ilvl w:val="0"/>
          <w:numId w:val="5"/>
        </w:numPr>
        <w:spacing w:after="0" w:line="360" w:lineRule="auto"/>
        <w:jc w:val="both"/>
        <w:rPr>
          <w:rFonts w:ascii="Times New Roman" w:hAnsi="Times New Roman"/>
          <w:sz w:val="28"/>
          <w:szCs w:val="28"/>
        </w:rPr>
      </w:pPr>
      <w:r w:rsidRPr="00EF5448">
        <w:rPr>
          <w:rFonts w:ascii="Times New Roman" w:hAnsi="Times New Roman"/>
          <w:sz w:val="28"/>
          <w:szCs w:val="28"/>
        </w:rPr>
        <w:t>добыча, переработка и транспортировка углеводородов и угля;</w:t>
      </w:r>
    </w:p>
    <w:p w:rsidR="00BB5DC7" w:rsidRPr="00EF5448" w:rsidRDefault="00BB5DC7" w:rsidP="00BB5DC7">
      <w:pPr>
        <w:numPr>
          <w:ilvl w:val="0"/>
          <w:numId w:val="5"/>
        </w:numPr>
        <w:spacing w:after="0" w:line="360" w:lineRule="auto"/>
        <w:jc w:val="both"/>
        <w:rPr>
          <w:rFonts w:ascii="Times New Roman" w:hAnsi="Times New Roman"/>
          <w:sz w:val="28"/>
          <w:szCs w:val="28"/>
        </w:rPr>
      </w:pPr>
      <w:r w:rsidRPr="00EF5448">
        <w:rPr>
          <w:rFonts w:ascii="Times New Roman" w:hAnsi="Times New Roman"/>
          <w:sz w:val="28"/>
          <w:szCs w:val="28"/>
        </w:rPr>
        <w:t>сооружение электростанций и линий электропередач;</w:t>
      </w:r>
    </w:p>
    <w:p w:rsidR="00BB5DC7" w:rsidRPr="00EF5448" w:rsidRDefault="00BB5DC7" w:rsidP="00BB5DC7">
      <w:pPr>
        <w:numPr>
          <w:ilvl w:val="0"/>
          <w:numId w:val="5"/>
        </w:numPr>
        <w:spacing w:after="0" w:line="360" w:lineRule="auto"/>
        <w:jc w:val="both"/>
        <w:rPr>
          <w:rFonts w:ascii="Times New Roman" w:hAnsi="Times New Roman"/>
          <w:sz w:val="28"/>
          <w:szCs w:val="28"/>
        </w:rPr>
      </w:pPr>
      <w:r w:rsidRPr="00EF5448">
        <w:rPr>
          <w:rFonts w:ascii="Times New Roman" w:hAnsi="Times New Roman"/>
          <w:sz w:val="28"/>
          <w:szCs w:val="28"/>
        </w:rPr>
        <w:t xml:space="preserve">развитие портовой и транспортной инфраструктуры; </w:t>
      </w:r>
    </w:p>
    <w:p w:rsidR="00BB5DC7" w:rsidRPr="00EF5448" w:rsidRDefault="00BB5DC7" w:rsidP="00BB5DC7">
      <w:pPr>
        <w:numPr>
          <w:ilvl w:val="0"/>
          <w:numId w:val="5"/>
        </w:numPr>
        <w:spacing w:after="0" w:line="360" w:lineRule="auto"/>
        <w:jc w:val="both"/>
        <w:rPr>
          <w:rFonts w:ascii="Times New Roman" w:hAnsi="Times New Roman"/>
          <w:sz w:val="28"/>
          <w:szCs w:val="28"/>
        </w:rPr>
      </w:pPr>
      <w:r w:rsidRPr="00EF5448">
        <w:rPr>
          <w:rFonts w:ascii="Times New Roman" w:hAnsi="Times New Roman"/>
          <w:sz w:val="28"/>
          <w:szCs w:val="28"/>
        </w:rPr>
        <w:t>поставка в РФ различного энергетического и нефтегазового оборудования.</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Компаньонами такого сотрудничества уже является ряд крупнейших российских и китайских компаний. С российской стороны можно выделить такие компании, как: «Роснефть» и «Газпром», «</w:t>
      </w:r>
      <w:proofErr w:type="spellStart"/>
      <w:r w:rsidRPr="00EF5448">
        <w:rPr>
          <w:rFonts w:ascii="Times New Roman" w:hAnsi="Times New Roman"/>
          <w:sz w:val="28"/>
          <w:szCs w:val="28"/>
        </w:rPr>
        <w:t>Интер</w:t>
      </w:r>
      <w:proofErr w:type="spellEnd"/>
      <w:r w:rsidRPr="00EF5448">
        <w:rPr>
          <w:rFonts w:ascii="Times New Roman" w:hAnsi="Times New Roman"/>
          <w:sz w:val="28"/>
          <w:szCs w:val="28"/>
        </w:rPr>
        <w:t xml:space="preserve"> РАО ЕЭС», «</w:t>
      </w:r>
      <w:proofErr w:type="spellStart"/>
      <w:r w:rsidRPr="00EF5448">
        <w:rPr>
          <w:rFonts w:ascii="Times New Roman" w:hAnsi="Times New Roman"/>
          <w:sz w:val="28"/>
          <w:szCs w:val="28"/>
        </w:rPr>
        <w:t>РусГидро</w:t>
      </w:r>
      <w:proofErr w:type="spellEnd"/>
      <w:r w:rsidRPr="00EF5448">
        <w:rPr>
          <w:rFonts w:ascii="Times New Roman" w:hAnsi="Times New Roman"/>
          <w:sz w:val="28"/>
          <w:szCs w:val="28"/>
        </w:rPr>
        <w:t xml:space="preserve">», «Сибирская угольная энергетическая компания», группа </w:t>
      </w:r>
      <w:proofErr w:type="spellStart"/>
      <w:r w:rsidRPr="00EF5448">
        <w:rPr>
          <w:rFonts w:ascii="Times New Roman" w:hAnsi="Times New Roman"/>
          <w:sz w:val="28"/>
          <w:szCs w:val="28"/>
        </w:rPr>
        <w:t>Evraz</w:t>
      </w:r>
      <w:proofErr w:type="spellEnd"/>
      <w:r w:rsidRPr="00EF5448">
        <w:rPr>
          <w:rFonts w:ascii="Times New Roman" w:hAnsi="Times New Roman"/>
          <w:sz w:val="28"/>
          <w:szCs w:val="28"/>
        </w:rPr>
        <w:t xml:space="preserve"> и «Мечел», «ФСК ЕЭС» и другие. С китайской стороны – «Китайская угольная корпорация», «Китайская национальная химическая корпорация», «Государственная электросетевая корпорация Китая», «КННК», «</w:t>
      </w:r>
      <w:proofErr w:type="spellStart"/>
      <w:r w:rsidRPr="00EF5448">
        <w:rPr>
          <w:rFonts w:ascii="Times New Roman" w:hAnsi="Times New Roman"/>
          <w:sz w:val="28"/>
          <w:szCs w:val="28"/>
        </w:rPr>
        <w:t>Синопек</w:t>
      </w:r>
      <w:proofErr w:type="spellEnd"/>
      <w:r w:rsidRPr="00EF5448">
        <w:rPr>
          <w:rFonts w:ascii="Times New Roman" w:hAnsi="Times New Roman"/>
          <w:sz w:val="28"/>
          <w:szCs w:val="28"/>
        </w:rPr>
        <w:t>», корпорация «</w:t>
      </w:r>
      <w:proofErr w:type="spellStart"/>
      <w:r w:rsidRPr="00EF5448">
        <w:rPr>
          <w:rFonts w:ascii="Times New Roman" w:hAnsi="Times New Roman"/>
          <w:sz w:val="28"/>
          <w:szCs w:val="28"/>
        </w:rPr>
        <w:t>Санься</w:t>
      </w:r>
      <w:proofErr w:type="spellEnd"/>
      <w:r w:rsidRPr="00EF5448">
        <w:rPr>
          <w:rFonts w:ascii="Times New Roman" w:hAnsi="Times New Roman"/>
          <w:sz w:val="28"/>
          <w:szCs w:val="28"/>
        </w:rPr>
        <w:t xml:space="preserve">» («Три Ущелья») и др. Такого рода механизмы поддержки дают возможность успешно реализовывать совместные проекты, примером которых являются крупнейшие соглашения на поставку нефти и газа из РФ в Китай с прогрессом соответствующей инфраструктуры: ВСТО, «Сила Сибири» и проект «Ямал-СПГ». Кроме этого, китайские компании в сфере энергетики также стремятся внедриться в электроэнергетику РФ, выступая как инвесторами, так и подрядчиками сооружения новых электростанций. Но образование новых совместных предприятий продвигается с трудом, несмотря на то, что проектов огромное количество. </w:t>
      </w:r>
      <w:proofErr w:type="gramStart"/>
      <w:r w:rsidRPr="00EF5448">
        <w:rPr>
          <w:rFonts w:ascii="Times New Roman" w:hAnsi="Times New Roman"/>
          <w:sz w:val="28"/>
          <w:szCs w:val="28"/>
        </w:rPr>
        <w:t xml:space="preserve">В целом партнерские отношения России и Китая в нефтегазовой и угольной </w:t>
      </w:r>
      <w:r w:rsidRPr="00EF5448">
        <w:rPr>
          <w:rFonts w:ascii="Times New Roman" w:hAnsi="Times New Roman"/>
          <w:sz w:val="28"/>
          <w:szCs w:val="28"/>
        </w:rPr>
        <w:lastRenderedPageBreak/>
        <w:t>отраслях складываются достаточно сложно, но возможностей здесь предостаточно.</w:t>
      </w:r>
      <w:proofErr w:type="gramEnd"/>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Несмотря на это, идут поиски для партнерства в новых проектах и в электроэнергетике, и в нефтегазовой отрасли, и в угольной сфере.</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В целом в реализации российско-китайского энергетического партнерства имеется ряд достаточно серьезных проблем. Среди них выделим две наиболее значимые.</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Итак, первая причина – это дефицит производственно-инновационного и инвестиционного согласования. Сюда относится и структурно-технологическая кооперация, а также обмен новыми технологиями и научными разработками. Вторая причина заключается в том, что энергетические отношения складываются в основном в торгово-коммерческом формате «на основе рыночного механизма ценообразования и принципов </w:t>
      </w:r>
      <w:proofErr w:type="spellStart"/>
      <w:r w:rsidRPr="00EF5448">
        <w:rPr>
          <w:rFonts w:ascii="Times New Roman" w:hAnsi="Times New Roman"/>
          <w:sz w:val="28"/>
          <w:szCs w:val="28"/>
        </w:rPr>
        <w:t>взаимовыгодности</w:t>
      </w:r>
      <w:proofErr w:type="spellEnd"/>
      <w:r w:rsidRPr="00EF5448">
        <w:rPr>
          <w:rFonts w:ascii="Times New Roman" w:hAnsi="Times New Roman"/>
          <w:sz w:val="28"/>
          <w:szCs w:val="28"/>
        </w:rPr>
        <w:t>», что в свою очередь ориентирует партнерство на достижение кратковременных коммерческих целей, тем самым мешая поиску общих долгосрочных интересов.</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Что касается российско-индийских партнерских отношений в энергетической сфере, то здесь они по своим масштабам пока несоизмеримы с такими же отношениями между Россией и Китаем. Потенциал развития отношений в данной области огромный, а сами партнерские отношения планируются на долгие десятилетия. В партнерские отношения вовлечены крупные компании Индии и России, а также финансовые структуры. Основу данного сотрудничества составляют отношения в области нефти и газа, хотя в последние годы к данному сотрудничеству проявляет интерес и электроэнергетические организации РФ, такие как «</w:t>
      </w:r>
      <w:proofErr w:type="spellStart"/>
      <w:r w:rsidRPr="00EF5448">
        <w:rPr>
          <w:rFonts w:ascii="Times New Roman" w:hAnsi="Times New Roman"/>
          <w:sz w:val="28"/>
          <w:szCs w:val="28"/>
        </w:rPr>
        <w:t>Русгидро</w:t>
      </w:r>
      <w:proofErr w:type="spellEnd"/>
      <w:r w:rsidRPr="00EF5448">
        <w:rPr>
          <w:rFonts w:ascii="Times New Roman" w:hAnsi="Times New Roman"/>
          <w:sz w:val="28"/>
          <w:szCs w:val="28"/>
        </w:rPr>
        <w:t xml:space="preserve">» и </w:t>
      </w:r>
      <w:proofErr w:type="spellStart"/>
      <w:r w:rsidRPr="00EF5448">
        <w:rPr>
          <w:rFonts w:ascii="Times New Roman" w:hAnsi="Times New Roman"/>
          <w:sz w:val="28"/>
          <w:szCs w:val="28"/>
        </w:rPr>
        <w:t>ИнтерРАО</w:t>
      </w:r>
      <w:proofErr w:type="spellEnd"/>
      <w:r w:rsidRPr="00EF5448">
        <w:rPr>
          <w:rFonts w:ascii="Times New Roman" w:hAnsi="Times New Roman"/>
          <w:sz w:val="28"/>
          <w:szCs w:val="28"/>
        </w:rPr>
        <w:t>.</w:t>
      </w:r>
    </w:p>
    <w:p w:rsidR="00BB5DC7" w:rsidRPr="00EF5448" w:rsidRDefault="00BB5DC7" w:rsidP="00BB5DC7">
      <w:pPr>
        <w:spacing w:after="0" w:line="360" w:lineRule="auto"/>
        <w:jc w:val="both"/>
        <w:rPr>
          <w:rFonts w:ascii="Times New Roman" w:hAnsi="Times New Roman"/>
          <w:sz w:val="28"/>
          <w:szCs w:val="28"/>
        </w:rPr>
      </w:pPr>
      <w:r w:rsidRPr="00EF5448">
        <w:rPr>
          <w:rFonts w:ascii="Times New Roman" w:hAnsi="Times New Roman"/>
          <w:sz w:val="28"/>
          <w:szCs w:val="28"/>
        </w:rPr>
        <w:t>Начиная с 2010 г. в силу вступило «Соглашение о развитии сотрудничества в нефтегазовой сфере». В данном соглашении интересы России представляют такие компании, как «Роснефть» и «Газпром».</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lastRenderedPageBreak/>
        <w:t>Стоит отметить, что главным партнером «Роснефти» является крупнейшая индийская государственная нефтегазовая корпорация ONGC, которая с 2001 г. принимает участие в проекте «Сахалин-1». В 2015 г. ONGC приобрела у «Роснефти» 15% АО «</w:t>
      </w:r>
      <w:proofErr w:type="spellStart"/>
      <w:r w:rsidRPr="00EF5448">
        <w:rPr>
          <w:rFonts w:ascii="Times New Roman" w:hAnsi="Times New Roman"/>
          <w:sz w:val="28"/>
          <w:szCs w:val="28"/>
        </w:rPr>
        <w:t>Ванкорнефть</w:t>
      </w:r>
      <w:proofErr w:type="spellEnd"/>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Помимо этого, на данный момент согласованы условия участия индийской компании в проекте «Дальневосточный СПГ».</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В то же время в июле 2015 года «Роснефть» вошла в уставный капитал нефтеперерабатывающего завода компании </w:t>
      </w:r>
      <w:proofErr w:type="spellStart"/>
      <w:r w:rsidRPr="00EF5448">
        <w:rPr>
          <w:rFonts w:ascii="Times New Roman" w:hAnsi="Times New Roman"/>
          <w:sz w:val="28"/>
          <w:szCs w:val="28"/>
        </w:rPr>
        <w:t>Essar</w:t>
      </w:r>
      <w:proofErr w:type="spellEnd"/>
      <w:r w:rsidRPr="00EF5448">
        <w:rPr>
          <w:rFonts w:ascii="Times New Roman" w:hAnsi="Times New Roman"/>
          <w:sz w:val="28"/>
          <w:szCs w:val="28"/>
        </w:rPr>
        <w:t xml:space="preserve"> </w:t>
      </w:r>
      <w:proofErr w:type="spellStart"/>
      <w:r w:rsidRPr="00EF5448">
        <w:rPr>
          <w:rFonts w:ascii="Times New Roman" w:hAnsi="Times New Roman"/>
          <w:sz w:val="28"/>
          <w:szCs w:val="28"/>
        </w:rPr>
        <w:t>Oil</w:t>
      </w:r>
      <w:proofErr w:type="spellEnd"/>
      <w:r w:rsidRPr="00EF5448">
        <w:rPr>
          <w:rFonts w:ascii="Times New Roman" w:hAnsi="Times New Roman"/>
          <w:sz w:val="28"/>
          <w:szCs w:val="28"/>
        </w:rPr>
        <w:t xml:space="preserve"> в городе </w:t>
      </w:r>
      <w:proofErr w:type="spellStart"/>
      <w:r w:rsidRPr="00EF5448">
        <w:rPr>
          <w:rFonts w:ascii="Times New Roman" w:hAnsi="Times New Roman"/>
          <w:sz w:val="28"/>
          <w:szCs w:val="28"/>
        </w:rPr>
        <w:t>Вадинар</w:t>
      </w:r>
      <w:proofErr w:type="spellEnd"/>
      <w:r w:rsidRPr="00EF5448">
        <w:rPr>
          <w:rFonts w:ascii="Times New Roman" w:hAnsi="Times New Roman"/>
          <w:sz w:val="28"/>
          <w:szCs w:val="28"/>
        </w:rPr>
        <w:t>. Сейчас российская компания занимает до 49% уставного капитала.</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«Газпром» также развивает взаимоотношения с Индией, в частности с газовой компанией GAIL по части поставок природного газа. 1 октября 2012 г. ими подписан Договор купли-продажи СПГ в объеме 2,5 млн</w:t>
      </w:r>
      <w:r>
        <w:rPr>
          <w:rFonts w:ascii="Times New Roman" w:hAnsi="Times New Roman"/>
          <w:sz w:val="28"/>
          <w:szCs w:val="28"/>
        </w:rPr>
        <w:t>.</w:t>
      </w:r>
      <w:r w:rsidRPr="00EF5448">
        <w:rPr>
          <w:rFonts w:ascii="Times New Roman" w:hAnsi="Times New Roman"/>
          <w:sz w:val="28"/>
          <w:szCs w:val="28"/>
        </w:rPr>
        <w:t xml:space="preserve"> т. в год в течение 20 лет. Первые поставки газ</w:t>
      </w:r>
      <w:r>
        <w:rPr>
          <w:rFonts w:ascii="Times New Roman" w:hAnsi="Times New Roman"/>
          <w:sz w:val="28"/>
          <w:szCs w:val="28"/>
        </w:rPr>
        <w:t>а в Индию намечены на 2017 год</w:t>
      </w:r>
      <w:r>
        <w:rPr>
          <w:rStyle w:val="a8"/>
          <w:rFonts w:ascii="Times New Roman" w:hAnsi="Times New Roman"/>
          <w:sz w:val="28"/>
          <w:szCs w:val="28"/>
        </w:rPr>
        <w:footnoteReference w:id="36"/>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Стоит отметить, что в российско-индийском нефтегазовом партнерстве принимают участие и другие компании.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Быстрыми темпами набирает скорость энергетическое взаимодействие России и Бразилии. Сегодня наиболее тесно с бразильскими партнерами работают такие российские компании, как ОАО «НК «Роснефть», ПАО «Газпром» и ОАО «Силовые машины». Постоянно проводятся заседания российско-бразильской рабочей группы по энергетике, а также Межправительственной Российско-Бразильской комиссии по торгово-экономическому и научно-техническому сотрудничеству.</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Несмотря на то, что Межправительственное соглашение о сотрудничестве в области энергетики было подписано еще в марте 2013 года, взаимодействие России с ЮАР в энергетической сфере находится в самой начальной стадии. Наиболее перспективными направлениями такого сотрудничества считаются геологоразведка, добыча и переработка полезных </w:t>
      </w:r>
      <w:r w:rsidRPr="00EF5448">
        <w:rPr>
          <w:rFonts w:ascii="Times New Roman" w:hAnsi="Times New Roman"/>
          <w:sz w:val="28"/>
          <w:szCs w:val="28"/>
        </w:rPr>
        <w:lastRenderedPageBreak/>
        <w:t xml:space="preserve">ископаемых, строительство энергетических объектов, включая ГЭС, сооружение </w:t>
      </w:r>
      <w:proofErr w:type="spellStart"/>
      <w:r w:rsidRPr="00EF5448">
        <w:rPr>
          <w:rFonts w:ascii="Times New Roman" w:hAnsi="Times New Roman"/>
          <w:sz w:val="28"/>
          <w:szCs w:val="28"/>
        </w:rPr>
        <w:t>нефте</w:t>
      </w:r>
      <w:proofErr w:type="spellEnd"/>
      <w:r w:rsidRPr="00EF5448">
        <w:rPr>
          <w:rFonts w:ascii="Times New Roman" w:hAnsi="Times New Roman"/>
          <w:sz w:val="28"/>
          <w:szCs w:val="28"/>
        </w:rPr>
        <w:t>- и газопроводов. К сожалению, конкретных проектов по данным направлениям пока нет.</w:t>
      </w:r>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2"/>
        <w:spacing w:before="0" w:after="0" w:line="360" w:lineRule="auto"/>
        <w:jc w:val="center"/>
        <w:rPr>
          <w:rFonts w:ascii="Times New Roman" w:hAnsi="Times New Roman"/>
          <w:i w:val="0"/>
        </w:rPr>
      </w:pPr>
      <w:bookmarkStart w:id="7" w:name="_Toc479667921"/>
      <w:r w:rsidRPr="009B5184">
        <w:rPr>
          <w:rFonts w:ascii="Times New Roman" w:hAnsi="Times New Roman"/>
          <w:i w:val="0"/>
        </w:rPr>
        <w:t>2.2 Энергетическое сотрудничество между странами БРИКС</w:t>
      </w:r>
      <w:bookmarkEnd w:id="7"/>
    </w:p>
    <w:p w:rsidR="00BB5DC7" w:rsidRDefault="00BB5DC7" w:rsidP="00BB5DC7">
      <w:pPr>
        <w:spacing w:after="0" w:line="360" w:lineRule="auto"/>
        <w:jc w:val="both"/>
        <w:rPr>
          <w:rFonts w:ascii="Times New Roman" w:hAnsi="Times New Roman"/>
          <w:sz w:val="28"/>
          <w:szCs w:val="28"/>
        </w:rPr>
      </w:pP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БРИКС – это группа стран с отличающимися политическими системами, расположенные в разных уголках земного шара, тем не менее, эти государства имеют некоторые общие геополитические, экономические и торговые интересы.</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Члены БРИКС характеризуются как наиболее быстро развивающиеся крупные экономики.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Выгодное положение этим странам обеспечивает наличие в них большого количества важных для мировой экономики ресурсов, причем каждая страна богата своими ресурсами. </w:t>
      </w:r>
      <w:proofErr w:type="gramStart"/>
      <w:r w:rsidRPr="00EF5448">
        <w:rPr>
          <w:rFonts w:ascii="Times New Roman" w:hAnsi="Times New Roman"/>
          <w:sz w:val="28"/>
          <w:szCs w:val="28"/>
        </w:rPr>
        <w:t>Например, Бразилия – богата сельскохозяйственной продукцией и полезными ископаемыми; Россия – крупнейший в мире экспортёр минеральных ресурсов и в частности – энергетических; Китай – обладатель трудовых ресурсов; Индия – интеллектуальные ресурсы; Южно-Африканская Республика – полезные ископаемые.</w:t>
      </w:r>
      <w:proofErr w:type="gramEnd"/>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Хозяйства этих стран опираются на данные ресурсы, в то же </w:t>
      </w:r>
      <w:proofErr w:type="gramStart"/>
      <w:r w:rsidRPr="00EF5448">
        <w:rPr>
          <w:rFonts w:ascii="Times New Roman" w:hAnsi="Times New Roman"/>
          <w:sz w:val="28"/>
          <w:szCs w:val="28"/>
        </w:rPr>
        <w:t>время</w:t>
      </w:r>
      <w:proofErr w:type="gramEnd"/>
      <w:r w:rsidRPr="00EF5448">
        <w:rPr>
          <w:rFonts w:ascii="Times New Roman" w:hAnsi="Times New Roman"/>
          <w:sz w:val="28"/>
          <w:szCs w:val="28"/>
        </w:rPr>
        <w:t xml:space="preserve"> обеспечивая странам максимальную </w:t>
      </w:r>
      <w:proofErr w:type="spellStart"/>
      <w:r w:rsidRPr="00EF5448">
        <w:rPr>
          <w:rFonts w:ascii="Times New Roman" w:hAnsi="Times New Roman"/>
          <w:sz w:val="28"/>
          <w:szCs w:val="28"/>
        </w:rPr>
        <w:t>взаимодополняемость</w:t>
      </w:r>
      <w:proofErr w:type="spellEnd"/>
      <w:r w:rsidRPr="00EF5448">
        <w:rPr>
          <w:rFonts w:ascii="Times New Roman" w:hAnsi="Times New Roman"/>
          <w:sz w:val="28"/>
          <w:szCs w:val="28"/>
        </w:rPr>
        <w:t xml:space="preserve"> и </w:t>
      </w:r>
      <w:proofErr w:type="spellStart"/>
      <w:r w:rsidRPr="00EF5448">
        <w:rPr>
          <w:rFonts w:ascii="Times New Roman" w:hAnsi="Times New Roman"/>
          <w:sz w:val="28"/>
          <w:szCs w:val="28"/>
        </w:rPr>
        <w:t>взаимосотрудничество</w:t>
      </w:r>
      <w:proofErr w:type="spellEnd"/>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Учитывая экономический потенциал стран, сотрудничество переходит на новый уровень. Так, страны БРИКС занимают 30% суши в мире, 42% населения планеты, на них приходится 15% мировой торговли, более половины всех привлекаемых в мировую экономику капиталов, их объединенный валовый внутренний продукт (ВВП) составляет примерно </w:t>
      </w:r>
      <w:r w:rsidRPr="00EF5448">
        <w:rPr>
          <w:rFonts w:ascii="Times New Roman" w:hAnsi="Times New Roman"/>
          <w:sz w:val="28"/>
          <w:szCs w:val="28"/>
        </w:rPr>
        <w:lastRenderedPageBreak/>
        <w:t>18% мирового ВВП. Почти в каждом сравнении с другими странами или регионами они выступают наибольшим глобальным объектом.</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По мнению экспертов банка «</w:t>
      </w:r>
      <w:proofErr w:type="spellStart"/>
      <w:r w:rsidRPr="00EF5448">
        <w:rPr>
          <w:rFonts w:ascii="Times New Roman" w:hAnsi="Times New Roman"/>
          <w:sz w:val="28"/>
          <w:szCs w:val="28"/>
        </w:rPr>
        <w:t>Goldman</w:t>
      </w:r>
      <w:proofErr w:type="spellEnd"/>
      <w:r w:rsidRPr="00EF5448">
        <w:rPr>
          <w:rFonts w:ascii="Times New Roman" w:hAnsi="Times New Roman"/>
          <w:sz w:val="28"/>
          <w:szCs w:val="28"/>
        </w:rPr>
        <w:t xml:space="preserve"> </w:t>
      </w:r>
      <w:proofErr w:type="spellStart"/>
      <w:r w:rsidRPr="00EF5448">
        <w:rPr>
          <w:rFonts w:ascii="Times New Roman" w:hAnsi="Times New Roman"/>
          <w:sz w:val="28"/>
          <w:szCs w:val="28"/>
        </w:rPr>
        <w:t>Sachs</w:t>
      </w:r>
      <w:proofErr w:type="spellEnd"/>
      <w:r w:rsidRPr="00EF5448">
        <w:rPr>
          <w:rFonts w:ascii="Times New Roman" w:hAnsi="Times New Roman"/>
          <w:sz w:val="28"/>
          <w:szCs w:val="28"/>
        </w:rPr>
        <w:t xml:space="preserve">», к 2050 г. суммарно экономики стран этой группы по размеру ВВП превысят общий размер экономики самых </w:t>
      </w:r>
      <w:r>
        <w:rPr>
          <w:rFonts w:ascii="Times New Roman" w:hAnsi="Times New Roman"/>
          <w:sz w:val="28"/>
          <w:szCs w:val="28"/>
        </w:rPr>
        <w:t>богатых стран мира («Большой семе</w:t>
      </w:r>
      <w:r w:rsidRPr="00EF5448">
        <w:rPr>
          <w:rFonts w:ascii="Times New Roman" w:hAnsi="Times New Roman"/>
          <w:sz w:val="28"/>
          <w:szCs w:val="28"/>
        </w:rPr>
        <w:t>рки</w:t>
      </w:r>
      <w:r>
        <w:rPr>
          <w:rFonts w:ascii="Times New Roman" w:hAnsi="Times New Roman"/>
          <w:sz w:val="28"/>
          <w:szCs w:val="28"/>
        </w:rPr>
        <w:t>»</w:t>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Общий характер сотрудничества стран-участниц предполагает наличие ключевых факторов:</w:t>
      </w:r>
    </w:p>
    <w:p w:rsidR="00BB5DC7" w:rsidRPr="00EF5448" w:rsidRDefault="00BB5DC7" w:rsidP="00BB5DC7">
      <w:pPr>
        <w:numPr>
          <w:ilvl w:val="0"/>
          <w:numId w:val="6"/>
        </w:numPr>
        <w:spacing w:after="0" w:line="360" w:lineRule="auto"/>
        <w:jc w:val="both"/>
        <w:rPr>
          <w:rFonts w:ascii="Times New Roman" w:hAnsi="Times New Roman"/>
          <w:sz w:val="28"/>
          <w:szCs w:val="28"/>
        </w:rPr>
      </w:pPr>
      <w:r w:rsidRPr="00EF5448">
        <w:rPr>
          <w:rFonts w:ascii="Times New Roman" w:hAnsi="Times New Roman"/>
          <w:sz w:val="28"/>
          <w:szCs w:val="28"/>
        </w:rPr>
        <w:t>схожесть мнений по вопросам международной безопасности и глобальным проблемам;</w:t>
      </w:r>
    </w:p>
    <w:p w:rsidR="00BB5DC7" w:rsidRPr="00EF5448" w:rsidRDefault="00BB5DC7" w:rsidP="00BB5DC7">
      <w:pPr>
        <w:numPr>
          <w:ilvl w:val="0"/>
          <w:numId w:val="6"/>
        </w:numPr>
        <w:spacing w:after="0" w:line="360" w:lineRule="auto"/>
        <w:jc w:val="both"/>
        <w:rPr>
          <w:rFonts w:ascii="Times New Roman" w:hAnsi="Times New Roman"/>
          <w:sz w:val="28"/>
          <w:szCs w:val="28"/>
        </w:rPr>
      </w:pPr>
      <w:r w:rsidRPr="00EF5448">
        <w:rPr>
          <w:rFonts w:ascii="Times New Roman" w:hAnsi="Times New Roman"/>
          <w:sz w:val="28"/>
          <w:szCs w:val="28"/>
        </w:rPr>
        <w:t>близость с точки зрения приобретение достойного места на экономической и политической арене, задач социально-экономической модернизации;</w:t>
      </w:r>
    </w:p>
    <w:p w:rsidR="00BB5DC7" w:rsidRPr="00EF5448" w:rsidRDefault="00BB5DC7" w:rsidP="00BB5DC7">
      <w:pPr>
        <w:numPr>
          <w:ilvl w:val="0"/>
          <w:numId w:val="6"/>
        </w:numPr>
        <w:spacing w:after="0" w:line="360" w:lineRule="auto"/>
        <w:jc w:val="both"/>
        <w:rPr>
          <w:rFonts w:ascii="Times New Roman" w:hAnsi="Times New Roman"/>
          <w:sz w:val="28"/>
          <w:szCs w:val="28"/>
        </w:rPr>
      </w:pPr>
      <w:r w:rsidRPr="00EF5448">
        <w:rPr>
          <w:rFonts w:ascii="Times New Roman" w:hAnsi="Times New Roman"/>
          <w:sz w:val="28"/>
          <w:szCs w:val="28"/>
        </w:rPr>
        <w:t>разработка общих подходов к проблемам мирового экономического и валютно-финансового кризиса;</w:t>
      </w:r>
    </w:p>
    <w:p w:rsidR="00BB5DC7" w:rsidRPr="00EF5448" w:rsidRDefault="00BB5DC7" w:rsidP="00BB5DC7">
      <w:pPr>
        <w:numPr>
          <w:ilvl w:val="0"/>
          <w:numId w:val="6"/>
        </w:numPr>
        <w:spacing w:after="0" w:line="360" w:lineRule="auto"/>
        <w:jc w:val="both"/>
        <w:rPr>
          <w:rFonts w:ascii="Times New Roman" w:hAnsi="Times New Roman"/>
          <w:sz w:val="28"/>
          <w:szCs w:val="28"/>
        </w:rPr>
      </w:pPr>
      <w:proofErr w:type="spellStart"/>
      <w:r w:rsidRPr="00EF5448">
        <w:rPr>
          <w:rFonts w:ascii="Times New Roman" w:hAnsi="Times New Roman"/>
          <w:sz w:val="28"/>
          <w:szCs w:val="28"/>
        </w:rPr>
        <w:t>взаимодополняемость</w:t>
      </w:r>
      <w:proofErr w:type="spellEnd"/>
      <w:r w:rsidRPr="00EF5448">
        <w:rPr>
          <w:rFonts w:ascii="Times New Roman" w:hAnsi="Times New Roman"/>
          <w:sz w:val="28"/>
          <w:szCs w:val="28"/>
        </w:rPr>
        <w:t xml:space="preserve"> экономик стран БРИКС.</w:t>
      </w:r>
    </w:p>
    <w:p w:rsidR="00BB5DC7"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Особо остро стоит вопрос сотрудничества в мировой энергетике, поскольку совместные действия стран-участниц могут повлиять на мировые рыночные механизмы регулирования ТЭК. Только Россия – крупный экспортер, заинтересованный в больших устой</w:t>
      </w:r>
      <w:r>
        <w:rPr>
          <w:rFonts w:ascii="Times New Roman" w:hAnsi="Times New Roman"/>
          <w:sz w:val="28"/>
          <w:szCs w:val="28"/>
        </w:rPr>
        <w:t>чивых поставках энергоносителей</w:t>
      </w:r>
      <w:r w:rsidRPr="00EF5448">
        <w:rPr>
          <w:rFonts w:ascii="Times New Roman" w:hAnsi="Times New Roman"/>
          <w:sz w:val="28"/>
          <w:szCs w:val="28"/>
        </w:rPr>
        <w:t xml:space="preserve">. Бразилия близка к экспорту нефти (потребуется еще 3–5 лет). Китай, Индия и ЮАР зависят от добычи угля, но первые две страны уголь импортируют, а ЮАР экспортирует. Поэтому интересы пяти стран гармонизировать непросто, хотя они сходятся в стабильности поставок и цен. Базой кооперации БРИКС может стать финансовая сфера. </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Кроме того, пул энергетических технологий, заделы по которым имеются в странах группы, может дать прогресс в устойчивом развитии.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Так, в рамках партнерства создалась рабочая группа по вопросам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стран.</w:t>
      </w:r>
      <w:r>
        <w:rPr>
          <w:rFonts w:ascii="Times New Roman" w:hAnsi="Times New Roman"/>
          <w:sz w:val="28"/>
          <w:szCs w:val="28"/>
        </w:rPr>
        <w:t xml:space="preserve"> </w:t>
      </w:r>
      <w:r w:rsidRPr="00EF5448">
        <w:rPr>
          <w:rFonts w:ascii="Times New Roman" w:hAnsi="Times New Roman"/>
          <w:sz w:val="28"/>
          <w:szCs w:val="28"/>
        </w:rPr>
        <w:t xml:space="preserve">Данная группа занимается вопросами совместного развития технологий, обменом информации, создание общих </w:t>
      </w:r>
      <w:r w:rsidRPr="00EF5448">
        <w:rPr>
          <w:rFonts w:ascii="Times New Roman" w:hAnsi="Times New Roman"/>
          <w:sz w:val="28"/>
          <w:szCs w:val="28"/>
        </w:rPr>
        <w:lastRenderedPageBreak/>
        <w:t>проектов, проведение исследований, подготовкой прогнозов развития мирового энергетического сектора и прочее.</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Разрабатывается возможность создания совместного энергетического агентства на базе БРИКС и проведения взаимных расч</w:t>
      </w:r>
      <w:r>
        <w:rPr>
          <w:rFonts w:ascii="Times New Roman" w:hAnsi="Times New Roman"/>
          <w:sz w:val="28"/>
          <w:szCs w:val="28"/>
        </w:rPr>
        <w:t>е</w:t>
      </w:r>
      <w:r w:rsidRPr="00EF5448">
        <w:rPr>
          <w:rFonts w:ascii="Times New Roman" w:hAnsi="Times New Roman"/>
          <w:sz w:val="28"/>
          <w:szCs w:val="28"/>
        </w:rPr>
        <w:t>тов в национальных валютах. Так, Россия ввела практику взаиморасчетов за топливно-энергетические ресурсы в национальных валютах со своими ближайшими соседями.</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Многие специалисты из отрасли энергетики предложили свое видение в сотрудничестве стран БРИКС.</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По мнению министра ЮАР </w:t>
      </w:r>
      <w:proofErr w:type="spellStart"/>
      <w:r w:rsidRPr="00EF5448">
        <w:rPr>
          <w:rFonts w:ascii="Times New Roman" w:hAnsi="Times New Roman"/>
          <w:sz w:val="28"/>
          <w:szCs w:val="28"/>
        </w:rPr>
        <w:t>Джумат-Петерсон</w:t>
      </w:r>
      <w:proofErr w:type="spellEnd"/>
      <w:r w:rsidRPr="00EF5448">
        <w:rPr>
          <w:rFonts w:ascii="Times New Roman" w:hAnsi="Times New Roman"/>
          <w:sz w:val="28"/>
          <w:szCs w:val="28"/>
        </w:rPr>
        <w:t xml:space="preserve">, страны БРИКС должны повышать </w:t>
      </w:r>
      <w:proofErr w:type="spellStart"/>
      <w:r w:rsidRPr="00EF5448">
        <w:rPr>
          <w:rFonts w:ascii="Times New Roman" w:hAnsi="Times New Roman"/>
          <w:sz w:val="28"/>
          <w:szCs w:val="28"/>
        </w:rPr>
        <w:t>энергоэффективность</w:t>
      </w:r>
      <w:proofErr w:type="spellEnd"/>
      <w:r w:rsidRPr="00EF5448">
        <w:rPr>
          <w:rFonts w:ascii="Times New Roman" w:hAnsi="Times New Roman"/>
          <w:sz w:val="28"/>
          <w:szCs w:val="28"/>
        </w:rPr>
        <w:t xml:space="preserve"> всех развивающихся экономик</w:t>
      </w:r>
      <w:r>
        <w:rPr>
          <w:rStyle w:val="a8"/>
          <w:rFonts w:ascii="Times New Roman" w:hAnsi="Times New Roman"/>
          <w:sz w:val="28"/>
          <w:szCs w:val="28"/>
        </w:rPr>
        <w:footnoteReference w:id="37"/>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Ведущий экономист и представитель Бразилии </w:t>
      </w:r>
      <w:proofErr w:type="spellStart"/>
      <w:r w:rsidRPr="00EF5448">
        <w:rPr>
          <w:rFonts w:ascii="Times New Roman" w:hAnsi="Times New Roman"/>
          <w:sz w:val="28"/>
          <w:szCs w:val="28"/>
        </w:rPr>
        <w:t>Геррейро</w:t>
      </w:r>
      <w:proofErr w:type="spellEnd"/>
      <w:r w:rsidRPr="00EF5448">
        <w:rPr>
          <w:rFonts w:ascii="Times New Roman" w:hAnsi="Times New Roman"/>
          <w:sz w:val="28"/>
          <w:szCs w:val="28"/>
        </w:rPr>
        <w:t xml:space="preserve"> поделился опытом в области возобновляемой энергетики. В бразильской энергетике на возобновляемые технологии приходится 39% (в основном благодаря гидроэнергетике) при среднем уровне 13% в мире. Рассчитывая на увеличение спроса на чистую генерацию, в Бразилии к 2023 г. намереваются довести этот процент до 43, вложив около 340 млрд</w:t>
      </w:r>
      <w:r>
        <w:rPr>
          <w:rFonts w:ascii="Times New Roman" w:hAnsi="Times New Roman"/>
          <w:sz w:val="28"/>
          <w:szCs w:val="28"/>
        </w:rPr>
        <w:t xml:space="preserve">. долл. </w:t>
      </w:r>
      <w:r w:rsidRPr="00EF5448">
        <w:rPr>
          <w:rFonts w:ascii="Times New Roman" w:hAnsi="Times New Roman"/>
          <w:sz w:val="28"/>
          <w:szCs w:val="28"/>
        </w:rPr>
        <w:t xml:space="preserve">в </w:t>
      </w:r>
      <w:proofErr w:type="gramStart"/>
      <w:r w:rsidRPr="00EF5448">
        <w:rPr>
          <w:rFonts w:ascii="Times New Roman" w:hAnsi="Times New Roman"/>
          <w:sz w:val="28"/>
          <w:szCs w:val="28"/>
        </w:rPr>
        <w:t>ближайшие</w:t>
      </w:r>
      <w:proofErr w:type="gramEnd"/>
      <w:r w:rsidRPr="00EF5448">
        <w:rPr>
          <w:rFonts w:ascii="Times New Roman" w:hAnsi="Times New Roman"/>
          <w:sz w:val="28"/>
          <w:szCs w:val="28"/>
        </w:rPr>
        <w:t xml:space="preserve"> 10 лет</w:t>
      </w:r>
      <w:r>
        <w:rPr>
          <w:rStyle w:val="a8"/>
          <w:rFonts w:ascii="Times New Roman" w:hAnsi="Times New Roman"/>
          <w:sz w:val="28"/>
          <w:szCs w:val="28"/>
        </w:rPr>
        <w:footnoteReference w:id="38"/>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Энергетическая отрасль в Индии испытывает свои трудности. Так, </w:t>
      </w:r>
      <w:proofErr w:type="spellStart"/>
      <w:r w:rsidRPr="00EF5448">
        <w:rPr>
          <w:rFonts w:ascii="Times New Roman" w:hAnsi="Times New Roman"/>
          <w:sz w:val="28"/>
          <w:szCs w:val="28"/>
        </w:rPr>
        <w:t>Прасад</w:t>
      </w:r>
      <w:proofErr w:type="spellEnd"/>
      <w:r w:rsidRPr="00EF5448">
        <w:rPr>
          <w:rFonts w:ascii="Times New Roman" w:hAnsi="Times New Roman"/>
          <w:sz w:val="28"/>
          <w:szCs w:val="28"/>
        </w:rPr>
        <w:t xml:space="preserve"> </w:t>
      </w:r>
      <w:proofErr w:type="spellStart"/>
      <w:r w:rsidRPr="00EF5448">
        <w:rPr>
          <w:rFonts w:ascii="Times New Roman" w:hAnsi="Times New Roman"/>
          <w:sz w:val="28"/>
          <w:szCs w:val="28"/>
        </w:rPr>
        <w:t>Пандей</w:t>
      </w:r>
      <w:proofErr w:type="spellEnd"/>
      <w:r w:rsidRPr="00EF5448">
        <w:rPr>
          <w:rFonts w:ascii="Times New Roman" w:hAnsi="Times New Roman"/>
          <w:sz w:val="28"/>
          <w:szCs w:val="28"/>
        </w:rPr>
        <w:t>, представитель Индии, пояснил, что в Индии сейчас достаточно много населения не имеет доступа к электроэнергии. Для исправления этого сейчас реализуется государственная программа, которая обеспечит к концу 2018 г. доступом все население</w:t>
      </w:r>
      <w:r>
        <w:rPr>
          <w:rStyle w:val="a8"/>
          <w:rFonts w:ascii="Times New Roman" w:hAnsi="Times New Roman"/>
          <w:sz w:val="28"/>
          <w:szCs w:val="28"/>
        </w:rPr>
        <w:footnoteReference w:id="39"/>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По мнению О. </w:t>
      </w:r>
      <w:proofErr w:type="spellStart"/>
      <w:r w:rsidRPr="00EF5448">
        <w:rPr>
          <w:rFonts w:ascii="Times New Roman" w:hAnsi="Times New Roman"/>
          <w:sz w:val="28"/>
          <w:szCs w:val="28"/>
        </w:rPr>
        <w:t>Бударгина</w:t>
      </w:r>
      <w:proofErr w:type="spellEnd"/>
      <w:r w:rsidRPr="00EF5448">
        <w:rPr>
          <w:rFonts w:ascii="Times New Roman" w:hAnsi="Times New Roman"/>
          <w:sz w:val="28"/>
          <w:szCs w:val="28"/>
        </w:rPr>
        <w:t>, главы компании «</w:t>
      </w:r>
      <w:proofErr w:type="spellStart"/>
      <w:r w:rsidRPr="00EF5448">
        <w:rPr>
          <w:rFonts w:ascii="Times New Roman" w:hAnsi="Times New Roman"/>
          <w:sz w:val="28"/>
          <w:szCs w:val="28"/>
        </w:rPr>
        <w:t>Россети</w:t>
      </w:r>
      <w:proofErr w:type="spellEnd"/>
      <w:r w:rsidRPr="00EF5448">
        <w:rPr>
          <w:rFonts w:ascii="Times New Roman" w:hAnsi="Times New Roman"/>
          <w:sz w:val="28"/>
          <w:szCs w:val="28"/>
        </w:rPr>
        <w:t xml:space="preserve">», необходимо решить такие вопросы, как повышение надежности и качества </w:t>
      </w:r>
      <w:r w:rsidRPr="00EF5448">
        <w:rPr>
          <w:rFonts w:ascii="Times New Roman" w:hAnsi="Times New Roman"/>
          <w:sz w:val="28"/>
          <w:szCs w:val="28"/>
        </w:rPr>
        <w:lastRenderedPageBreak/>
        <w:t xml:space="preserve">электроснабжения, опережающее развитие электросетевой инфраструктуры, повышение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снижение потерь и обеспечение </w:t>
      </w:r>
      <w:proofErr w:type="spellStart"/>
      <w:r w:rsidRPr="00EF5448">
        <w:rPr>
          <w:rFonts w:ascii="Times New Roman" w:hAnsi="Times New Roman"/>
          <w:sz w:val="28"/>
          <w:szCs w:val="28"/>
        </w:rPr>
        <w:t>энергобезопасности</w:t>
      </w:r>
      <w:proofErr w:type="spellEnd"/>
      <w:r>
        <w:rPr>
          <w:rStyle w:val="a8"/>
          <w:rFonts w:ascii="Times New Roman" w:hAnsi="Times New Roman"/>
          <w:sz w:val="28"/>
          <w:szCs w:val="28"/>
        </w:rPr>
        <w:footnoteReference w:id="40"/>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А</w:t>
      </w:r>
      <w:r>
        <w:rPr>
          <w:rFonts w:ascii="Times New Roman" w:hAnsi="Times New Roman"/>
          <w:sz w:val="28"/>
          <w:szCs w:val="28"/>
        </w:rPr>
        <w:t xml:space="preserve">. </w:t>
      </w:r>
      <w:proofErr w:type="spellStart"/>
      <w:r w:rsidRPr="00EF5448">
        <w:rPr>
          <w:rFonts w:ascii="Times New Roman" w:hAnsi="Times New Roman"/>
          <w:sz w:val="28"/>
          <w:szCs w:val="28"/>
        </w:rPr>
        <w:t>Муров</w:t>
      </w:r>
      <w:proofErr w:type="spellEnd"/>
      <w:r w:rsidRPr="00EF5448">
        <w:rPr>
          <w:rFonts w:ascii="Times New Roman" w:hAnsi="Times New Roman"/>
          <w:sz w:val="28"/>
          <w:szCs w:val="28"/>
        </w:rPr>
        <w:t xml:space="preserve">, глава «ФСК ЕЭС», выделил одним из перспективных направлений сотрудничества реализацию компаниями БРИКС совместных проектов в области </w:t>
      </w:r>
      <w:proofErr w:type="gramStart"/>
      <w:r w:rsidRPr="00EF5448">
        <w:rPr>
          <w:rFonts w:ascii="Times New Roman" w:hAnsi="Times New Roman"/>
          <w:sz w:val="28"/>
          <w:szCs w:val="28"/>
        </w:rPr>
        <w:t>электроэнергетики</w:t>
      </w:r>
      <w:proofErr w:type="gramEnd"/>
      <w:r w:rsidRPr="00EF5448">
        <w:rPr>
          <w:rFonts w:ascii="Times New Roman" w:hAnsi="Times New Roman"/>
          <w:sz w:val="28"/>
          <w:szCs w:val="28"/>
        </w:rPr>
        <w:t xml:space="preserve"> как на территории стран-участниц, так и на территории третьих стран. Подобные комплексные проекты позволят вовлечь в работу исследовательские организации, проектные и инжиниринговые компании, а также производителей оборудования</w:t>
      </w:r>
      <w:r>
        <w:rPr>
          <w:rStyle w:val="a8"/>
          <w:rFonts w:ascii="Times New Roman" w:hAnsi="Times New Roman"/>
          <w:sz w:val="28"/>
          <w:szCs w:val="28"/>
        </w:rPr>
        <w:footnoteReference w:id="41"/>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Китай ограничен в энергоресурсах, ему выгоден импорт</w:t>
      </w:r>
      <w:r>
        <w:rPr>
          <w:rFonts w:ascii="Times New Roman" w:hAnsi="Times New Roman"/>
          <w:sz w:val="28"/>
          <w:szCs w:val="28"/>
        </w:rPr>
        <w:t xml:space="preserve"> энергетического сырья</w:t>
      </w:r>
      <w:r w:rsidRPr="00EF5448">
        <w:rPr>
          <w:rFonts w:ascii="Times New Roman" w:hAnsi="Times New Roman"/>
          <w:sz w:val="28"/>
          <w:szCs w:val="28"/>
        </w:rPr>
        <w:t>. Благодаря этому российская сторона имеет возможность экспортировать в эту страну товар с высокой добавочной стоимостью. Особенно это касается экспорта технологических линий.</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По результатам совместного сотрудничества в сфере энергетики страны БРИКС выделили для себя общий интерес, который и в дальн</w:t>
      </w:r>
      <w:r>
        <w:rPr>
          <w:rFonts w:ascii="Times New Roman" w:hAnsi="Times New Roman"/>
          <w:sz w:val="28"/>
          <w:szCs w:val="28"/>
        </w:rPr>
        <w:t>ейшем будет усиливаться (табл. 4</w:t>
      </w:r>
      <w:r w:rsidRPr="00EF5448">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sz w:val="28"/>
          <w:szCs w:val="28"/>
        </w:rPr>
      </w:pPr>
      <w:r w:rsidRPr="00EF5448">
        <w:rPr>
          <w:rFonts w:ascii="Times New Roman" w:hAnsi="Times New Roman"/>
          <w:sz w:val="28"/>
          <w:szCs w:val="28"/>
        </w:rPr>
        <w:t xml:space="preserve">Таблица </w:t>
      </w:r>
      <w:r>
        <w:rPr>
          <w:rFonts w:ascii="Times New Roman" w:hAnsi="Times New Roman"/>
          <w:sz w:val="28"/>
          <w:szCs w:val="28"/>
        </w:rPr>
        <w:t>4</w:t>
      </w:r>
      <w:r w:rsidRPr="00EF5448">
        <w:rPr>
          <w:rFonts w:ascii="Times New Roman" w:hAnsi="Times New Roman"/>
          <w:sz w:val="28"/>
          <w:szCs w:val="28"/>
        </w:rPr>
        <w:t>. Энергетическое сотрудничество России и стран БРИКС по результатам 2014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67"/>
        <w:gridCol w:w="1467"/>
        <w:gridCol w:w="1467"/>
        <w:gridCol w:w="1467"/>
        <w:gridCol w:w="1468"/>
      </w:tblGrid>
      <w:tr w:rsidR="00BB5DC7" w:rsidRPr="00754701" w:rsidTr="00F4634F">
        <w:trPr>
          <w:tblHeader/>
        </w:trPr>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t>Показатель</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Китай</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Индия</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Бразилия</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АЮР</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Доля БРИКС для РФ, %</w:t>
            </w:r>
          </w:p>
        </w:tc>
      </w:tr>
      <w:tr w:rsidR="00BB5DC7" w:rsidRPr="00754701" w:rsidTr="00F4634F">
        <w:tc>
          <w:tcPr>
            <w:tcW w:w="9571" w:type="dxa"/>
            <w:gridSpan w:val="6"/>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Экспорт</w:t>
            </w:r>
          </w:p>
        </w:tc>
      </w:tr>
      <w:tr w:rsidR="00BB5DC7" w:rsidRPr="00754701" w:rsidTr="00F4634F">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t>Нефть, млн. т</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30</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13,4</w:t>
            </w:r>
          </w:p>
        </w:tc>
      </w:tr>
      <w:tr w:rsidR="00BB5DC7" w:rsidRPr="00754701" w:rsidTr="00F4634F">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t>Нефтепродукты, млн. т</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6,3</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0,1</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0,2</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0,1</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4,1</w:t>
            </w:r>
          </w:p>
        </w:tc>
      </w:tr>
      <w:tr w:rsidR="00BB5DC7" w:rsidRPr="00754701" w:rsidTr="00F4634F">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lastRenderedPageBreak/>
              <w:t>Природный газ, млрд. куб. м</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0,2</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0,1</w:t>
            </w:r>
          </w:p>
        </w:tc>
      </w:tr>
      <w:tr w:rsidR="00BB5DC7" w:rsidRPr="00754701" w:rsidTr="00F4634F">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t>Уголь, млн. т</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26,8</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1,6</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0,2</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18,3</w:t>
            </w:r>
          </w:p>
        </w:tc>
      </w:tr>
      <w:tr w:rsidR="00BB5DC7" w:rsidRPr="00754701" w:rsidTr="00F4634F">
        <w:tc>
          <w:tcPr>
            <w:tcW w:w="2235" w:type="dxa"/>
          </w:tcPr>
          <w:p w:rsidR="00BB5DC7" w:rsidRPr="00754701" w:rsidRDefault="00BB5DC7" w:rsidP="00F4634F">
            <w:pPr>
              <w:spacing w:after="0" w:line="360" w:lineRule="auto"/>
              <w:jc w:val="both"/>
              <w:rPr>
                <w:rFonts w:ascii="Times New Roman" w:hAnsi="Times New Roman"/>
                <w:sz w:val="28"/>
                <w:szCs w:val="28"/>
              </w:rPr>
            </w:pPr>
            <w:r w:rsidRPr="00754701">
              <w:rPr>
                <w:rFonts w:ascii="Times New Roman" w:hAnsi="Times New Roman"/>
                <w:sz w:val="28"/>
                <w:szCs w:val="28"/>
              </w:rPr>
              <w:t xml:space="preserve">Электроэнергия, млрд. </w:t>
            </w:r>
            <w:proofErr w:type="gramStart"/>
            <w:r w:rsidRPr="00754701">
              <w:rPr>
                <w:rFonts w:ascii="Times New Roman" w:hAnsi="Times New Roman"/>
                <w:sz w:val="28"/>
                <w:szCs w:val="28"/>
              </w:rPr>
              <w:t>кВт-ч</w:t>
            </w:r>
            <w:proofErr w:type="gramEnd"/>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3,4</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7"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w:t>
            </w:r>
          </w:p>
        </w:tc>
        <w:tc>
          <w:tcPr>
            <w:tcW w:w="146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23</w:t>
            </w:r>
          </w:p>
        </w:tc>
      </w:tr>
      <w:tr w:rsidR="00BB5DC7" w:rsidRPr="00754701" w:rsidTr="00F4634F">
        <w:tc>
          <w:tcPr>
            <w:tcW w:w="9571" w:type="dxa"/>
            <w:gridSpan w:val="6"/>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Импорт: отсутствует</w:t>
            </w:r>
          </w:p>
        </w:tc>
      </w:tr>
    </w:tbl>
    <w:p w:rsidR="00BB5DC7" w:rsidRDefault="00BB5DC7" w:rsidP="00BB5DC7">
      <w:pPr>
        <w:spacing w:after="0" w:line="360" w:lineRule="auto"/>
        <w:jc w:val="both"/>
        <w:rPr>
          <w:rFonts w:ascii="Times New Roman" w:hAnsi="Times New Roman"/>
          <w:sz w:val="28"/>
          <w:szCs w:val="28"/>
        </w:rPr>
      </w:pP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Как видно из таблицы, торговля энергоресурсами ведется только между Россией и Китаем, то есть данная сфера остается достаточно перспективным направлением. Так, сотрудничество осуществляется через реализацию масштабных проектов (табл. </w:t>
      </w:r>
      <w:r>
        <w:rPr>
          <w:rFonts w:ascii="Times New Roman" w:hAnsi="Times New Roman"/>
          <w:sz w:val="28"/>
          <w:szCs w:val="28"/>
        </w:rPr>
        <w:t>5</w:t>
      </w:r>
      <w:r w:rsidRPr="00EF5448">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sz w:val="28"/>
          <w:szCs w:val="28"/>
        </w:rPr>
      </w:pPr>
      <w:r w:rsidRPr="00EF5448">
        <w:rPr>
          <w:rFonts w:ascii="Times New Roman" w:hAnsi="Times New Roman"/>
          <w:sz w:val="28"/>
          <w:szCs w:val="28"/>
        </w:rPr>
        <w:t xml:space="preserve">Таблица </w:t>
      </w:r>
      <w:r>
        <w:rPr>
          <w:rFonts w:ascii="Times New Roman" w:hAnsi="Times New Roman"/>
          <w:sz w:val="28"/>
          <w:szCs w:val="28"/>
        </w:rPr>
        <w:t>5</w:t>
      </w:r>
      <w:r w:rsidRPr="00EF5448">
        <w:rPr>
          <w:rFonts w:ascii="Times New Roman" w:hAnsi="Times New Roman"/>
          <w:sz w:val="28"/>
          <w:szCs w:val="28"/>
        </w:rPr>
        <w:t>. Взаим</w:t>
      </w:r>
      <w:r>
        <w:rPr>
          <w:rFonts w:ascii="Times New Roman" w:hAnsi="Times New Roman"/>
          <w:sz w:val="28"/>
          <w:szCs w:val="28"/>
        </w:rPr>
        <w:t xml:space="preserve">ное </w:t>
      </w:r>
      <w:r w:rsidRPr="00EF5448">
        <w:rPr>
          <w:rFonts w:ascii="Times New Roman" w:hAnsi="Times New Roman"/>
          <w:sz w:val="28"/>
          <w:szCs w:val="28"/>
        </w:rPr>
        <w:t>сотрудничество стран</w:t>
      </w:r>
      <w:r>
        <w:rPr>
          <w:rFonts w:ascii="Times New Roman" w:hAnsi="Times New Roman"/>
          <w:sz w:val="28"/>
          <w:szCs w:val="28"/>
        </w:rPr>
        <w:t xml:space="preserve"> БРИКС</w:t>
      </w:r>
      <w:r w:rsidRPr="00EF5448">
        <w:rPr>
          <w:rFonts w:ascii="Times New Roman" w:hAnsi="Times New Roman"/>
          <w:sz w:val="28"/>
          <w:szCs w:val="28"/>
        </w:rPr>
        <w:t xml:space="preserve"> через реализацию крупных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522"/>
        <w:gridCol w:w="1709"/>
        <w:gridCol w:w="1628"/>
        <w:gridCol w:w="3392"/>
      </w:tblGrid>
      <w:tr w:rsidR="00BB5DC7" w:rsidRPr="00754701" w:rsidTr="00F4634F">
        <w:trPr>
          <w:tblHeader/>
        </w:trPr>
        <w:tc>
          <w:tcPr>
            <w:tcW w:w="1320"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Страна</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Отрасль</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Проект</w:t>
            </w:r>
          </w:p>
        </w:tc>
        <w:tc>
          <w:tcPr>
            <w:tcW w:w="162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Компания-участник</w:t>
            </w:r>
          </w:p>
        </w:tc>
        <w:tc>
          <w:tcPr>
            <w:tcW w:w="339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Характеристика</w:t>
            </w:r>
          </w:p>
        </w:tc>
      </w:tr>
      <w:tr w:rsidR="00BB5DC7" w:rsidRPr="00754701" w:rsidTr="00F4634F">
        <w:tc>
          <w:tcPr>
            <w:tcW w:w="9571" w:type="dxa"/>
            <w:gridSpan w:val="5"/>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В странах БРИКС</w:t>
            </w:r>
          </w:p>
        </w:tc>
      </w:tr>
      <w:tr w:rsidR="00BB5DC7" w:rsidRPr="00754701" w:rsidTr="00F4634F">
        <w:tc>
          <w:tcPr>
            <w:tcW w:w="1320"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Китай</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Нефть</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 xml:space="preserve">НПЗ и НХК в </w:t>
            </w:r>
            <w:proofErr w:type="spellStart"/>
            <w:r w:rsidRPr="00754701">
              <w:rPr>
                <w:rFonts w:ascii="Times New Roman" w:hAnsi="Times New Roman"/>
                <w:sz w:val="28"/>
                <w:szCs w:val="28"/>
              </w:rPr>
              <w:t>Тяньцзине</w:t>
            </w:r>
            <w:proofErr w:type="spellEnd"/>
          </w:p>
        </w:tc>
        <w:tc>
          <w:tcPr>
            <w:tcW w:w="162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Роснефть</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Создание НПЗ и НХК, розничной сети и 300 АЗС в Китае. 2014 г.: одобрено ТЭО НПЗ (мощность 16 млн. т в год). ТЭО НХК – на доработке. Запуск в 2019 г.</w:t>
            </w:r>
          </w:p>
        </w:tc>
      </w:tr>
      <w:tr w:rsidR="00BB5DC7" w:rsidRPr="00754701" w:rsidTr="00F4634F">
        <w:trPr>
          <w:cantSplit/>
        </w:trPr>
        <w:tc>
          <w:tcPr>
            <w:tcW w:w="1320"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lastRenderedPageBreak/>
              <w:t>Китай</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Атомная энергетика</w:t>
            </w:r>
          </w:p>
        </w:tc>
        <w:tc>
          <w:tcPr>
            <w:tcW w:w="1709" w:type="dxa"/>
          </w:tcPr>
          <w:p w:rsidR="00BB5DC7" w:rsidRPr="00754701" w:rsidRDefault="00BB5DC7" w:rsidP="00F4634F">
            <w:pPr>
              <w:spacing w:after="0" w:line="360" w:lineRule="auto"/>
              <w:jc w:val="center"/>
              <w:rPr>
                <w:rFonts w:ascii="Times New Roman" w:hAnsi="Times New Roman"/>
                <w:sz w:val="28"/>
                <w:szCs w:val="28"/>
              </w:rPr>
            </w:pPr>
            <w:proofErr w:type="spellStart"/>
            <w:r w:rsidRPr="00754701">
              <w:rPr>
                <w:rFonts w:ascii="Times New Roman" w:hAnsi="Times New Roman"/>
                <w:sz w:val="28"/>
                <w:szCs w:val="28"/>
              </w:rPr>
              <w:t>Таньванская</w:t>
            </w:r>
            <w:proofErr w:type="spellEnd"/>
            <w:r w:rsidRPr="00754701">
              <w:rPr>
                <w:rFonts w:ascii="Times New Roman" w:hAnsi="Times New Roman"/>
                <w:sz w:val="28"/>
                <w:szCs w:val="28"/>
              </w:rPr>
              <w:t xml:space="preserve"> АЭС</w:t>
            </w:r>
          </w:p>
        </w:tc>
        <w:tc>
          <w:tcPr>
            <w:tcW w:w="1628" w:type="dxa"/>
          </w:tcPr>
          <w:p w:rsidR="00BB5DC7" w:rsidRPr="00754701" w:rsidRDefault="00BB5DC7" w:rsidP="00F4634F">
            <w:pPr>
              <w:spacing w:after="0" w:line="360" w:lineRule="auto"/>
              <w:jc w:val="center"/>
              <w:rPr>
                <w:rFonts w:ascii="Times New Roman" w:hAnsi="Times New Roman"/>
                <w:sz w:val="28"/>
                <w:szCs w:val="28"/>
              </w:rPr>
            </w:pPr>
            <w:proofErr w:type="spellStart"/>
            <w:r w:rsidRPr="00754701">
              <w:rPr>
                <w:rFonts w:ascii="Times New Roman" w:hAnsi="Times New Roman"/>
                <w:sz w:val="28"/>
                <w:szCs w:val="28"/>
              </w:rPr>
              <w:t>Атомстрой</w:t>
            </w:r>
            <w:proofErr w:type="spellEnd"/>
            <w:r w:rsidRPr="00754701">
              <w:rPr>
                <w:rFonts w:ascii="Times New Roman" w:hAnsi="Times New Roman"/>
                <w:sz w:val="28"/>
                <w:szCs w:val="28"/>
              </w:rPr>
              <w:t>-экспорт (</w:t>
            </w:r>
            <w:proofErr w:type="spellStart"/>
            <w:r w:rsidRPr="00754701">
              <w:rPr>
                <w:rFonts w:ascii="Times New Roman" w:hAnsi="Times New Roman"/>
                <w:sz w:val="28"/>
                <w:szCs w:val="28"/>
              </w:rPr>
              <w:t>Росатом</w:t>
            </w:r>
            <w:proofErr w:type="spellEnd"/>
            <w:r w:rsidRPr="00754701">
              <w:rPr>
                <w:rFonts w:ascii="Times New Roman" w:hAnsi="Times New Roman"/>
                <w:sz w:val="28"/>
                <w:szCs w:val="28"/>
              </w:rPr>
              <w:t>)</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Ведется строительство 3 и 4 энергоблоков АЭС</w:t>
            </w:r>
          </w:p>
        </w:tc>
      </w:tr>
      <w:tr w:rsidR="00BB5DC7" w:rsidRPr="00754701" w:rsidTr="00F4634F">
        <w:tc>
          <w:tcPr>
            <w:tcW w:w="1320"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Индия</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Атомная энергетика</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 xml:space="preserve">АЭС </w:t>
            </w:r>
            <w:proofErr w:type="spellStart"/>
            <w:r w:rsidRPr="00754701">
              <w:rPr>
                <w:rFonts w:ascii="Times New Roman" w:hAnsi="Times New Roman"/>
                <w:sz w:val="28"/>
                <w:szCs w:val="28"/>
              </w:rPr>
              <w:t>Кудан-кулам</w:t>
            </w:r>
            <w:proofErr w:type="spellEnd"/>
          </w:p>
        </w:tc>
        <w:tc>
          <w:tcPr>
            <w:tcW w:w="1628" w:type="dxa"/>
          </w:tcPr>
          <w:p w:rsidR="00BB5DC7" w:rsidRPr="00754701" w:rsidRDefault="00BB5DC7" w:rsidP="00F4634F">
            <w:pPr>
              <w:spacing w:after="0" w:line="360" w:lineRule="auto"/>
              <w:jc w:val="center"/>
              <w:rPr>
                <w:rFonts w:ascii="Times New Roman" w:hAnsi="Times New Roman"/>
                <w:sz w:val="28"/>
                <w:szCs w:val="28"/>
              </w:rPr>
            </w:pPr>
            <w:proofErr w:type="spellStart"/>
            <w:r w:rsidRPr="00754701">
              <w:rPr>
                <w:rFonts w:ascii="Times New Roman" w:hAnsi="Times New Roman"/>
                <w:sz w:val="28"/>
                <w:szCs w:val="28"/>
              </w:rPr>
              <w:t>Атомстрой</w:t>
            </w:r>
            <w:proofErr w:type="spellEnd"/>
            <w:r w:rsidRPr="00754701">
              <w:rPr>
                <w:rFonts w:ascii="Times New Roman" w:hAnsi="Times New Roman"/>
                <w:sz w:val="28"/>
                <w:szCs w:val="28"/>
              </w:rPr>
              <w:t>-экспорт (</w:t>
            </w:r>
            <w:proofErr w:type="spellStart"/>
            <w:r w:rsidRPr="00754701">
              <w:rPr>
                <w:rFonts w:ascii="Times New Roman" w:hAnsi="Times New Roman"/>
                <w:sz w:val="28"/>
                <w:szCs w:val="28"/>
              </w:rPr>
              <w:t>Росатом</w:t>
            </w:r>
            <w:proofErr w:type="spellEnd"/>
            <w:r w:rsidRPr="00754701">
              <w:rPr>
                <w:rFonts w:ascii="Times New Roman" w:hAnsi="Times New Roman"/>
                <w:sz w:val="28"/>
                <w:szCs w:val="28"/>
              </w:rPr>
              <w:t>)</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Ведется строительство АЭС. Июль 2015 г. – завершены энергоблоки №2; энергоблоки №3-4 планируется сдать в 2020-2021 гг.</w:t>
            </w:r>
          </w:p>
        </w:tc>
      </w:tr>
      <w:tr w:rsidR="00BB5DC7" w:rsidRPr="00754701" w:rsidTr="00F4634F">
        <w:tc>
          <w:tcPr>
            <w:tcW w:w="1320"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Бразилия</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Нефть</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 xml:space="preserve">Бассейн </w:t>
            </w:r>
            <w:proofErr w:type="spellStart"/>
            <w:r w:rsidRPr="00754701">
              <w:rPr>
                <w:rFonts w:ascii="Times New Roman" w:hAnsi="Times New Roman"/>
                <w:sz w:val="28"/>
                <w:szCs w:val="28"/>
              </w:rPr>
              <w:t>Солимойнс</w:t>
            </w:r>
            <w:proofErr w:type="spellEnd"/>
          </w:p>
        </w:tc>
        <w:tc>
          <w:tcPr>
            <w:tcW w:w="162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Роснефть</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 xml:space="preserve">45% в проекте </w:t>
            </w:r>
            <w:proofErr w:type="spellStart"/>
            <w:r w:rsidRPr="00754701">
              <w:rPr>
                <w:rFonts w:ascii="Times New Roman" w:hAnsi="Times New Roman"/>
                <w:sz w:val="28"/>
                <w:szCs w:val="28"/>
              </w:rPr>
              <w:t>Солимойнс</w:t>
            </w:r>
            <w:proofErr w:type="spellEnd"/>
            <w:r w:rsidRPr="00754701">
              <w:rPr>
                <w:rFonts w:ascii="Times New Roman" w:hAnsi="Times New Roman"/>
                <w:sz w:val="28"/>
                <w:szCs w:val="28"/>
              </w:rPr>
              <w:t xml:space="preserve"> (штат </w:t>
            </w:r>
            <w:proofErr w:type="spellStart"/>
            <w:r w:rsidRPr="00754701">
              <w:rPr>
                <w:rFonts w:ascii="Times New Roman" w:hAnsi="Times New Roman"/>
                <w:sz w:val="28"/>
                <w:szCs w:val="28"/>
              </w:rPr>
              <w:t>Амозонас</w:t>
            </w:r>
            <w:proofErr w:type="spellEnd"/>
            <w:r w:rsidRPr="00754701">
              <w:rPr>
                <w:rFonts w:ascii="Times New Roman" w:hAnsi="Times New Roman"/>
                <w:sz w:val="28"/>
                <w:szCs w:val="28"/>
              </w:rPr>
              <w:t>), сейчас – ГРР. Ресурсы: 34 млн. т нефть и 73 млрд. куб. м газа</w:t>
            </w:r>
          </w:p>
        </w:tc>
      </w:tr>
      <w:tr w:rsidR="00BB5DC7" w:rsidRPr="00754701" w:rsidTr="00F4634F">
        <w:tc>
          <w:tcPr>
            <w:tcW w:w="9571" w:type="dxa"/>
            <w:gridSpan w:val="5"/>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В России</w:t>
            </w:r>
          </w:p>
        </w:tc>
      </w:tr>
      <w:tr w:rsidR="00BB5DC7" w:rsidRPr="00754701" w:rsidTr="00F4634F">
        <w:tc>
          <w:tcPr>
            <w:tcW w:w="1320" w:type="dxa"/>
            <w:vMerge w:val="restart"/>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Россия</w:t>
            </w: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Нефть и газ</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Сахалин-1</w:t>
            </w:r>
          </w:p>
        </w:tc>
        <w:tc>
          <w:tcPr>
            <w:tcW w:w="162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lang w:val="en-US"/>
              </w:rPr>
              <w:t xml:space="preserve">ONGC </w:t>
            </w:r>
            <w:r w:rsidRPr="00754701">
              <w:rPr>
                <w:rFonts w:ascii="Times New Roman" w:hAnsi="Times New Roman"/>
                <w:sz w:val="28"/>
                <w:szCs w:val="28"/>
              </w:rPr>
              <w:t>(20% в проекте, Индия)</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С 2005 г. ведется добыча нефти и газа по СРП. В 2013 г.: 7 млн. т нефти, 10 млрд. куб. м газа</w:t>
            </w:r>
          </w:p>
        </w:tc>
      </w:tr>
      <w:tr w:rsidR="00BB5DC7" w:rsidRPr="00754701" w:rsidTr="00F4634F">
        <w:tc>
          <w:tcPr>
            <w:tcW w:w="1320" w:type="dxa"/>
            <w:vMerge/>
          </w:tcPr>
          <w:p w:rsidR="00BB5DC7" w:rsidRPr="00754701" w:rsidRDefault="00BB5DC7" w:rsidP="00F4634F">
            <w:pPr>
              <w:spacing w:after="0" w:line="360" w:lineRule="auto"/>
              <w:jc w:val="center"/>
              <w:rPr>
                <w:rFonts w:ascii="Times New Roman" w:hAnsi="Times New Roman"/>
                <w:sz w:val="28"/>
                <w:szCs w:val="28"/>
              </w:rPr>
            </w:pPr>
          </w:p>
        </w:tc>
        <w:tc>
          <w:tcPr>
            <w:tcW w:w="1522"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Газ (СПГ)</w:t>
            </w:r>
          </w:p>
        </w:tc>
        <w:tc>
          <w:tcPr>
            <w:tcW w:w="1709"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rPr>
              <w:t>Ямал СПГ</w:t>
            </w:r>
          </w:p>
        </w:tc>
        <w:tc>
          <w:tcPr>
            <w:tcW w:w="1628" w:type="dxa"/>
          </w:tcPr>
          <w:p w:rsidR="00BB5DC7" w:rsidRPr="00754701" w:rsidRDefault="00BB5DC7" w:rsidP="00F4634F">
            <w:pPr>
              <w:spacing w:after="0" w:line="360" w:lineRule="auto"/>
              <w:jc w:val="center"/>
              <w:rPr>
                <w:rFonts w:ascii="Times New Roman" w:hAnsi="Times New Roman"/>
                <w:sz w:val="28"/>
                <w:szCs w:val="28"/>
              </w:rPr>
            </w:pPr>
            <w:r w:rsidRPr="00754701">
              <w:rPr>
                <w:rFonts w:ascii="Times New Roman" w:hAnsi="Times New Roman"/>
                <w:sz w:val="28"/>
                <w:szCs w:val="28"/>
                <w:lang w:val="en-US"/>
              </w:rPr>
              <w:t>CNPC</w:t>
            </w:r>
            <w:r w:rsidRPr="00754701">
              <w:rPr>
                <w:rFonts w:ascii="Times New Roman" w:hAnsi="Times New Roman"/>
                <w:sz w:val="28"/>
                <w:szCs w:val="28"/>
              </w:rPr>
              <w:t xml:space="preserve"> (20%, Китай)</w:t>
            </w:r>
          </w:p>
        </w:tc>
        <w:tc>
          <w:tcPr>
            <w:tcW w:w="3392" w:type="dxa"/>
          </w:tcPr>
          <w:p w:rsidR="00BB5DC7" w:rsidRPr="00754701" w:rsidRDefault="00BB5DC7" w:rsidP="00F4634F">
            <w:pPr>
              <w:spacing w:after="0" w:line="360" w:lineRule="auto"/>
              <w:rPr>
                <w:rFonts w:ascii="Times New Roman" w:hAnsi="Times New Roman"/>
                <w:sz w:val="28"/>
                <w:szCs w:val="28"/>
              </w:rPr>
            </w:pPr>
            <w:r w:rsidRPr="00754701">
              <w:rPr>
                <w:rFonts w:ascii="Times New Roman" w:hAnsi="Times New Roman"/>
                <w:sz w:val="28"/>
                <w:szCs w:val="28"/>
              </w:rPr>
              <w:t>Завод СПГ мощностью 16,5 млн. т в год. Запуск первой линии в 2017 г.</w:t>
            </w:r>
          </w:p>
        </w:tc>
      </w:tr>
    </w:tbl>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Таким образом, учитывая вышесказанное, можно с уверенностью утверждать, что сотрудничество в сфере энергетики стран БРИКС находится на начальном уровне, однако сотрудничество это будет расширяться.</w:t>
      </w:r>
    </w:p>
    <w:p w:rsidR="00BB5DC7" w:rsidRPr="00B6063F" w:rsidRDefault="00BB5DC7" w:rsidP="00BB5DC7">
      <w:pPr>
        <w:spacing w:after="0" w:line="360" w:lineRule="auto"/>
        <w:ind w:firstLine="708"/>
        <w:jc w:val="both"/>
        <w:rPr>
          <w:rFonts w:ascii="Times New Roman" w:hAnsi="Times New Roman"/>
          <w:sz w:val="28"/>
          <w:szCs w:val="28"/>
        </w:rPr>
      </w:pPr>
      <w:proofErr w:type="gramStart"/>
      <w:r w:rsidRPr="00B6063F">
        <w:rPr>
          <w:rFonts w:ascii="Times New Roman" w:hAnsi="Times New Roman"/>
          <w:sz w:val="28"/>
          <w:szCs w:val="28"/>
        </w:rPr>
        <w:lastRenderedPageBreak/>
        <w:t xml:space="preserve">В ходе </w:t>
      </w:r>
      <w:r w:rsidRPr="00B6063F">
        <w:rPr>
          <w:rFonts w:ascii="Times New Roman" w:hAnsi="Times New Roman"/>
          <w:sz w:val="28"/>
          <w:szCs w:val="28"/>
          <w:lang w:val="en-US"/>
        </w:rPr>
        <w:t>VI</w:t>
      </w:r>
      <w:r w:rsidRPr="00B6063F">
        <w:rPr>
          <w:rFonts w:ascii="Times New Roman" w:hAnsi="Times New Roman"/>
          <w:sz w:val="28"/>
          <w:szCs w:val="28"/>
        </w:rPr>
        <w:t xml:space="preserve"> саммита БРИКС в июле 2014 г. Президентом РФ было предложено развивать энергетическое сотрудничество путем создания Энергетической ассоциации БРИКС, Резервного банка топлива и Института энергетической политики стран БРИКС</w:t>
      </w:r>
      <w:r>
        <w:rPr>
          <w:rStyle w:val="a8"/>
          <w:rFonts w:ascii="Times New Roman" w:hAnsi="Times New Roman"/>
          <w:sz w:val="28"/>
          <w:szCs w:val="28"/>
        </w:rPr>
        <w:footnoteReference w:id="42"/>
      </w:r>
      <w:r w:rsidRPr="00B6063F">
        <w:rPr>
          <w:rFonts w:ascii="Times New Roman" w:hAnsi="Times New Roman"/>
          <w:sz w:val="28"/>
          <w:szCs w:val="28"/>
        </w:rPr>
        <w:t xml:space="preserve">. С учетом растущего спроса в мире на </w:t>
      </w:r>
      <w:proofErr w:type="spellStart"/>
      <w:r w:rsidRPr="00B6063F">
        <w:rPr>
          <w:rFonts w:ascii="Times New Roman" w:hAnsi="Times New Roman"/>
          <w:sz w:val="28"/>
          <w:szCs w:val="28"/>
        </w:rPr>
        <w:t>энергоэффективные</w:t>
      </w:r>
      <w:proofErr w:type="spellEnd"/>
      <w:r w:rsidRPr="00B6063F">
        <w:rPr>
          <w:rFonts w:ascii="Times New Roman" w:hAnsi="Times New Roman"/>
          <w:sz w:val="28"/>
          <w:szCs w:val="28"/>
        </w:rPr>
        <w:t xml:space="preserve"> технологии и энергоресурсы в целом страны БРИКС осознают важность сотрудничества в сфере планирования производства и потребления энергии.</w:t>
      </w:r>
      <w:proofErr w:type="gramEnd"/>
      <w:r w:rsidRPr="00B6063F">
        <w:rPr>
          <w:rFonts w:ascii="Times New Roman" w:hAnsi="Times New Roman"/>
          <w:sz w:val="28"/>
          <w:szCs w:val="28"/>
        </w:rPr>
        <w:t xml:space="preserve"> </w:t>
      </w:r>
      <w:proofErr w:type="gramStart"/>
      <w:r w:rsidRPr="00B6063F">
        <w:rPr>
          <w:rFonts w:ascii="Times New Roman" w:hAnsi="Times New Roman"/>
          <w:sz w:val="28"/>
          <w:szCs w:val="28"/>
        </w:rPr>
        <w:t xml:space="preserve">На </w:t>
      </w:r>
      <w:r w:rsidRPr="00B6063F">
        <w:rPr>
          <w:rFonts w:ascii="Times New Roman" w:hAnsi="Times New Roman"/>
          <w:sz w:val="28"/>
          <w:szCs w:val="28"/>
          <w:lang w:val="en-US"/>
        </w:rPr>
        <w:t>VII</w:t>
      </w:r>
      <w:r w:rsidRPr="00B6063F">
        <w:rPr>
          <w:rFonts w:ascii="Times New Roman" w:hAnsi="Times New Roman"/>
          <w:sz w:val="28"/>
          <w:szCs w:val="28"/>
        </w:rPr>
        <w:t xml:space="preserve"> саммите БРИКС (г. Уфа, Россия) в июле 2015 г. была принята Уфимская декларация, в которой особо была подчеркнута важно энергетического сотрудничества стран БРИКС с учетом мониторинга общемировых </w:t>
      </w:r>
      <w:r>
        <w:rPr>
          <w:rFonts w:ascii="Times New Roman" w:hAnsi="Times New Roman"/>
          <w:sz w:val="28"/>
          <w:szCs w:val="28"/>
        </w:rPr>
        <w:t>тенденций развития энергетики</w:t>
      </w:r>
      <w:r>
        <w:rPr>
          <w:rStyle w:val="a8"/>
          <w:rFonts w:ascii="Times New Roman" w:hAnsi="Times New Roman"/>
          <w:sz w:val="28"/>
          <w:szCs w:val="28"/>
        </w:rPr>
        <w:footnoteReference w:id="43"/>
      </w:r>
      <w:r>
        <w:rPr>
          <w:rFonts w:ascii="Times New Roman" w:hAnsi="Times New Roman"/>
          <w:sz w:val="28"/>
          <w:szCs w:val="28"/>
        </w:rPr>
        <w:t>.</w:t>
      </w:r>
      <w:r w:rsidRPr="00B6063F">
        <w:rPr>
          <w:rFonts w:ascii="Times New Roman" w:hAnsi="Times New Roman"/>
          <w:sz w:val="28"/>
          <w:szCs w:val="28"/>
        </w:rPr>
        <w:t xml:space="preserve"> В принятой также Стратегии экономического партнерства отмечена необходимость сосредоточения усилий стран БРИКС в области взаимной поддержки для диверсификации источников энергии, развитии инфраструктуры энергетики, повышении уровня </w:t>
      </w:r>
      <w:proofErr w:type="spellStart"/>
      <w:r w:rsidRPr="00B6063F">
        <w:rPr>
          <w:rFonts w:ascii="Times New Roman" w:hAnsi="Times New Roman"/>
          <w:sz w:val="28"/>
          <w:szCs w:val="28"/>
        </w:rPr>
        <w:t>энергоэффективности</w:t>
      </w:r>
      <w:proofErr w:type="spellEnd"/>
      <w:r w:rsidRPr="00B6063F">
        <w:rPr>
          <w:rFonts w:ascii="Times New Roman" w:hAnsi="Times New Roman"/>
          <w:sz w:val="28"/>
          <w:szCs w:val="28"/>
        </w:rPr>
        <w:t xml:space="preserve"> экономики, содействии</w:t>
      </w:r>
      <w:proofErr w:type="gramEnd"/>
      <w:r w:rsidRPr="00B6063F">
        <w:rPr>
          <w:rFonts w:ascii="Times New Roman" w:hAnsi="Times New Roman"/>
          <w:sz w:val="28"/>
          <w:szCs w:val="28"/>
        </w:rPr>
        <w:t xml:space="preserve"> применению возобнов</w:t>
      </w:r>
      <w:r>
        <w:rPr>
          <w:rFonts w:ascii="Times New Roman" w:hAnsi="Times New Roman"/>
          <w:sz w:val="28"/>
          <w:szCs w:val="28"/>
        </w:rPr>
        <w:t>ляемых источников энергии и пр.</w:t>
      </w:r>
      <w:r>
        <w:rPr>
          <w:rStyle w:val="a8"/>
          <w:rFonts w:ascii="Times New Roman" w:hAnsi="Times New Roman"/>
          <w:sz w:val="28"/>
          <w:szCs w:val="28"/>
        </w:rPr>
        <w:footnoteReference w:id="44"/>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Скорее всего, энергетическое сотрудничество стран БРИКС в ближайшие годы будет развиваться в двустороннем формате. Многостороннее сотрудничество стран будет продолжено в уже созданных форматах, в частности, в рамках Шанхайской организации сотрудничества (ШОС). Конкретными направлениями сотрудничества являются: строительство АЭС в Китае и Индии (а также в перспективе – в ЮАР и Бразилии), реализация долгосрочных двусторонних контрактов на поставку энергоресурсов, участие Китая в реализации энергетических проектов в России.</w:t>
      </w:r>
      <w:r>
        <w:rPr>
          <w:rFonts w:ascii="Times New Roman" w:hAnsi="Times New Roman"/>
          <w:sz w:val="28"/>
          <w:szCs w:val="28"/>
        </w:rPr>
        <w:t xml:space="preserve"> </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lastRenderedPageBreak/>
        <w:t>Следует отметить, вместе с тем, что уже на двусторон</w:t>
      </w:r>
      <w:r>
        <w:rPr>
          <w:rFonts w:ascii="Times New Roman" w:hAnsi="Times New Roman"/>
          <w:sz w:val="28"/>
          <w:szCs w:val="28"/>
        </w:rPr>
        <w:t>нем уровне в разви</w:t>
      </w:r>
      <w:r w:rsidRPr="00B6063F">
        <w:rPr>
          <w:rFonts w:ascii="Times New Roman" w:hAnsi="Times New Roman"/>
          <w:sz w:val="28"/>
          <w:szCs w:val="28"/>
        </w:rPr>
        <w:t xml:space="preserve">тии энергетического сотрудничества отмечаются некоторые проблемы. Так, в сотрудничестве Китая и России следует отметить почти полное отсутствие производственного и инвестиционного взаимодействия (включая </w:t>
      </w:r>
      <w:r>
        <w:rPr>
          <w:rFonts w:ascii="Times New Roman" w:hAnsi="Times New Roman"/>
          <w:sz w:val="28"/>
          <w:szCs w:val="28"/>
        </w:rPr>
        <w:t>обмен новы</w:t>
      </w:r>
      <w:r w:rsidRPr="00B6063F">
        <w:rPr>
          <w:rFonts w:ascii="Times New Roman" w:hAnsi="Times New Roman"/>
          <w:sz w:val="28"/>
          <w:szCs w:val="28"/>
        </w:rPr>
        <w:t xml:space="preserve">ми разработками и технологиями), а также торгово-коммерческий формат сотрудничества, что предопределяет его краткосрочность, а не ориентированность на реализацию долгосрочных целей. Сотрудничество России с Индией пока не получило своего развития, однако, например, следует отметить: участие крупнейшей индийской государственной нефтегазовой корпорации </w:t>
      </w:r>
      <w:r w:rsidRPr="00B6063F">
        <w:rPr>
          <w:rFonts w:ascii="Times New Roman" w:hAnsi="Times New Roman"/>
          <w:sz w:val="28"/>
          <w:szCs w:val="28"/>
          <w:lang w:val="en-US"/>
        </w:rPr>
        <w:t>ONGC</w:t>
      </w:r>
      <w:r w:rsidRPr="00B6063F">
        <w:rPr>
          <w:rFonts w:ascii="Times New Roman" w:hAnsi="Times New Roman"/>
          <w:sz w:val="28"/>
          <w:szCs w:val="28"/>
        </w:rPr>
        <w:t xml:space="preserve"> в проекте «Сахалин-1» (в 2015 г. эта компания приобрела у НК «Роснефть</w:t>
      </w:r>
      <w:r>
        <w:rPr>
          <w:rFonts w:ascii="Times New Roman" w:hAnsi="Times New Roman"/>
          <w:sz w:val="28"/>
          <w:szCs w:val="28"/>
        </w:rPr>
        <w:t>» 15% акций АО «</w:t>
      </w:r>
      <w:proofErr w:type="spellStart"/>
      <w:r>
        <w:rPr>
          <w:rFonts w:ascii="Times New Roman" w:hAnsi="Times New Roman"/>
          <w:sz w:val="28"/>
          <w:szCs w:val="28"/>
        </w:rPr>
        <w:t>Ванкорнефть</w:t>
      </w:r>
      <w:proofErr w:type="spellEnd"/>
      <w:r>
        <w:rPr>
          <w:rFonts w:ascii="Times New Roman" w:hAnsi="Times New Roman"/>
          <w:sz w:val="28"/>
          <w:szCs w:val="28"/>
        </w:rPr>
        <w:t>»)</w:t>
      </w:r>
      <w:r>
        <w:rPr>
          <w:rStyle w:val="a8"/>
          <w:rFonts w:ascii="Times New Roman" w:hAnsi="Times New Roman"/>
          <w:sz w:val="28"/>
          <w:szCs w:val="28"/>
        </w:rPr>
        <w:footnoteReference w:id="45"/>
      </w:r>
      <w:r>
        <w:rPr>
          <w:rFonts w:ascii="Times New Roman" w:hAnsi="Times New Roman"/>
          <w:sz w:val="28"/>
          <w:szCs w:val="28"/>
        </w:rPr>
        <w:t>;</w:t>
      </w:r>
      <w:r w:rsidRPr="00B6063F">
        <w:rPr>
          <w:rFonts w:ascii="Times New Roman" w:hAnsi="Times New Roman"/>
          <w:sz w:val="28"/>
          <w:szCs w:val="28"/>
        </w:rPr>
        <w:t xml:space="preserve"> подписание в 2012 г. компанией «Газпром» договора купли-продажи сжиженного газа с компанией </w:t>
      </w:r>
      <w:r w:rsidRPr="00B6063F">
        <w:rPr>
          <w:rFonts w:ascii="Times New Roman" w:hAnsi="Times New Roman"/>
          <w:sz w:val="28"/>
          <w:szCs w:val="28"/>
          <w:lang w:val="en-US"/>
        </w:rPr>
        <w:t>Gail</w:t>
      </w:r>
      <w:r w:rsidRPr="00B6063F">
        <w:rPr>
          <w:rFonts w:ascii="Times New Roman" w:hAnsi="Times New Roman"/>
          <w:sz w:val="28"/>
          <w:szCs w:val="28"/>
        </w:rPr>
        <w:t xml:space="preserve"> с ежегодным объемом поставок в размере 3,5</w:t>
      </w:r>
      <w:r>
        <w:rPr>
          <w:rFonts w:ascii="Times New Roman" w:hAnsi="Times New Roman"/>
          <w:sz w:val="28"/>
          <w:szCs w:val="28"/>
        </w:rPr>
        <w:t xml:space="preserve"> млн. куб. м сроком на 20 лет</w:t>
      </w:r>
      <w:r>
        <w:rPr>
          <w:rStyle w:val="a8"/>
          <w:rFonts w:ascii="Times New Roman" w:hAnsi="Times New Roman"/>
          <w:sz w:val="28"/>
          <w:szCs w:val="28"/>
        </w:rPr>
        <w:footnoteReference w:id="46"/>
      </w:r>
      <w:r>
        <w:rPr>
          <w:rFonts w:ascii="Times New Roman" w:hAnsi="Times New Roman"/>
          <w:sz w:val="28"/>
          <w:szCs w:val="28"/>
        </w:rPr>
        <w:t>.</w:t>
      </w:r>
    </w:p>
    <w:p w:rsidR="00BB5DC7" w:rsidRPr="00B6063F" w:rsidRDefault="00BB5DC7" w:rsidP="00BB5DC7">
      <w:pPr>
        <w:spacing w:after="0" w:line="360" w:lineRule="auto"/>
        <w:ind w:firstLine="708"/>
        <w:jc w:val="both"/>
        <w:rPr>
          <w:rFonts w:ascii="Times New Roman" w:hAnsi="Times New Roman"/>
          <w:sz w:val="28"/>
          <w:szCs w:val="28"/>
        </w:rPr>
      </w:pPr>
      <w:r w:rsidRPr="00B6063F">
        <w:rPr>
          <w:rFonts w:ascii="Times New Roman" w:hAnsi="Times New Roman"/>
          <w:sz w:val="28"/>
          <w:szCs w:val="28"/>
        </w:rPr>
        <w:t xml:space="preserve">Большое значение играет сотрудничество стран БРИКС в сфере повышения </w:t>
      </w:r>
      <w:proofErr w:type="spellStart"/>
      <w:r w:rsidRPr="00B6063F">
        <w:rPr>
          <w:rFonts w:ascii="Times New Roman" w:hAnsi="Times New Roman"/>
          <w:sz w:val="28"/>
          <w:szCs w:val="28"/>
        </w:rPr>
        <w:t>энергоэффективности</w:t>
      </w:r>
      <w:proofErr w:type="spellEnd"/>
      <w:r w:rsidRPr="00B6063F">
        <w:rPr>
          <w:rFonts w:ascii="Times New Roman" w:hAnsi="Times New Roman"/>
          <w:sz w:val="28"/>
          <w:szCs w:val="28"/>
        </w:rPr>
        <w:t xml:space="preserve">. </w:t>
      </w:r>
      <w:proofErr w:type="gramStart"/>
      <w:r w:rsidRPr="00B6063F">
        <w:rPr>
          <w:rFonts w:ascii="Times New Roman" w:hAnsi="Times New Roman"/>
          <w:sz w:val="28"/>
          <w:szCs w:val="28"/>
        </w:rPr>
        <w:t>По оценкам МЭА, совокупные инвестиции стран БРИКС без учета ЮАР в 2014-2035 гг. на реализацию данной цели соста</w:t>
      </w:r>
      <w:r>
        <w:rPr>
          <w:rFonts w:ascii="Times New Roman" w:hAnsi="Times New Roman"/>
          <w:sz w:val="28"/>
          <w:szCs w:val="28"/>
        </w:rPr>
        <w:t>вят более 2,02 трлн. долл., что</w:t>
      </w:r>
      <w:r w:rsidRPr="00B6063F">
        <w:rPr>
          <w:rFonts w:ascii="Times New Roman" w:hAnsi="Times New Roman"/>
          <w:sz w:val="28"/>
          <w:szCs w:val="28"/>
        </w:rPr>
        <w:t xml:space="preserve"> составит 25,2% от совокупных ин</w:t>
      </w:r>
      <w:r>
        <w:rPr>
          <w:rFonts w:ascii="Times New Roman" w:hAnsi="Times New Roman"/>
          <w:sz w:val="28"/>
          <w:szCs w:val="28"/>
        </w:rPr>
        <w:t>вестиций в мире на данные цели</w:t>
      </w:r>
      <w:r>
        <w:rPr>
          <w:rStyle w:val="a8"/>
          <w:rFonts w:ascii="Times New Roman" w:hAnsi="Times New Roman"/>
          <w:sz w:val="28"/>
          <w:szCs w:val="28"/>
        </w:rPr>
        <w:footnoteReference w:id="47"/>
      </w:r>
      <w:r>
        <w:rPr>
          <w:rFonts w:ascii="Times New Roman" w:hAnsi="Times New Roman"/>
          <w:sz w:val="28"/>
          <w:szCs w:val="28"/>
        </w:rPr>
        <w:t>.</w:t>
      </w:r>
      <w:r w:rsidRPr="00B6063F">
        <w:rPr>
          <w:rFonts w:ascii="Times New Roman" w:hAnsi="Times New Roman"/>
          <w:sz w:val="28"/>
          <w:szCs w:val="28"/>
        </w:rPr>
        <w:t xml:space="preserve"> Следует также отметить, что странами БРИКС в ноябре 2015 г. был подписан Меморандум о взаимопонимании в области энергосбе</w:t>
      </w:r>
      <w:r>
        <w:rPr>
          <w:rFonts w:ascii="Times New Roman" w:hAnsi="Times New Roman"/>
          <w:sz w:val="28"/>
          <w:szCs w:val="28"/>
        </w:rPr>
        <w:t xml:space="preserve">режения и </w:t>
      </w:r>
      <w:proofErr w:type="spellStart"/>
      <w:r>
        <w:rPr>
          <w:rFonts w:ascii="Times New Roman" w:hAnsi="Times New Roman"/>
          <w:sz w:val="28"/>
          <w:szCs w:val="28"/>
        </w:rPr>
        <w:t>энергоэффективности</w:t>
      </w:r>
      <w:proofErr w:type="spellEnd"/>
      <w:r>
        <w:rPr>
          <w:rStyle w:val="a8"/>
          <w:rFonts w:ascii="Times New Roman" w:hAnsi="Times New Roman"/>
          <w:sz w:val="28"/>
          <w:szCs w:val="28"/>
        </w:rPr>
        <w:footnoteReference w:id="48"/>
      </w:r>
      <w:r>
        <w:rPr>
          <w:rFonts w:ascii="Times New Roman" w:hAnsi="Times New Roman"/>
          <w:sz w:val="28"/>
          <w:szCs w:val="28"/>
        </w:rPr>
        <w:t>.</w:t>
      </w:r>
      <w:r w:rsidRPr="00B6063F">
        <w:rPr>
          <w:rFonts w:ascii="Times New Roman" w:hAnsi="Times New Roman"/>
          <w:sz w:val="28"/>
          <w:szCs w:val="28"/>
        </w:rPr>
        <w:t xml:space="preserve"> Также широкий потенциал сотрудничество сосредоточен в области</w:t>
      </w:r>
      <w:proofErr w:type="gramEnd"/>
      <w:r w:rsidRPr="00B6063F">
        <w:rPr>
          <w:rFonts w:ascii="Times New Roman" w:hAnsi="Times New Roman"/>
          <w:sz w:val="28"/>
          <w:szCs w:val="28"/>
        </w:rPr>
        <w:t xml:space="preserve"> разработки материалов и новых технологий для возобновляемой энергетики (новое поколение солнечных элементов, накопителей энергии разног</w:t>
      </w:r>
      <w:r>
        <w:rPr>
          <w:rFonts w:ascii="Times New Roman" w:hAnsi="Times New Roman"/>
          <w:sz w:val="28"/>
          <w:szCs w:val="28"/>
        </w:rPr>
        <w:t xml:space="preserve">о типа и </w:t>
      </w:r>
      <w:r>
        <w:rPr>
          <w:rFonts w:ascii="Times New Roman" w:hAnsi="Times New Roman"/>
          <w:sz w:val="28"/>
          <w:szCs w:val="28"/>
        </w:rPr>
        <w:lastRenderedPageBreak/>
        <w:t>пр.)</w:t>
      </w:r>
      <w:r>
        <w:rPr>
          <w:rStyle w:val="a8"/>
          <w:rFonts w:ascii="Times New Roman" w:hAnsi="Times New Roman"/>
          <w:sz w:val="28"/>
          <w:szCs w:val="28"/>
        </w:rPr>
        <w:footnoteReference w:id="49"/>
      </w:r>
      <w:r>
        <w:rPr>
          <w:rFonts w:ascii="Times New Roman" w:hAnsi="Times New Roman"/>
          <w:sz w:val="28"/>
          <w:szCs w:val="28"/>
        </w:rPr>
        <w:t>.</w:t>
      </w:r>
      <w:r w:rsidRPr="00B6063F">
        <w:rPr>
          <w:rFonts w:ascii="Times New Roman" w:hAnsi="Times New Roman"/>
          <w:sz w:val="28"/>
          <w:szCs w:val="28"/>
        </w:rPr>
        <w:t xml:space="preserve"> </w:t>
      </w:r>
      <w:r>
        <w:rPr>
          <w:rFonts w:ascii="Times New Roman" w:hAnsi="Times New Roman"/>
          <w:sz w:val="28"/>
          <w:szCs w:val="28"/>
        </w:rPr>
        <w:t>Другими</w:t>
      </w:r>
      <w:r w:rsidRPr="00B6063F">
        <w:rPr>
          <w:rFonts w:ascii="Times New Roman" w:hAnsi="Times New Roman"/>
          <w:sz w:val="28"/>
          <w:szCs w:val="28"/>
        </w:rPr>
        <w:t xml:space="preserve"> словами, речь идет о переходе к </w:t>
      </w:r>
      <w:proofErr w:type="spellStart"/>
      <w:r w:rsidRPr="00B6063F">
        <w:rPr>
          <w:rFonts w:ascii="Times New Roman" w:hAnsi="Times New Roman"/>
          <w:sz w:val="28"/>
          <w:szCs w:val="28"/>
        </w:rPr>
        <w:t>инновационно</w:t>
      </w:r>
      <w:proofErr w:type="spellEnd"/>
      <w:r w:rsidRPr="00B6063F">
        <w:rPr>
          <w:rFonts w:ascii="Times New Roman" w:hAnsi="Times New Roman"/>
          <w:sz w:val="28"/>
          <w:szCs w:val="28"/>
        </w:rPr>
        <w:t>-технологическому сотрудничеству со странами БРИКС в энергетической сфере.</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1"/>
        <w:spacing w:before="0" w:after="0" w:line="360" w:lineRule="auto"/>
        <w:jc w:val="center"/>
        <w:rPr>
          <w:rFonts w:ascii="Times New Roman" w:hAnsi="Times New Roman"/>
          <w:sz w:val="28"/>
          <w:szCs w:val="28"/>
        </w:rPr>
      </w:pPr>
      <w:r>
        <w:br w:type="page"/>
      </w:r>
      <w:bookmarkStart w:id="8" w:name="_Toc479667922"/>
      <w:r w:rsidRPr="009B5184">
        <w:rPr>
          <w:rFonts w:ascii="Times New Roman" w:hAnsi="Times New Roman"/>
          <w:sz w:val="28"/>
          <w:szCs w:val="28"/>
        </w:rPr>
        <w:lastRenderedPageBreak/>
        <w:t>Глава 3. Перспективы энергетического сотрудничества России и стран БРИКС</w:t>
      </w:r>
      <w:bookmarkEnd w:id="8"/>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2"/>
        <w:spacing w:before="0" w:after="0" w:line="360" w:lineRule="auto"/>
        <w:jc w:val="center"/>
        <w:rPr>
          <w:rFonts w:ascii="Times New Roman" w:hAnsi="Times New Roman"/>
          <w:i w:val="0"/>
        </w:rPr>
      </w:pPr>
      <w:bookmarkStart w:id="9" w:name="_Toc479667923"/>
      <w:r w:rsidRPr="009B5184">
        <w:rPr>
          <w:rFonts w:ascii="Times New Roman" w:hAnsi="Times New Roman"/>
          <w:i w:val="0"/>
        </w:rPr>
        <w:t>3.1 КНР как ключевой партнер России в рамках БРИКС в сфере энергетики</w:t>
      </w:r>
      <w:bookmarkEnd w:id="9"/>
    </w:p>
    <w:p w:rsidR="00BB5DC7" w:rsidRDefault="00BB5DC7" w:rsidP="00BB5DC7">
      <w:pPr>
        <w:spacing w:after="0" w:line="360" w:lineRule="auto"/>
        <w:jc w:val="both"/>
        <w:rPr>
          <w:rFonts w:ascii="Times New Roman" w:hAnsi="Times New Roman"/>
          <w:sz w:val="28"/>
          <w:szCs w:val="28"/>
        </w:rPr>
      </w:pP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 xml:space="preserve">Особое значение для России имеет нормализация российско-китайских отношений, начиная с 1980-х гг. В настоящее время одна из главных задач, стоящих перед российской дипломатией, состоит в принятии всех возможных усилий, направленных на то, чтобы сделать Китай своим союзником, а не просто партнером. Еще М. Горбачев предпринимал конкретные шаги в сторону улучшения отношений двух государств. При Б. Ельцине, с </w:t>
      </w:r>
      <w:smartTag w:uri="urn:schemas-microsoft-com:office:smarttags" w:element="metricconverter">
        <w:smartTagPr>
          <w:attr w:name="ProductID" w:val="1992 г"/>
        </w:smartTagPr>
        <w:r w:rsidRPr="00CE3F6E">
          <w:rPr>
            <w:rFonts w:ascii="Times New Roman" w:hAnsi="Times New Roman"/>
            <w:sz w:val="28"/>
            <w:szCs w:val="28"/>
          </w:rPr>
          <w:t>1992 г</w:t>
        </w:r>
      </w:smartTag>
      <w:r w:rsidRPr="00CE3F6E">
        <w:rPr>
          <w:rFonts w:ascii="Times New Roman" w:hAnsi="Times New Roman"/>
          <w:sz w:val="28"/>
          <w:szCs w:val="28"/>
        </w:rPr>
        <w:t xml:space="preserve">., началась новая эра в российско-китайских отношениях. С приходом к власти В.В. Путина двусторонние отношения наших стран приобрели стратегический характер и развиваются все динамичнее. </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 xml:space="preserve">Важную роль для обоих государств играет экономическое сотрудничество. Экономика Китая и России по многим вопросам являются дополняющими друг для друга. Так, КНР </w:t>
      </w:r>
      <w:proofErr w:type="gramStart"/>
      <w:r w:rsidRPr="00CE3F6E">
        <w:rPr>
          <w:rFonts w:ascii="Times New Roman" w:hAnsi="Times New Roman"/>
          <w:sz w:val="28"/>
          <w:szCs w:val="28"/>
        </w:rPr>
        <w:t>интересен</w:t>
      </w:r>
      <w:proofErr w:type="gramEnd"/>
      <w:r w:rsidRPr="00CE3F6E">
        <w:rPr>
          <w:rFonts w:ascii="Times New Roman" w:hAnsi="Times New Roman"/>
          <w:sz w:val="28"/>
          <w:szCs w:val="28"/>
        </w:rPr>
        <w:t xml:space="preserve"> в данном контексте поставками потребительских товаров и продукции сельского хозяйства. РФ в обмен может поставить военную технику и промышленное оборудование. Ускорению торговых потоков двух стран способствуют такие факторы как географическая близость, большая общая граница, а также те проблемы, с которыми сталкивается российский дальневосточный регион при поставках товаров из европейской части РФ. Серьезную динамику российско-китайским отношениям придал тот факт, что Россия готова осуществлять поставки военной техники в Китай. Надо понимать, что КНР – это одна из самых динамично развивающихся экономик мира, эта страна обладает огромным </w:t>
      </w:r>
      <w:proofErr w:type="gramStart"/>
      <w:r w:rsidRPr="00CE3F6E">
        <w:rPr>
          <w:rFonts w:ascii="Times New Roman" w:hAnsi="Times New Roman"/>
          <w:sz w:val="28"/>
          <w:szCs w:val="28"/>
        </w:rPr>
        <w:t>демографическими</w:t>
      </w:r>
      <w:proofErr w:type="gramEnd"/>
      <w:r w:rsidRPr="00CE3F6E">
        <w:rPr>
          <w:rFonts w:ascii="Times New Roman" w:hAnsi="Times New Roman"/>
          <w:sz w:val="28"/>
          <w:szCs w:val="28"/>
        </w:rPr>
        <w:t xml:space="preserve"> и экономическим потенциалом. В этой связи РФ не может оставаться в стороне от данных процессов, поэтому важно </w:t>
      </w:r>
      <w:r w:rsidRPr="00CE3F6E">
        <w:rPr>
          <w:rFonts w:ascii="Times New Roman" w:hAnsi="Times New Roman"/>
          <w:sz w:val="28"/>
          <w:szCs w:val="28"/>
        </w:rPr>
        <w:lastRenderedPageBreak/>
        <w:t>отслеживать все процессы, происходящие в Китае, крупнейшем российском соседе.</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 xml:space="preserve">На рубеже ХХ – </w:t>
      </w:r>
      <w:r w:rsidRPr="00CE3F6E">
        <w:rPr>
          <w:rFonts w:ascii="Times New Roman" w:hAnsi="Times New Roman"/>
          <w:sz w:val="28"/>
          <w:szCs w:val="28"/>
          <w:lang w:val="en-US"/>
        </w:rPr>
        <w:t>XXI</w:t>
      </w:r>
      <w:r w:rsidRPr="00CE3F6E">
        <w:rPr>
          <w:rFonts w:ascii="Times New Roman" w:hAnsi="Times New Roman"/>
          <w:sz w:val="28"/>
          <w:szCs w:val="28"/>
        </w:rPr>
        <w:t xml:space="preserve"> вв., в то время как ведущие развитые страны находились под действием спада динамики своих экономических показателей, КНР смог добиться невероятно высоких темпов роста своей экономики. Сильная внешнеэкономическая экспансия Китая проявляется в очень высоких темпах роста китайского экспорта товаров, это очень видно как по российскому рынку, так и мировому рынку в целом.</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Те изменения, которые произошли в последние десятилетия в Китае, оказали огромное влияние на формирование китайского вектора во внешней политики России. Так, сегодня КНР является стратегическим партнером нашей страны, отношения с этой страной – один из ключевых приоритетов.</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 xml:space="preserve">Если оценивать место РФ в стратегии КНР, то основной тезис китайской внешней политики - признание современных международных отношений многосторонними. С этой целью китайские власти развивают внешнеполитическую линию по различным географическим направлениям. Россия является одним из таких направлений. Кроме того, в основе внешней политики РФ также лежит многосторонний подход, что сближает внешнеполитические линии двух стран. </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 xml:space="preserve">В геополитическом плане сотрудничество со своим крупнейшим соседом – Россией – является </w:t>
      </w:r>
      <w:proofErr w:type="gramStart"/>
      <w:r w:rsidRPr="00CE3F6E">
        <w:rPr>
          <w:rFonts w:ascii="Times New Roman" w:hAnsi="Times New Roman"/>
          <w:sz w:val="28"/>
          <w:szCs w:val="28"/>
        </w:rPr>
        <w:t>в высшей степени стратегическим</w:t>
      </w:r>
      <w:proofErr w:type="gramEnd"/>
      <w:r w:rsidRPr="00CE3F6E">
        <w:rPr>
          <w:rFonts w:ascii="Times New Roman" w:hAnsi="Times New Roman"/>
          <w:sz w:val="28"/>
          <w:szCs w:val="28"/>
        </w:rPr>
        <w:t xml:space="preserve"> и важным для руководства Китая. Это подтверждают двусторонние документы, на основе которых в настоящее время развиваются двусторонние отношения. Результатом такого взаимодействия стал Договор о добрососедстве, дружбе и сотрудничестве, подписанный 16 июля </w:t>
      </w:r>
      <w:smartTag w:uri="urn:schemas-microsoft-com:office:smarttags" w:element="metricconverter">
        <w:smartTagPr>
          <w:attr w:name="ProductID" w:val="2001 г"/>
        </w:smartTagPr>
        <w:r w:rsidRPr="00CE3F6E">
          <w:rPr>
            <w:rFonts w:ascii="Times New Roman" w:hAnsi="Times New Roman"/>
            <w:sz w:val="28"/>
            <w:szCs w:val="28"/>
          </w:rPr>
          <w:t>2001 г</w:t>
        </w:r>
      </w:smartTag>
      <w:r w:rsidRPr="00CE3F6E">
        <w:rPr>
          <w:rFonts w:ascii="Times New Roman" w:hAnsi="Times New Roman"/>
          <w:sz w:val="28"/>
          <w:szCs w:val="28"/>
        </w:rPr>
        <w:t xml:space="preserve">. главами двух государств в Москве. С тех пор было подписано большое количество и других соглашений, которые только подтвердили установленные приоритеты взаимоотношений. </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lastRenderedPageBreak/>
        <w:t>После перерыва в отношениях двух стран в 20 лет подписание указанного Договора 2001 г. стало важнейшей правовой базой для развития двусторонних отношений России и Китая. Именно этот документ по большому счету определяет стратегический характер контактов двух стран.</w:t>
      </w:r>
    </w:p>
    <w:p w:rsidR="00BB5DC7" w:rsidRPr="00CE3F6E" w:rsidRDefault="00BB5DC7" w:rsidP="00BB5DC7">
      <w:pPr>
        <w:spacing w:after="0" w:line="360" w:lineRule="auto"/>
        <w:ind w:firstLine="720"/>
        <w:jc w:val="both"/>
        <w:rPr>
          <w:rFonts w:ascii="Times New Roman" w:hAnsi="Times New Roman"/>
          <w:sz w:val="28"/>
          <w:szCs w:val="28"/>
        </w:rPr>
      </w:pPr>
      <w:proofErr w:type="gramStart"/>
      <w:r w:rsidRPr="00CE3F6E">
        <w:rPr>
          <w:rFonts w:ascii="Times New Roman" w:hAnsi="Times New Roman"/>
          <w:sz w:val="28"/>
          <w:szCs w:val="28"/>
        </w:rPr>
        <w:t>Само название договора, в котором указаны такие термины как добрососедство, дружба и сотрудничество – было предложено Китаем, который понимал, что очень важно положить в основу взаимодействия именно добрососедство, которое призвано стать базой для дальнейшего развития дружбы и сотрудничества.</w:t>
      </w:r>
      <w:proofErr w:type="gramEnd"/>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Когда велись переговоры России и Китая по вопросам приграничного урегулирования, китайские власти использовали определенные термины для трактовки отношения двух государств. Так, указывалось, что граница между двумя нашими странами определялась по большому счету «неравноправными» договорами, которые, с точки зрения китайской стороны, были подписаны в условиях, когда Китай не мог оспаривать их содержание (т.е. условия были навязаны), а российский и китайский народы были в бесправном положении.</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Поэтому преамбула Договора 2001 года содержит вполне целенаправленно благие пожелания, которые могут быть истолкованы и восприняты однозначно.</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 xml:space="preserve">Тем не </w:t>
      </w:r>
      <w:proofErr w:type="gramStart"/>
      <w:r w:rsidRPr="00CE3F6E">
        <w:rPr>
          <w:rFonts w:ascii="Times New Roman" w:hAnsi="Times New Roman"/>
          <w:sz w:val="28"/>
          <w:szCs w:val="28"/>
        </w:rPr>
        <w:t>менее</w:t>
      </w:r>
      <w:proofErr w:type="gramEnd"/>
      <w:r w:rsidRPr="00CE3F6E">
        <w:rPr>
          <w:rFonts w:ascii="Times New Roman" w:hAnsi="Times New Roman"/>
          <w:sz w:val="28"/>
          <w:szCs w:val="28"/>
        </w:rPr>
        <w:t xml:space="preserve"> в Договоре о добрососедстве, дружбе и сотрудничестве все равно указывались существующие на тот момент проблемы, требующие своего решения.</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 xml:space="preserve">Например, наболевшим вопросом называлась проблема проведения линии границы между Россией и Китаем на тех участках, которые не были согласованы. Это означало, что вопрос границы еще только нужно было разрешить во имя вечного мира и дружбы. Завершить процедуру демаркации российско-китайской границе удалось только к 2005 году, когда </w:t>
      </w:r>
      <w:r w:rsidRPr="00CE3F6E">
        <w:rPr>
          <w:rFonts w:ascii="Times New Roman" w:hAnsi="Times New Roman"/>
          <w:sz w:val="28"/>
          <w:szCs w:val="28"/>
        </w:rPr>
        <w:lastRenderedPageBreak/>
        <w:t>межгосударственная граница была установлена по центру реки Амур (тогда Китаю отошел ряд территорий).</w:t>
      </w:r>
    </w:p>
    <w:p w:rsidR="00BB5DC7" w:rsidRPr="00CE3F6E" w:rsidRDefault="00BB5DC7" w:rsidP="00BB5DC7">
      <w:pPr>
        <w:spacing w:after="0" w:line="360" w:lineRule="auto"/>
        <w:ind w:firstLine="720"/>
        <w:jc w:val="both"/>
        <w:rPr>
          <w:rFonts w:ascii="Times New Roman" w:hAnsi="Times New Roman"/>
          <w:sz w:val="28"/>
          <w:szCs w:val="28"/>
        </w:rPr>
      </w:pPr>
      <w:r w:rsidRPr="00CE3F6E">
        <w:rPr>
          <w:rFonts w:ascii="Times New Roman" w:hAnsi="Times New Roman"/>
          <w:sz w:val="28"/>
          <w:szCs w:val="28"/>
        </w:rPr>
        <w:t>Если говорить еще о важности Договора о добрососедстве, дружбе и сотрудничестве 2001 года, то важно отметить, что обе стороны называли этот договор «большим», вполне справедливо говоря, что документ имеет знаковый характер для отношений обеих стран, а также охватывает очень обширную сферу сотрудничества Москвы и Пекина.</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В настоящее время на российско-китайские отношения оказывает влияние и ситуация с действием санкций против РФ со стороны стран Запада. Так, в 2014 году в связи с ситуацией на Украине такие страны как США, государства ЕС, Канада и ряд других, ввели ограничения на экономическое взаимодействие с российской стороной, эти санкции действуют по настоящий момент. Это стало поводом для РФ усилить интенсификацию контактов с китайским соседом. Сегодня особенно можно выделить сотрудничество в энергетической сфере. Россия особенно заинтересована в интенсификации поставок энергетических ресурсов в КНР (речь идет о нефти, природном газе и др.). В настоящее время существуют примеры таких контактов РФ и КНР, но в перспективе на 15 лет российская сторона хочет стать самым крупным поставщиком энергетического сырья в Китай.</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 xml:space="preserve">Современные западные санкции против России в основном направлены на энергетическую сферу нашей страны, что только в большей степени стимулирует российские усилия по активизации данного направления сотрудничества с китайской стороной. </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 xml:space="preserve">Усиление энергетической составляющей в отношениях России и Китая нашло отражение и в их контактах на уровне БРИКС. Так, на саммите 2015 года в Уфе страны-участницы БРИКС особо выделили сферу энергетики. В Стратегии экономического партнерства БРИКС энергетическая сфере обозначена как один из приоритетов. Особенно отмечены и такие вопросы как развитие инфраструктуры, инвестиций в энергетические проекты, </w:t>
      </w:r>
      <w:r w:rsidRPr="00CE3F6E">
        <w:rPr>
          <w:rFonts w:ascii="Times New Roman" w:hAnsi="Times New Roman"/>
          <w:sz w:val="28"/>
          <w:szCs w:val="28"/>
        </w:rPr>
        <w:lastRenderedPageBreak/>
        <w:t xml:space="preserve">расширение поставок энергоносителей. Российский глава государства В.В. Путин выдвинул предложение создания Ассоциации стран БРИКС, которую </w:t>
      </w:r>
      <w:proofErr w:type="gramStart"/>
      <w:r w:rsidRPr="00CE3F6E">
        <w:rPr>
          <w:rFonts w:ascii="Times New Roman" w:hAnsi="Times New Roman"/>
          <w:sz w:val="28"/>
          <w:szCs w:val="28"/>
        </w:rPr>
        <w:t>в последствии</w:t>
      </w:r>
      <w:proofErr w:type="gramEnd"/>
      <w:r w:rsidRPr="00CE3F6E">
        <w:rPr>
          <w:rFonts w:ascii="Times New Roman" w:hAnsi="Times New Roman"/>
          <w:sz w:val="28"/>
          <w:szCs w:val="28"/>
        </w:rPr>
        <w:t xml:space="preserve"> можно будет дополнить Резервным банком топлива и Институтом энергетической политики» стран БРИКС. Таким образом, не вызывает сомнения, что энергетическое сотрудничество между Россией и Китаем на уровне БРИКС имеет очень положительные перспективы.</w:t>
      </w:r>
    </w:p>
    <w:p w:rsidR="00BB5DC7" w:rsidRPr="00CE3F6E"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Кризис в отношениях России со странами Запада благотворно сказался не только на экономическом и энергетическом сотрудничестве России и Китая, но также и на формировании базовых стратегических приоритетов во взаимодействии двух государств. С 2014 по 201</w:t>
      </w:r>
      <w:r>
        <w:rPr>
          <w:rFonts w:ascii="Times New Roman" w:hAnsi="Times New Roman"/>
          <w:sz w:val="28"/>
          <w:szCs w:val="28"/>
        </w:rPr>
        <w:t>7</w:t>
      </w:r>
      <w:r w:rsidRPr="00CE3F6E">
        <w:rPr>
          <w:rFonts w:ascii="Times New Roman" w:hAnsi="Times New Roman"/>
          <w:sz w:val="28"/>
          <w:szCs w:val="28"/>
        </w:rPr>
        <w:t xml:space="preserve"> года данное сотрудничество имело большой подъем. Так, только в 2014 году Президент РФ и Председатель КНР провели 5 встреч в различных форматах, между странами было подписано много важнейших документов, опубликованы совместные заявления, проведены переговоры по линии таких структур как ШОС, БРИКС и АТЭС. На саммитах указанных организаций Россия и Китай смогли достичь полного взаимопонимания по вопросам геополитического и военно-политического взаимодействия на мировой арене в целом и на региональном уровне в частности. Очень важную роль сыграл саммит РФ и КНР, состоявшийся в Шанхае в мае 2014 года, на котором между двумя странами было подписано </w:t>
      </w:r>
      <w:proofErr w:type="gramStart"/>
      <w:r w:rsidRPr="00CE3F6E">
        <w:rPr>
          <w:rFonts w:ascii="Times New Roman" w:hAnsi="Times New Roman"/>
          <w:sz w:val="28"/>
          <w:szCs w:val="28"/>
        </w:rPr>
        <w:t>более сорока документов</w:t>
      </w:r>
      <w:proofErr w:type="gramEnd"/>
      <w:r w:rsidRPr="00CE3F6E">
        <w:rPr>
          <w:rFonts w:ascii="Times New Roman" w:hAnsi="Times New Roman"/>
          <w:sz w:val="28"/>
          <w:szCs w:val="28"/>
        </w:rPr>
        <w:t xml:space="preserve"> межправительственного, межведомственного и межрегионального формата. Сегодня пока не может еще вестись речь о формировании сов</w:t>
      </w:r>
      <w:r>
        <w:rPr>
          <w:rFonts w:ascii="Times New Roman" w:hAnsi="Times New Roman"/>
          <w:sz w:val="28"/>
          <w:szCs w:val="28"/>
        </w:rPr>
        <w:t>м</w:t>
      </w:r>
      <w:r w:rsidRPr="00CE3F6E">
        <w:rPr>
          <w:rFonts w:ascii="Times New Roman" w:hAnsi="Times New Roman"/>
          <w:sz w:val="28"/>
          <w:szCs w:val="28"/>
        </w:rPr>
        <w:t xml:space="preserve">естного военно-политического союза России и Китая, однако это направление набирает свои обороты в последние годы. В качестве примера можно привести цитату из Совместного заявления В.В. Путина и Си  </w:t>
      </w:r>
      <w:proofErr w:type="spellStart"/>
      <w:r w:rsidRPr="00CE3F6E">
        <w:rPr>
          <w:rFonts w:ascii="Times New Roman" w:hAnsi="Times New Roman"/>
          <w:sz w:val="28"/>
          <w:szCs w:val="28"/>
        </w:rPr>
        <w:t>Цзиньпиня</w:t>
      </w:r>
      <w:proofErr w:type="spellEnd"/>
      <w:r w:rsidRPr="00CE3F6E">
        <w:rPr>
          <w:rFonts w:ascii="Times New Roman" w:hAnsi="Times New Roman"/>
          <w:sz w:val="28"/>
          <w:szCs w:val="28"/>
        </w:rPr>
        <w:t xml:space="preserve">, где отмечалась важность усиления взаимной </w:t>
      </w:r>
      <w:r w:rsidRPr="00CE3F6E">
        <w:rPr>
          <w:rFonts w:ascii="Times New Roman" w:hAnsi="Times New Roman"/>
          <w:sz w:val="28"/>
          <w:szCs w:val="28"/>
        </w:rPr>
        <w:lastRenderedPageBreak/>
        <w:t>поддержки «в вопросах, затрагивающих коренные интересы, в том числе в обеспечении суверенитета, территориальной целостности и безопасности»</w:t>
      </w:r>
      <w:r w:rsidRPr="00CE3F6E">
        <w:rPr>
          <w:rStyle w:val="a8"/>
          <w:rFonts w:ascii="Times New Roman" w:hAnsi="Times New Roman"/>
          <w:sz w:val="28"/>
          <w:szCs w:val="28"/>
        </w:rPr>
        <w:footnoteReference w:id="50"/>
      </w:r>
      <w:r w:rsidRPr="00CE3F6E">
        <w:rPr>
          <w:rFonts w:ascii="Times New Roman" w:hAnsi="Times New Roman"/>
          <w:sz w:val="28"/>
          <w:szCs w:val="28"/>
        </w:rPr>
        <w:t>.</w:t>
      </w:r>
    </w:p>
    <w:p w:rsidR="00BB5DC7" w:rsidRDefault="00BB5DC7" w:rsidP="00BB5DC7">
      <w:pPr>
        <w:spacing w:after="0" w:line="360" w:lineRule="auto"/>
        <w:ind w:firstLine="708"/>
        <w:jc w:val="both"/>
        <w:rPr>
          <w:rFonts w:ascii="Times New Roman" w:hAnsi="Times New Roman"/>
          <w:sz w:val="28"/>
          <w:szCs w:val="28"/>
        </w:rPr>
      </w:pPr>
      <w:r w:rsidRPr="00CE3F6E">
        <w:rPr>
          <w:rFonts w:ascii="Times New Roman" w:hAnsi="Times New Roman"/>
          <w:sz w:val="28"/>
          <w:szCs w:val="28"/>
        </w:rPr>
        <w:t>Таким образом, кризис на Украине способствовал ускорению активизации российско-китайского сотрудничества по многим направлениям, но при этом  сам характер контактов и их направления сохранились все те же. Их базой являются стабильные, общие интересы. Российский поворот в сторону азиатского направления является более ранней стратегией России, предполагающей фундаментальное сближение с китайской стороной. Это находит свое отражение и в сфере российско-китайского сотрудничества по таким направлениям как политическое, военное, торгово-экономическое, культурное, научно-техническое и т.д., которые с каждым годом набирают свои обороты.</w:t>
      </w:r>
    </w:p>
    <w:p w:rsidR="00BB5DC7" w:rsidRPr="00CE3F6E"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Рассмотрим далее особенности энергетического сотрудничества России и Китая, которое сегодня активно развивается.</w:t>
      </w:r>
    </w:p>
    <w:p w:rsidR="00BB5DC7"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целом надо отметить, что именно РФ является движущей силой в данном секторе из всех стран БРИКС. </w:t>
      </w:r>
    </w:p>
    <w:p w:rsidR="00BB5DC7" w:rsidRPr="00386036"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В сложившейся ситуации, когда Китай нуждается в поставках энергоресурсов, важным партнером выступает сосед этой страны – Россия, являющаяся одним из крупнейших в мире экспортеров нефти, природного газа, а также занимает не последнее место в продаже угля и электроэнергии.</w:t>
      </w:r>
    </w:p>
    <w:p w:rsidR="00BB5DC7" w:rsidRPr="00386036" w:rsidRDefault="00BB5DC7" w:rsidP="00BB5DC7">
      <w:pPr>
        <w:spacing w:after="0" w:line="360" w:lineRule="auto"/>
        <w:ind w:firstLine="709"/>
        <w:jc w:val="both"/>
        <w:rPr>
          <w:rFonts w:ascii="Times New Roman" w:hAnsi="Times New Roman"/>
          <w:sz w:val="28"/>
          <w:szCs w:val="28"/>
        </w:rPr>
      </w:pPr>
      <w:r>
        <w:rPr>
          <w:rFonts w:ascii="Times New Roman" w:hAnsi="Times New Roman"/>
          <w:sz w:val="28"/>
          <w:szCs w:val="28"/>
        </w:rPr>
        <w:t>В 2014 году н</w:t>
      </w:r>
      <w:r w:rsidRPr="00386036">
        <w:rPr>
          <w:rFonts w:ascii="Times New Roman" w:hAnsi="Times New Roman"/>
          <w:sz w:val="28"/>
          <w:szCs w:val="28"/>
        </w:rPr>
        <w:t>а поставки «минерального топлива, нефти и нефтепродуктов» в стоимостном выражении приходилось более половины российского экспорта – 71,63% (</w:t>
      </w:r>
      <w:r>
        <w:rPr>
          <w:rFonts w:ascii="Times New Roman" w:hAnsi="Times New Roman"/>
          <w:sz w:val="28"/>
          <w:szCs w:val="28"/>
        </w:rPr>
        <w:t>прирост на 1</w:t>
      </w:r>
      <w:r w:rsidRPr="00386036">
        <w:rPr>
          <w:rFonts w:ascii="Times New Roman" w:hAnsi="Times New Roman"/>
          <w:sz w:val="28"/>
          <w:szCs w:val="28"/>
        </w:rPr>
        <w:t>0,7%.).</w:t>
      </w:r>
    </w:p>
    <w:p w:rsidR="00BB5DC7" w:rsidRPr="00386036"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 xml:space="preserve">Поставки продемонстрировали положительную динамику как в физическом выражении (+7,4%) или 65,38 млн. тонн,  так и стоимостном  - </w:t>
      </w:r>
      <w:r w:rsidRPr="00386036">
        <w:rPr>
          <w:rFonts w:ascii="Times New Roman" w:hAnsi="Times New Roman"/>
          <w:sz w:val="28"/>
          <w:szCs w:val="28"/>
        </w:rPr>
        <w:lastRenderedPageBreak/>
        <w:t>совокупная стоимость этих поставок увеличилась на 10,7% к</w:t>
      </w:r>
      <w:r>
        <w:rPr>
          <w:rFonts w:ascii="Times New Roman" w:hAnsi="Times New Roman"/>
          <w:sz w:val="28"/>
          <w:szCs w:val="28"/>
        </w:rPr>
        <w:t xml:space="preserve"> </w:t>
      </w:r>
      <w:r w:rsidRPr="00386036">
        <w:rPr>
          <w:rFonts w:ascii="Times New Roman" w:hAnsi="Times New Roman"/>
          <w:sz w:val="28"/>
          <w:szCs w:val="28"/>
        </w:rPr>
        <w:t>2013 г</w:t>
      </w:r>
      <w:r>
        <w:rPr>
          <w:rFonts w:ascii="Times New Roman" w:hAnsi="Times New Roman"/>
          <w:sz w:val="28"/>
          <w:szCs w:val="28"/>
        </w:rPr>
        <w:t>оду</w:t>
      </w:r>
      <w:r w:rsidRPr="00386036">
        <w:rPr>
          <w:rFonts w:ascii="Times New Roman" w:hAnsi="Times New Roman"/>
          <w:sz w:val="28"/>
          <w:szCs w:val="28"/>
        </w:rPr>
        <w:t xml:space="preserve"> и составила 29,76 млрд. долл</w:t>
      </w:r>
      <w:r>
        <w:rPr>
          <w:rFonts w:ascii="Times New Roman" w:hAnsi="Times New Roman"/>
          <w:sz w:val="28"/>
          <w:szCs w:val="28"/>
        </w:rPr>
        <w:t>аров</w:t>
      </w:r>
      <w:r>
        <w:rPr>
          <w:rStyle w:val="a8"/>
          <w:rFonts w:ascii="Times New Roman" w:hAnsi="Times New Roman"/>
          <w:sz w:val="28"/>
          <w:szCs w:val="28"/>
        </w:rPr>
        <w:footnoteReference w:id="51"/>
      </w:r>
      <w:r w:rsidRPr="00386036">
        <w:rPr>
          <w:rFonts w:ascii="Times New Roman" w:hAnsi="Times New Roman"/>
          <w:sz w:val="28"/>
          <w:szCs w:val="28"/>
        </w:rPr>
        <w:t>.</w:t>
      </w:r>
    </w:p>
    <w:p w:rsidR="00BB5DC7" w:rsidRDefault="00BB5DC7" w:rsidP="00BB5DC7">
      <w:pPr>
        <w:spacing w:after="0" w:line="360" w:lineRule="auto"/>
        <w:ind w:firstLine="709"/>
        <w:jc w:val="both"/>
        <w:rPr>
          <w:rFonts w:ascii="Times New Roman" w:hAnsi="Times New Roman"/>
          <w:sz w:val="28"/>
          <w:szCs w:val="28"/>
        </w:rPr>
      </w:pPr>
      <w:r w:rsidRPr="00386036">
        <w:rPr>
          <w:rFonts w:ascii="Times New Roman" w:hAnsi="Times New Roman"/>
          <w:sz w:val="28"/>
          <w:szCs w:val="28"/>
        </w:rPr>
        <w:t>Поставки сырой нефти в физических объемах в</w:t>
      </w:r>
      <w:r>
        <w:rPr>
          <w:rFonts w:ascii="Times New Roman" w:hAnsi="Times New Roman"/>
          <w:sz w:val="28"/>
          <w:szCs w:val="28"/>
        </w:rPr>
        <w:t xml:space="preserve"> </w:t>
      </w:r>
      <w:r w:rsidRPr="00386036">
        <w:rPr>
          <w:rFonts w:ascii="Times New Roman" w:hAnsi="Times New Roman"/>
          <w:sz w:val="28"/>
          <w:szCs w:val="28"/>
        </w:rPr>
        <w:t>2</w:t>
      </w:r>
      <w:r>
        <w:rPr>
          <w:rFonts w:ascii="Times New Roman" w:hAnsi="Times New Roman"/>
          <w:sz w:val="28"/>
          <w:szCs w:val="28"/>
        </w:rPr>
        <w:t>014 году увеличились на 36</w:t>
      </w:r>
      <w:r w:rsidRPr="00386036">
        <w:rPr>
          <w:rFonts w:ascii="Times New Roman" w:hAnsi="Times New Roman"/>
          <w:sz w:val="28"/>
          <w:szCs w:val="28"/>
        </w:rPr>
        <w:t>%  или до 33,11 млн. тонн, по стоимости увеличились  на 26,7%  или до 25,801 млрд. долл</w:t>
      </w:r>
      <w:r>
        <w:rPr>
          <w:rFonts w:ascii="Times New Roman" w:hAnsi="Times New Roman"/>
          <w:sz w:val="28"/>
          <w:szCs w:val="28"/>
        </w:rPr>
        <w:t>аров</w:t>
      </w:r>
      <w:r>
        <w:rPr>
          <w:rStyle w:val="a8"/>
          <w:rFonts w:ascii="Times New Roman" w:hAnsi="Times New Roman"/>
          <w:sz w:val="28"/>
          <w:szCs w:val="28"/>
        </w:rPr>
        <w:footnoteReference w:id="52"/>
      </w:r>
      <w:r w:rsidRPr="00386036">
        <w:rPr>
          <w:rFonts w:ascii="Times New Roman" w:hAnsi="Times New Roman"/>
          <w:sz w:val="28"/>
          <w:szCs w:val="28"/>
        </w:rPr>
        <w:t>.</w:t>
      </w:r>
      <w:r>
        <w:rPr>
          <w:rFonts w:ascii="Times New Roman" w:hAnsi="Times New Roman"/>
          <w:sz w:val="28"/>
          <w:szCs w:val="28"/>
        </w:rPr>
        <w:t xml:space="preserve"> На рис. 6 представлена динамика роста удельного веса такой товарной группы как «минеральное топливо, нефть, нефтепродукты» в экспорте России в Китай.</w:t>
      </w:r>
    </w:p>
    <w:p w:rsidR="00BB5DC7" w:rsidRDefault="00BB5DC7" w:rsidP="00BB5DC7">
      <w:pPr>
        <w:spacing w:after="0" w:line="360" w:lineRule="auto"/>
        <w:ind w:firstLine="709"/>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5803900" cy="2997200"/>
            <wp:effectExtent l="0" t="0" r="635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5DC7" w:rsidRDefault="00BB5DC7" w:rsidP="00BB5DC7">
      <w:pPr>
        <w:spacing w:after="0" w:line="360" w:lineRule="auto"/>
        <w:jc w:val="center"/>
        <w:rPr>
          <w:rFonts w:ascii="Times New Roman" w:hAnsi="Times New Roman"/>
          <w:sz w:val="28"/>
          <w:szCs w:val="28"/>
        </w:rPr>
      </w:pPr>
      <w:r>
        <w:rPr>
          <w:rFonts w:ascii="Times New Roman" w:hAnsi="Times New Roman"/>
          <w:noProof/>
          <w:sz w:val="28"/>
          <w:szCs w:val="28"/>
          <w:lang w:eastAsia="ru-RU"/>
        </w:rPr>
        <w:t xml:space="preserve">Рисунок 6. </w:t>
      </w:r>
      <w:r>
        <w:rPr>
          <w:rFonts w:ascii="Times New Roman" w:hAnsi="Times New Roman"/>
          <w:sz w:val="28"/>
          <w:szCs w:val="28"/>
        </w:rPr>
        <w:t>Динамика роста удельного веса товарной группы «минеральное топливо, нефть, нефтепродукты» в экспорте России в Китай, 2005-2014 гг., %</w:t>
      </w:r>
      <w:r>
        <w:rPr>
          <w:rStyle w:val="a8"/>
          <w:rFonts w:ascii="Times New Roman" w:hAnsi="Times New Roman"/>
          <w:sz w:val="28"/>
          <w:szCs w:val="28"/>
        </w:rPr>
        <w:footnoteReference w:id="53"/>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В табл. 6 представлена динамика изменения удельного веса нефти и нефтепродуктов во взаимной торговле России и Китая. Так, совершенно видна четкая картина лидирующего положения экспорта РФ. Доля импорта данной категории товаров для России и из КНР является  ничтожно малой, в 2014 году она составляла всего 0,34%.</w:t>
      </w:r>
    </w:p>
    <w:p w:rsidR="00BB5DC7"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На рис. 7 показано изменение доли нефти и нефтепродуктов в китайском экспорте. Прежде </w:t>
      </w:r>
      <w:proofErr w:type="gramStart"/>
      <w:r>
        <w:rPr>
          <w:rFonts w:ascii="Times New Roman" w:hAnsi="Times New Roman"/>
          <w:sz w:val="28"/>
          <w:szCs w:val="28"/>
        </w:rPr>
        <w:t>всего</w:t>
      </w:r>
      <w:proofErr w:type="gramEnd"/>
      <w:r>
        <w:rPr>
          <w:rFonts w:ascii="Times New Roman" w:hAnsi="Times New Roman"/>
          <w:sz w:val="28"/>
          <w:szCs w:val="28"/>
        </w:rPr>
        <w:t xml:space="preserve"> надо отметить, что эта категория товаров всегда была очень небольшой, а в последние годы стала стремительно сокращаться.</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center"/>
        <w:rPr>
          <w:rFonts w:ascii="Times New Roman" w:hAnsi="Times New Roman"/>
          <w:sz w:val="28"/>
          <w:szCs w:val="28"/>
        </w:rPr>
      </w:pPr>
      <w:r>
        <w:rPr>
          <w:rFonts w:ascii="Times New Roman" w:hAnsi="Times New Roman"/>
          <w:sz w:val="28"/>
          <w:szCs w:val="28"/>
        </w:rPr>
        <w:t xml:space="preserve">Таблица 6. </w:t>
      </w:r>
      <w:r w:rsidRPr="00727E43">
        <w:rPr>
          <w:rFonts w:ascii="Times New Roman" w:hAnsi="Times New Roman"/>
          <w:sz w:val="28"/>
          <w:szCs w:val="28"/>
        </w:rPr>
        <w:t xml:space="preserve">Удельный вес </w:t>
      </w:r>
      <w:r>
        <w:rPr>
          <w:rFonts w:ascii="Times New Roman" w:hAnsi="Times New Roman"/>
          <w:sz w:val="28"/>
          <w:szCs w:val="28"/>
        </w:rPr>
        <w:t xml:space="preserve">нефти и нефтепродуктов во взаимной торговле </w:t>
      </w:r>
      <w:r w:rsidRPr="00727E43">
        <w:rPr>
          <w:rFonts w:ascii="Times New Roman" w:hAnsi="Times New Roman"/>
          <w:sz w:val="28"/>
          <w:szCs w:val="28"/>
        </w:rPr>
        <w:t>России и КНР</w:t>
      </w:r>
      <w:r>
        <w:rPr>
          <w:rFonts w:ascii="Times New Roman" w:hAnsi="Times New Roman"/>
          <w:sz w:val="28"/>
          <w:szCs w:val="28"/>
        </w:rPr>
        <w:t xml:space="preserve"> </w:t>
      </w:r>
      <w:r w:rsidRPr="00727E43">
        <w:rPr>
          <w:rFonts w:ascii="Times New Roman" w:hAnsi="Times New Roman"/>
          <w:sz w:val="28"/>
          <w:szCs w:val="28"/>
        </w:rPr>
        <w:t>(</w:t>
      </w:r>
      <w:proofErr w:type="gramStart"/>
      <w:r w:rsidRPr="00727E43">
        <w:rPr>
          <w:rFonts w:ascii="Times New Roman" w:hAnsi="Times New Roman"/>
          <w:sz w:val="28"/>
          <w:szCs w:val="28"/>
        </w:rPr>
        <w:t>в</w:t>
      </w:r>
      <w:proofErr w:type="gramEnd"/>
      <w:r w:rsidRPr="00727E43">
        <w:rPr>
          <w:rFonts w:ascii="Times New Roman" w:hAnsi="Times New Roman"/>
          <w:sz w:val="28"/>
          <w:szCs w:val="28"/>
        </w:rPr>
        <w:t xml:space="preserve"> %)</w:t>
      </w:r>
      <w:r>
        <w:rPr>
          <w:rStyle w:val="a8"/>
          <w:rFonts w:ascii="Times New Roman" w:hAnsi="Times New Roman"/>
          <w:sz w:val="28"/>
          <w:szCs w:val="28"/>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971"/>
        <w:gridCol w:w="983"/>
        <w:gridCol w:w="982"/>
        <w:gridCol w:w="983"/>
        <w:gridCol w:w="983"/>
        <w:gridCol w:w="982"/>
        <w:gridCol w:w="983"/>
        <w:gridCol w:w="983"/>
      </w:tblGrid>
      <w:tr w:rsidR="00BB5DC7" w:rsidRPr="008C1124" w:rsidTr="00F4634F">
        <w:tc>
          <w:tcPr>
            <w:tcW w:w="1809" w:type="dxa"/>
          </w:tcPr>
          <w:p w:rsidR="00BB5DC7" w:rsidRPr="008C1124" w:rsidRDefault="00BB5DC7" w:rsidP="00F4634F">
            <w:pPr>
              <w:spacing w:after="0" w:line="360" w:lineRule="auto"/>
              <w:jc w:val="both"/>
              <w:rPr>
                <w:rFonts w:ascii="Times New Roman" w:hAnsi="Times New Roman"/>
                <w:sz w:val="28"/>
                <w:szCs w:val="28"/>
              </w:rPr>
            </w:pP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2007</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2008</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2009</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2010</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2011</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2012</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2013</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2014</w:t>
            </w:r>
          </w:p>
        </w:tc>
      </w:tr>
      <w:tr w:rsidR="00BB5DC7" w:rsidRPr="008C1124" w:rsidTr="00F4634F">
        <w:tc>
          <w:tcPr>
            <w:tcW w:w="1809" w:type="dxa"/>
          </w:tcPr>
          <w:p w:rsidR="00BB5DC7" w:rsidRPr="008C1124" w:rsidRDefault="00BB5DC7" w:rsidP="00F4634F">
            <w:pPr>
              <w:spacing w:after="0" w:line="360" w:lineRule="auto"/>
              <w:jc w:val="both"/>
              <w:rPr>
                <w:rFonts w:ascii="Times New Roman" w:hAnsi="Times New Roman"/>
                <w:sz w:val="28"/>
                <w:szCs w:val="28"/>
              </w:rPr>
            </w:pPr>
            <w:r w:rsidRPr="008C1124">
              <w:rPr>
                <w:rFonts w:ascii="Times New Roman" w:hAnsi="Times New Roman"/>
                <w:sz w:val="28"/>
                <w:szCs w:val="28"/>
              </w:rPr>
              <w:t>Экспорт РФ в КНР</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47,5</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50,11</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44,11</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49,45</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56,76</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66,86</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67,89</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71,63</w:t>
            </w:r>
          </w:p>
        </w:tc>
      </w:tr>
      <w:tr w:rsidR="00BB5DC7" w:rsidRPr="008C1124" w:rsidTr="00F4634F">
        <w:tc>
          <w:tcPr>
            <w:tcW w:w="1809" w:type="dxa"/>
          </w:tcPr>
          <w:p w:rsidR="00BB5DC7" w:rsidRPr="008C1124" w:rsidRDefault="00BB5DC7" w:rsidP="00F4634F">
            <w:pPr>
              <w:spacing w:after="0" w:line="360" w:lineRule="auto"/>
              <w:jc w:val="both"/>
              <w:rPr>
                <w:rFonts w:ascii="Times New Roman" w:hAnsi="Times New Roman"/>
                <w:sz w:val="28"/>
                <w:szCs w:val="28"/>
              </w:rPr>
            </w:pPr>
            <w:r w:rsidRPr="008C1124">
              <w:rPr>
                <w:rFonts w:ascii="Times New Roman" w:hAnsi="Times New Roman"/>
                <w:sz w:val="28"/>
                <w:szCs w:val="28"/>
              </w:rPr>
              <w:t>Импорт РФ из КНР</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0,70</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0,81</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0,51</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0,75</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0,90</w:t>
            </w:r>
          </w:p>
        </w:tc>
        <w:tc>
          <w:tcPr>
            <w:tcW w:w="1005"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0,67</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0,60</w:t>
            </w:r>
          </w:p>
        </w:tc>
        <w:tc>
          <w:tcPr>
            <w:tcW w:w="1006" w:type="dxa"/>
          </w:tcPr>
          <w:p w:rsidR="00BB5DC7" w:rsidRPr="008C1124" w:rsidRDefault="00BB5DC7" w:rsidP="00F4634F">
            <w:pPr>
              <w:spacing w:after="0" w:line="360" w:lineRule="auto"/>
              <w:jc w:val="center"/>
              <w:rPr>
                <w:rFonts w:ascii="Times New Roman" w:hAnsi="Times New Roman"/>
                <w:sz w:val="28"/>
                <w:szCs w:val="28"/>
              </w:rPr>
            </w:pPr>
            <w:r w:rsidRPr="008C1124">
              <w:rPr>
                <w:rFonts w:ascii="Times New Roman" w:hAnsi="Times New Roman"/>
                <w:sz w:val="28"/>
                <w:szCs w:val="28"/>
              </w:rPr>
              <w:t>0,34</w:t>
            </w:r>
          </w:p>
        </w:tc>
      </w:tr>
    </w:tbl>
    <w:p w:rsidR="00BB5DC7" w:rsidRDefault="00BB5DC7" w:rsidP="00BB5DC7">
      <w:pPr>
        <w:spacing w:after="0" w:line="360" w:lineRule="auto"/>
        <w:ind w:firstLine="708"/>
        <w:jc w:val="both"/>
        <w:rPr>
          <w:rFonts w:ascii="Times New Roman" w:hAnsi="Times New Roman"/>
          <w:sz w:val="28"/>
          <w:szCs w:val="28"/>
        </w:rPr>
      </w:pPr>
    </w:p>
    <w:p w:rsidR="00BB5DC7" w:rsidRDefault="00BB5DC7" w:rsidP="00BB5DC7">
      <w:pPr>
        <w:spacing w:after="0" w:line="360" w:lineRule="auto"/>
        <w:ind w:firstLine="708"/>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4978400" cy="3098800"/>
            <wp:effectExtent l="0" t="0" r="0" b="635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5DC7" w:rsidRDefault="00BB5DC7" w:rsidP="00BB5DC7">
      <w:pPr>
        <w:spacing w:after="0" w:line="360" w:lineRule="auto"/>
        <w:ind w:firstLine="708"/>
        <w:jc w:val="center"/>
        <w:rPr>
          <w:rFonts w:ascii="Times New Roman" w:hAnsi="Times New Roman"/>
          <w:noProof/>
          <w:sz w:val="28"/>
          <w:szCs w:val="28"/>
          <w:lang w:eastAsia="ru-RU"/>
        </w:rPr>
      </w:pPr>
      <w:r>
        <w:rPr>
          <w:rFonts w:ascii="Times New Roman" w:hAnsi="Times New Roman"/>
          <w:noProof/>
          <w:sz w:val="28"/>
          <w:szCs w:val="28"/>
          <w:lang w:eastAsia="ru-RU"/>
        </w:rPr>
        <w:t>Рисунок 7. Доля в экспорте Китая в РФ нефти и нефтепродуктов, %</w:t>
      </w:r>
      <w:r>
        <w:rPr>
          <w:rStyle w:val="a8"/>
          <w:rFonts w:ascii="Times New Roman" w:hAnsi="Times New Roman"/>
          <w:noProof/>
          <w:sz w:val="28"/>
          <w:szCs w:val="28"/>
          <w:lang w:eastAsia="ru-RU"/>
        </w:rPr>
        <w:footnoteReference w:id="55"/>
      </w:r>
    </w:p>
    <w:p w:rsidR="00BB5DC7" w:rsidRDefault="00BB5DC7" w:rsidP="00BB5DC7">
      <w:pPr>
        <w:spacing w:after="0" w:line="360" w:lineRule="auto"/>
        <w:ind w:firstLine="708"/>
        <w:jc w:val="both"/>
        <w:rPr>
          <w:rFonts w:ascii="Times New Roman" w:hAnsi="Times New Roman"/>
          <w:sz w:val="28"/>
          <w:szCs w:val="28"/>
        </w:rPr>
      </w:pPr>
    </w:p>
    <w:p w:rsidR="00BB5DC7" w:rsidRDefault="00BB5DC7" w:rsidP="00BB5DC7">
      <w:pPr>
        <w:spacing w:after="0" w:line="360" w:lineRule="auto"/>
        <w:ind w:firstLine="708"/>
        <w:jc w:val="both"/>
        <w:rPr>
          <w:rFonts w:ascii="Times New Roman" w:hAnsi="Times New Roman"/>
          <w:sz w:val="28"/>
          <w:szCs w:val="28"/>
        </w:rPr>
      </w:pPr>
      <w:r w:rsidRPr="0048227C">
        <w:rPr>
          <w:rFonts w:ascii="Times New Roman" w:hAnsi="Times New Roman"/>
          <w:sz w:val="28"/>
          <w:szCs w:val="28"/>
        </w:rPr>
        <w:lastRenderedPageBreak/>
        <w:t xml:space="preserve">Развитие сотрудничества России и Китая в нефтяной сфере происходит в результате эффективного освоения ресурсов и запасов Сибири и Дальнего Востока, шельфа арктических и дальневосточных морей, создания транспортной инфраструктуры поставок. </w:t>
      </w:r>
    </w:p>
    <w:p w:rsidR="00BB5DC7" w:rsidRPr="0048227C"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Сегодня </w:t>
      </w:r>
      <w:r w:rsidRPr="0048227C">
        <w:rPr>
          <w:rFonts w:ascii="Times New Roman" w:hAnsi="Times New Roman"/>
          <w:sz w:val="28"/>
          <w:szCs w:val="28"/>
        </w:rPr>
        <w:t>основн</w:t>
      </w:r>
      <w:r>
        <w:rPr>
          <w:rFonts w:ascii="Times New Roman" w:hAnsi="Times New Roman"/>
          <w:sz w:val="28"/>
          <w:szCs w:val="28"/>
        </w:rPr>
        <w:t>ые</w:t>
      </w:r>
      <w:r w:rsidRPr="0048227C">
        <w:rPr>
          <w:rFonts w:ascii="Times New Roman" w:hAnsi="Times New Roman"/>
          <w:sz w:val="28"/>
          <w:szCs w:val="28"/>
        </w:rPr>
        <w:t xml:space="preserve"> </w:t>
      </w:r>
      <w:r>
        <w:rPr>
          <w:rFonts w:ascii="Times New Roman" w:hAnsi="Times New Roman"/>
          <w:sz w:val="28"/>
          <w:szCs w:val="28"/>
        </w:rPr>
        <w:t xml:space="preserve">поставки нефти в Китай </w:t>
      </w:r>
      <w:r w:rsidRPr="0048227C">
        <w:rPr>
          <w:rFonts w:ascii="Times New Roman" w:hAnsi="Times New Roman"/>
          <w:sz w:val="28"/>
          <w:szCs w:val="28"/>
        </w:rPr>
        <w:t xml:space="preserve">ведутся по </w:t>
      </w:r>
      <w:r>
        <w:rPr>
          <w:rFonts w:ascii="Times New Roman" w:hAnsi="Times New Roman"/>
          <w:sz w:val="28"/>
          <w:szCs w:val="28"/>
        </w:rPr>
        <w:t>трубопроводной системе</w:t>
      </w:r>
      <w:r w:rsidRPr="0048227C">
        <w:rPr>
          <w:rFonts w:ascii="Times New Roman" w:hAnsi="Times New Roman"/>
          <w:sz w:val="28"/>
          <w:szCs w:val="28"/>
        </w:rPr>
        <w:t>. При растущем потреблении нефти в Китае российские сырьевые ресурсы, крупнейшие в мире и территориально наиболее приближенные к Китаю, являются одними из важнейших приоритетов для китайских компаний.</w:t>
      </w:r>
    </w:p>
    <w:p w:rsidR="00BB5DC7" w:rsidRDefault="00BB5DC7" w:rsidP="00BB5DC7">
      <w:pPr>
        <w:spacing w:after="0" w:line="360" w:lineRule="auto"/>
        <w:ind w:firstLine="708"/>
        <w:jc w:val="both"/>
        <w:rPr>
          <w:rFonts w:ascii="Times New Roman" w:hAnsi="Times New Roman"/>
          <w:sz w:val="28"/>
          <w:szCs w:val="28"/>
        </w:rPr>
      </w:pPr>
      <w:r w:rsidRPr="0048227C">
        <w:rPr>
          <w:rFonts w:ascii="Times New Roman" w:hAnsi="Times New Roman"/>
          <w:sz w:val="28"/>
          <w:szCs w:val="28"/>
        </w:rPr>
        <w:t xml:space="preserve">Со стороны России осуществлен ряд действий по допуску китайских корпораций к разведке и добыче нефти на территории РФ. </w:t>
      </w:r>
      <w:r>
        <w:rPr>
          <w:rFonts w:ascii="Times New Roman" w:hAnsi="Times New Roman"/>
          <w:sz w:val="28"/>
          <w:szCs w:val="28"/>
        </w:rPr>
        <w:t>В частности, к</w:t>
      </w:r>
      <w:r w:rsidRPr="0048227C">
        <w:rPr>
          <w:rFonts w:ascii="Times New Roman" w:hAnsi="Times New Roman"/>
          <w:sz w:val="28"/>
          <w:szCs w:val="28"/>
        </w:rPr>
        <w:t xml:space="preserve">итайская нефтехимическая </w:t>
      </w:r>
      <w:r>
        <w:rPr>
          <w:rFonts w:ascii="Times New Roman" w:hAnsi="Times New Roman"/>
          <w:sz w:val="28"/>
          <w:szCs w:val="28"/>
        </w:rPr>
        <w:t>корпорация «</w:t>
      </w:r>
      <w:proofErr w:type="spellStart"/>
      <w:r>
        <w:rPr>
          <w:rFonts w:ascii="Times New Roman" w:hAnsi="Times New Roman"/>
          <w:sz w:val="28"/>
          <w:szCs w:val="28"/>
        </w:rPr>
        <w:t>Sinopec</w:t>
      </w:r>
      <w:proofErr w:type="spellEnd"/>
      <w:r>
        <w:rPr>
          <w:rFonts w:ascii="Times New Roman" w:hAnsi="Times New Roman"/>
          <w:sz w:val="28"/>
          <w:szCs w:val="28"/>
        </w:rPr>
        <w:t>» владеет 49</w:t>
      </w:r>
      <w:r w:rsidRPr="0048227C">
        <w:rPr>
          <w:rFonts w:ascii="Times New Roman" w:hAnsi="Times New Roman"/>
          <w:sz w:val="28"/>
          <w:szCs w:val="28"/>
        </w:rPr>
        <w:t xml:space="preserve">% одного из крупных действующих нефтедобывающих предприятий </w:t>
      </w:r>
      <w:r>
        <w:rPr>
          <w:rFonts w:ascii="Times New Roman" w:hAnsi="Times New Roman"/>
          <w:sz w:val="28"/>
          <w:szCs w:val="28"/>
        </w:rPr>
        <w:t>-</w:t>
      </w:r>
      <w:r w:rsidRPr="0048227C">
        <w:rPr>
          <w:rFonts w:ascii="Times New Roman" w:hAnsi="Times New Roman"/>
          <w:sz w:val="28"/>
          <w:szCs w:val="28"/>
        </w:rPr>
        <w:t xml:space="preserve"> ОАО «</w:t>
      </w:r>
      <w:proofErr w:type="spellStart"/>
      <w:r w:rsidRPr="0048227C">
        <w:rPr>
          <w:rFonts w:ascii="Times New Roman" w:hAnsi="Times New Roman"/>
          <w:sz w:val="28"/>
          <w:szCs w:val="28"/>
        </w:rPr>
        <w:t>Удмуртнефть</w:t>
      </w:r>
      <w:proofErr w:type="spellEnd"/>
      <w:r w:rsidRPr="0048227C">
        <w:rPr>
          <w:rFonts w:ascii="Times New Roman" w:hAnsi="Times New Roman"/>
          <w:sz w:val="28"/>
          <w:szCs w:val="28"/>
        </w:rPr>
        <w:t>». НК «Роснефть» совместно с «</w:t>
      </w:r>
      <w:proofErr w:type="spellStart"/>
      <w:r w:rsidRPr="0048227C">
        <w:rPr>
          <w:rFonts w:ascii="Times New Roman" w:hAnsi="Times New Roman"/>
          <w:sz w:val="28"/>
          <w:szCs w:val="28"/>
        </w:rPr>
        <w:t>Sinopec</w:t>
      </w:r>
      <w:proofErr w:type="spellEnd"/>
      <w:r w:rsidRPr="0048227C">
        <w:rPr>
          <w:rFonts w:ascii="Times New Roman" w:hAnsi="Times New Roman"/>
          <w:sz w:val="28"/>
          <w:szCs w:val="28"/>
        </w:rPr>
        <w:t xml:space="preserve">» ведет поисково-разведочные работы на </w:t>
      </w:r>
      <w:proofErr w:type="spellStart"/>
      <w:r w:rsidRPr="0048227C">
        <w:rPr>
          <w:rFonts w:ascii="Times New Roman" w:hAnsi="Times New Roman"/>
          <w:sz w:val="28"/>
          <w:szCs w:val="28"/>
        </w:rPr>
        <w:t>Венинском</w:t>
      </w:r>
      <w:proofErr w:type="spellEnd"/>
      <w:r w:rsidRPr="0048227C">
        <w:rPr>
          <w:rFonts w:ascii="Times New Roman" w:hAnsi="Times New Roman"/>
          <w:sz w:val="28"/>
          <w:szCs w:val="28"/>
        </w:rPr>
        <w:t xml:space="preserve"> лицензионном участке проекта «Сахалин-3». Доля </w:t>
      </w:r>
      <w:proofErr w:type="spellStart"/>
      <w:r w:rsidRPr="0048227C">
        <w:rPr>
          <w:rFonts w:ascii="Times New Roman" w:hAnsi="Times New Roman"/>
          <w:sz w:val="28"/>
          <w:szCs w:val="28"/>
        </w:rPr>
        <w:t>Sinopec</w:t>
      </w:r>
      <w:proofErr w:type="spellEnd"/>
      <w:r w:rsidRPr="0048227C">
        <w:rPr>
          <w:rFonts w:ascii="Times New Roman" w:hAnsi="Times New Roman"/>
          <w:sz w:val="28"/>
          <w:szCs w:val="28"/>
        </w:rPr>
        <w:t xml:space="preserve"> в проекте составляет 25,1%. Компан</w:t>
      </w:r>
      <w:r>
        <w:rPr>
          <w:rFonts w:ascii="Times New Roman" w:hAnsi="Times New Roman"/>
          <w:sz w:val="28"/>
          <w:szCs w:val="28"/>
        </w:rPr>
        <w:t>ия «</w:t>
      </w:r>
      <w:proofErr w:type="spellStart"/>
      <w:r>
        <w:rPr>
          <w:rFonts w:ascii="Times New Roman" w:hAnsi="Times New Roman"/>
          <w:sz w:val="28"/>
          <w:szCs w:val="28"/>
        </w:rPr>
        <w:t>PetroChina</w:t>
      </w:r>
      <w:proofErr w:type="spellEnd"/>
      <w:r>
        <w:rPr>
          <w:rFonts w:ascii="Times New Roman" w:hAnsi="Times New Roman"/>
          <w:sz w:val="28"/>
          <w:szCs w:val="28"/>
        </w:rPr>
        <w:t>» контролирует 49</w:t>
      </w:r>
      <w:r w:rsidRPr="0048227C">
        <w:rPr>
          <w:rFonts w:ascii="Times New Roman" w:hAnsi="Times New Roman"/>
          <w:sz w:val="28"/>
          <w:szCs w:val="28"/>
        </w:rPr>
        <w:t>% СП «Восток-</w:t>
      </w:r>
      <w:proofErr w:type="spellStart"/>
      <w:r w:rsidRPr="0048227C">
        <w:rPr>
          <w:rFonts w:ascii="Times New Roman" w:hAnsi="Times New Roman"/>
          <w:sz w:val="28"/>
          <w:szCs w:val="28"/>
        </w:rPr>
        <w:t>Энерджи</w:t>
      </w:r>
      <w:proofErr w:type="spellEnd"/>
      <w:r w:rsidRPr="0048227C">
        <w:rPr>
          <w:rFonts w:ascii="Times New Roman" w:hAnsi="Times New Roman"/>
          <w:sz w:val="28"/>
          <w:szCs w:val="28"/>
        </w:rPr>
        <w:t>», владеющим двумя лицензиями на разведку и разработку участков недр в Иркутской области</w:t>
      </w:r>
      <w:r>
        <w:rPr>
          <w:rStyle w:val="a8"/>
          <w:rFonts w:ascii="Times New Roman" w:hAnsi="Times New Roman"/>
          <w:sz w:val="28"/>
          <w:szCs w:val="28"/>
        </w:rPr>
        <w:footnoteReference w:id="56"/>
      </w:r>
      <w:r w:rsidRPr="0048227C">
        <w:rPr>
          <w:rFonts w:ascii="Times New Roman" w:hAnsi="Times New Roman"/>
          <w:sz w:val="28"/>
          <w:szCs w:val="28"/>
        </w:rPr>
        <w:t xml:space="preserve">. </w:t>
      </w:r>
    </w:p>
    <w:p w:rsidR="00BB5DC7" w:rsidRPr="0048227C" w:rsidRDefault="00BB5DC7" w:rsidP="00BB5DC7">
      <w:pPr>
        <w:spacing w:after="0" w:line="360" w:lineRule="auto"/>
        <w:ind w:firstLine="708"/>
        <w:jc w:val="both"/>
        <w:rPr>
          <w:rFonts w:ascii="Times New Roman" w:hAnsi="Times New Roman"/>
          <w:sz w:val="28"/>
          <w:szCs w:val="28"/>
        </w:rPr>
      </w:pPr>
      <w:r w:rsidRPr="0048227C">
        <w:rPr>
          <w:rFonts w:ascii="Times New Roman" w:hAnsi="Times New Roman"/>
          <w:sz w:val="28"/>
          <w:szCs w:val="28"/>
        </w:rPr>
        <w:t>В 2009 году был подписан Меморандум о сотрудничестве в нефтяной сфере, предусматривающий долгосрочные поставки нефти на приемлемых для обеих сторон условиях кредитования. Китайская сторона предоставила российским компаниям «Роснефть» и «</w:t>
      </w:r>
      <w:proofErr w:type="spellStart"/>
      <w:r w:rsidRPr="0048227C">
        <w:rPr>
          <w:rFonts w:ascii="Times New Roman" w:hAnsi="Times New Roman"/>
          <w:sz w:val="28"/>
          <w:szCs w:val="28"/>
        </w:rPr>
        <w:t>Транснефть</w:t>
      </w:r>
      <w:proofErr w:type="spellEnd"/>
      <w:r w:rsidRPr="0048227C">
        <w:rPr>
          <w:rFonts w:ascii="Times New Roman" w:hAnsi="Times New Roman"/>
          <w:sz w:val="28"/>
          <w:szCs w:val="28"/>
        </w:rPr>
        <w:t>» крупный кредит на э</w:t>
      </w:r>
      <w:r>
        <w:rPr>
          <w:rFonts w:ascii="Times New Roman" w:hAnsi="Times New Roman"/>
          <w:sz w:val="28"/>
          <w:szCs w:val="28"/>
        </w:rPr>
        <w:t>ти цели в размере 25 млрд. долларов</w:t>
      </w:r>
      <w:r w:rsidRPr="0048227C">
        <w:rPr>
          <w:rFonts w:ascii="Times New Roman" w:hAnsi="Times New Roman"/>
          <w:sz w:val="28"/>
          <w:szCs w:val="28"/>
        </w:rPr>
        <w:t xml:space="preserve"> на 20 лет по ставке 5% в год. Взамен Китай будет получать в течение этого срока 15 млн. т нефти ежегодно. </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В это же время было заключено соглашение между «</w:t>
      </w:r>
      <w:proofErr w:type="spellStart"/>
      <w:r>
        <w:rPr>
          <w:rFonts w:ascii="Times New Roman" w:hAnsi="Times New Roman"/>
          <w:sz w:val="28"/>
          <w:szCs w:val="28"/>
        </w:rPr>
        <w:t>Транснефтью</w:t>
      </w:r>
      <w:proofErr w:type="spellEnd"/>
      <w:r>
        <w:rPr>
          <w:rFonts w:ascii="Times New Roman" w:hAnsi="Times New Roman"/>
          <w:sz w:val="28"/>
          <w:szCs w:val="28"/>
        </w:rPr>
        <w:t>» и КННК о строительстве и эксплуатации нефтепровода Сковородино-</w:t>
      </w:r>
      <w:proofErr w:type="spellStart"/>
      <w:r>
        <w:rPr>
          <w:rFonts w:ascii="Times New Roman" w:hAnsi="Times New Roman"/>
          <w:sz w:val="28"/>
          <w:szCs w:val="28"/>
        </w:rPr>
        <w:t>Мохэ</w:t>
      </w:r>
      <w:proofErr w:type="spellEnd"/>
      <w:r>
        <w:rPr>
          <w:rFonts w:ascii="Times New Roman" w:hAnsi="Times New Roman"/>
          <w:sz w:val="28"/>
          <w:szCs w:val="28"/>
        </w:rPr>
        <w:t xml:space="preserve">. В этом документе было прописано, что вначале в Китай предполагалось </w:t>
      </w:r>
      <w:r>
        <w:rPr>
          <w:rFonts w:ascii="Times New Roman" w:hAnsi="Times New Roman"/>
          <w:sz w:val="28"/>
          <w:szCs w:val="28"/>
        </w:rPr>
        <w:lastRenderedPageBreak/>
        <w:t>поставлять в основном нефть из Западной Сибири в объеме 15 млн. тонн в год. В перспективе пропускная способность трубопровода может быть увеличена до 30 млн. тонн в год, все будет зависеть от разработки «Роснефтью» месторождений в Восточной Сибири.</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 xml:space="preserve"> В конце апреля 2009 года было подписано также соглашение между правительствами двух стран о нефтяном сотрудничестве на 23 года. Спустя неделю в 40 км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Сковородино</w:t>
      </w:r>
      <w:proofErr w:type="gramEnd"/>
      <w:r>
        <w:rPr>
          <w:rFonts w:ascii="Times New Roman" w:hAnsi="Times New Roman"/>
          <w:sz w:val="28"/>
          <w:szCs w:val="28"/>
        </w:rPr>
        <w:t xml:space="preserve"> в присутствии премьер-министров РФ и КНР, а также руководства нефтяных компаний был торжественно сварен первый стык нефтепровода Сковородино-</w:t>
      </w:r>
      <w:proofErr w:type="spellStart"/>
      <w:r>
        <w:rPr>
          <w:rFonts w:ascii="Times New Roman" w:hAnsi="Times New Roman"/>
          <w:sz w:val="28"/>
          <w:szCs w:val="28"/>
        </w:rPr>
        <w:t>Мохэ</w:t>
      </w:r>
      <w:proofErr w:type="spellEnd"/>
      <w:r>
        <w:rPr>
          <w:rStyle w:val="a8"/>
          <w:rFonts w:ascii="Times New Roman" w:hAnsi="Times New Roman"/>
          <w:sz w:val="28"/>
          <w:szCs w:val="28"/>
        </w:rPr>
        <w:footnoteReference w:id="57"/>
      </w:r>
      <w:r>
        <w:rPr>
          <w:rFonts w:ascii="Times New Roman" w:hAnsi="Times New Roman"/>
          <w:sz w:val="28"/>
          <w:szCs w:val="28"/>
        </w:rPr>
        <w:t>.</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В сентябре 2010 года было закончено строительство нефтепровода Сковородино-Дацин, поставки по нему начались уже в январе 2011 года. Согласно подписанному соглашению российские компании «</w:t>
      </w:r>
      <w:proofErr w:type="spellStart"/>
      <w:r>
        <w:rPr>
          <w:rFonts w:ascii="Times New Roman" w:hAnsi="Times New Roman"/>
          <w:sz w:val="28"/>
          <w:szCs w:val="28"/>
        </w:rPr>
        <w:t>Транснефть</w:t>
      </w:r>
      <w:proofErr w:type="spellEnd"/>
      <w:r>
        <w:rPr>
          <w:rFonts w:ascii="Times New Roman" w:hAnsi="Times New Roman"/>
          <w:sz w:val="28"/>
          <w:szCs w:val="28"/>
        </w:rPr>
        <w:t xml:space="preserve">» и «Роснефть» получили эксклюзивное право на доступ к нефтепроводу для осуществления поставок нефти в Китай в течение 20 лет. </w:t>
      </w:r>
    </w:p>
    <w:p w:rsidR="00BB5DC7" w:rsidRDefault="00BB5DC7" w:rsidP="00BB5DC7">
      <w:pPr>
        <w:spacing w:after="0" w:line="360" w:lineRule="auto"/>
        <w:jc w:val="both"/>
        <w:rPr>
          <w:rFonts w:ascii="Times New Roman" w:hAnsi="Times New Roman"/>
          <w:sz w:val="28"/>
          <w:szCs w:val="28"/>
        </w:rPr>
      </w:pPr>
      <w:r>
        <w:rPr>
          <w:rFonts w:ascii="Times New Roman" w:hAnsi="Times New Roman"/>
          <w:sz w:val="28"/>
          <w:szCs w:val="28"/>
        </w:rPr>
        <w:tab/>
        <w:t xml:space="preserve">Таким образом, для России сотрудничество с Китаем в нефтяной отрасли очень важно, особенно его значение усиливается в связи с кризисом отношений с государствами ЕС. Кроме того, КНР – это действительно перспективный быстрорастущий рынок сбыта. </w:t>
      </w:r>
    </w:p>
    <w:p w:rsidR="00BB5DC7" w:rsidRPr="002B6083" w:rsidRDefault="00BB5DC7" w:rsidP="00BB5DC7">
      <w:pPr>
        <w:spacing w:after="0" w:line="360" w:lineRule="auto"/>
        <w:jc w:val="both"/>
        <w:rPr>
          <w:rFonts w:ascii="Times New Roman" w:hAnsi="Times New Roman"/>
          <w:sz w:val="28"/>
          <w:szCs w:val="28"/>
        </w:rPr>
      </w:pPr>
    </w:p>
    <w:p w:rsidR="00BB5DC7" w:rsidRPr="009B5184" w:rsidRDefault="00BB5DC7" w:rsidP="00BB5DC7">
      <w:pPr>
        <w:pStyle w:val="2"/>
        <w:spacing w:before="0" w:after="0" w:line="360" w:lineRule="auto"/>
        <w:jc w:val="center"/>
        <w:rPr>
          <w:rFonts w:ascii="Times New Roman" w:hAnsi="Times New Roman"/>
          <w:i w:val="0"/>
        </w:rPr>
      </w:pPr>
      <w:bookmarkStart w:id="10" w:name="_Toc479667924"/>
      <w:r w:rsidRPr="009B5184">
        <w:rPr>
          <w:rFonts w:ascii="Times New Roman" w:hAnsi="Times New Roman"/>
          <w:i w:val="0"/>
        </w:rPr>
        <w:t>3.2 Перспективные направления взаимного энергетического сотрудничества в рамках БРИКС</w:t>
      </w:r>
      <w:bookmarkEnd w:id="10"/>
    </w:p>
    <w:p w:rsidR="00BB5DC7" w:rsidRDefault="00BB5DC7" w:rsidP="00BB5DC7">
      <w:pPr>
        <w:spacing w:after="0" w:line="360" w:lineRule="auto"/>
        <w:jc w:val="both"/>
        <w:rPr>
          <w:rFonts w:ascii="Times New Roman" w:hAnsi="Times New Roman"/>
          <w:sz w:val="28"/>
          <w:szCs w:val="28"/>
        </w:rPr>
      </w:pP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Очевидно, что в своем взаимодействии ст</w:t>
      </w:r>
      <w:r>
        <w:rPr>
          <w:rFonts w:ascii="Times New Roman" w:hAnsi="Times New Roman"/>
          <w:sz w:val="28"/>
          <w:szCs w:val="28"/>
        </w:rPr>
        <w:t>р</w:t>
      </w:r>
      <w:r w:rsidRPr="00EF5448">
        <w:rPr>
          <w:rFonts w:ascii="Times New Roman" w:hAnsi="Times New Roman"/>
          <w:sz w:val="28"/>
          <w:szCs w:val="28"/>
        </w:rPr>
        <w:t xml:space="preserve">аны БРИКС имеют большой потенциал в области повышения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и разработки </w:t>
      </w:r>
      <w:proofErr w:type="spellStart"/>
      <w:r w:rsidRPr="00EF5448">
        <w:rPr>
          <w:rFonts w:ascii="Times New Roman" w:hAnsi="Times New Roman"/>
          <w:sz w:val="28"/>
          <w:szCs w:val="28"/>
        </w:rPr>
        <w:t>энергоэффективных</w:t>
      </w:r>
      <w:proofErr w:type="spellEnd"/>
      <w:r w:rsidRPr="00EF5448">
        <w:rPr>
          <w:rFonts w:ascii="Times New Roman" w:hAnsi="Times New Roman"/>
          <w:sz w:val="28"/>
          <w:szCs w:val="28"/>
        </w:rPr>
        <w:t xml:space="preserve"> технологий. </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Развитие именно этих направлений является первостепенной задачей властей и бизнеса в странах БРИКС. По оценкам Международного </w:t>
      </w:r>
      <w:r w:rsidRPr="00EF5448">
        <w:rPr>
          <w:rFonts w:ascii="Times New Roman" w:hAnsi="Times New Roman"/>
          <w:sz w:val="28"/>
          <w:szCs w:val="28"/>
        </w:rPr>
        <w:lastRenderedPageBreak/>
        <w:t>энергетического агентства, сделанным в прошлом году, суммарные инвестиции на эти цели в странах БРИК (без ЮАР) за 2014-2035 гг. могут составить свыше 2,2 трлн</w:t>
      </w:r>
      <w:r>
        <w:rPr>
          <w:rFonts w:ascii="Times New Roman" w:hAnsi="Times New Roman"/>
          <w:sz w:val="28"/>
          <w:szCs w:val="28"/>
        </w:rPr>
        <w:t>. долл.</w:t>
      </w:r>
      <w:r>
        <w:rPr>
          <w:rStyle w:val="a8"/>
          <w:rFonts w:ascii="Times New Roman" w:hAnsi="Times New Roman"/>
          <w:sz w:val="28"/>
          <w:szCs w:val="28"/>
        </w:rPr>
        <w:footnoteReference w:id="58"/>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Со стороны России исходит инициатива сотрудничества в области энергосбережения, повышения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и развития </w:t>
      </w:r>
      <w:proofErr w:type="spellStart"/>
      <w:r w:rsidRPr="00EF5448">
        <w:rPr>
          <w:rFonts w:ascii="Times New Roman" w:hAnsi="Times New Roman"/>
          <w:sz w:val="28"/>
          <w:szCs w:val="28"/>
        </w:rPr>
        <w:t>энергоэффективных</w:t>
      </w:r>
      <w:proofErr w:type="spellEnd"/>
      <w:r w:rsidRPr="00EF5448">
        <w:rPr>
          <w:rFonts w:ascii="Times New Roman" w:hAnsi="Times New Roman"/>
          <w:sz w:val="28"/>
          <w:szCs w:val="28"/>
        </w:rPr>
        <w:t xml:space="preserve"> технологий. В Уфимской декларации особо отмечены именно эти направления. Вместе с тем в 2015 году состоялась первая официальная встреча стран БРИКС по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Рабочая группа, организованная при Минэнерго РФ, подготовила проект Меморандума о взаимопонимании в области энергосбережения и повышения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между министерствами и ведомствами стран БРИКС. Официальное подписание документа состоялось в Москве в ходе встречи министров энергетики стран БРИКС в рамках международного форума по энергосбережению и повышению </w:t>
      </w:r>
      <w:proofErr w:type="spellStart"/>
      <w:r w:rsidRPr="00EF5448">
        <w:rPr>
          <w:rFonts w:ascii="Times New Roman" w:hAnsi="Times New Roman"/>
          <w:sz w:val="28"/>
          <w:szCs w:val="28"/>
        </w:rPr>
        <w:t>энергоэффективности</w:t>
      </w:r>
      <w:proofErr w:type="spellEnd"/>
      <w:r w:rsidRPr="00EF5448">
        <w:rPr>
          <w:rFonts w:ascii="Times New Roman" w:hAnsi="Times New Roman"/>
          <w:sz w:val="28"/>
          <w:szCs w:val="28"/>
        </w:rPr>
        <w:t xml:space="preserve"> ENES-2015.</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Широкие перспективы при всестороннем взаимодействии стран БРИКС открываются в области разработки новых технологий и материалов для возобновляемой энергетики и технологий аккумулирования энергии. Достижения в этой области есть у всех стран БРИКС, при слиянии усилий они могут обеспечить себе мировое лидерство в этом направлении. Таким образом, в первую очередь все старания могут быть устремлены на коллективную разработку:</w:t>
      </w:r>
    </w:p>
    <w:p w:rsidR="00BB5DC7" w:rsidRPr="00EF5448" w:rsidRDefault="00BB5DC7" w:rsidP="00BB5DC7">
      <w:pPr>
        <w:numPr>
          <w:ilvl w:val="0"/>
          <w:numId w:val="7"/>
        </w:numPr>
        <w:spacing w:after="0" w:line="360" w:lineRule="auto"/>
        <w:jc w:val="both"/>
        <w:rPr>
          <w:rFonts w:ascii="Times New Roman" w:hAnsi="Times New Roman"/>
          <w:sz w:val="28"/>
          <w:szCs w:val="28"/>
        </w:rPr>
      </w:pPr>
      <w:r w:rsidRPr="00EF5448">
        <w:rPr>
          <w:rFonts w:ascii="Times New Roman" w:hAnsi="Times New Roman"/>
          <w:sz w:val="28"/>
          <w:szCs w:val="28"/>
        </w:rPr>
        <w:t>новейшего поколения солнечных элементов с максимальным КПД до 93%;</w:t>
      </w:r>
    </w:p>
    <w:p w:rsidR="00BB5DC7" w:rsidRPr="00EF5448" w:rsidRDefault="00BB5DC7" w:rsidP="00BB5DC7">
      <w:pPr>
        <w:numPr>
          <w:ilvl w:val="0"/>
          <w:numId w:val="7"/>
        </w:numPr>
        <w:spacing w:after="0" w:line="360" w:lineRule="auto"/>
        <w:jc w:val="both"/>
        <w:rPr>
          <w:rFonts w:ascii="Times New Roman" w:hAnsi="Times New Roman"/>
          <w:sz w:val="28"/>
          <w:szCs w:val="28"/>
        </w:rPr>
      </w:pPr>
      <w:proofErr w:type="gramStart"/>
      <w:r w:rsidRPr="00EF5448">
        <w:rPr>
          <w:rFonts w:ascii="Times New Roman" w:hAnsi="Times New Roman"/>
          <w:sz w:val="28"/>
          <w:szCs w:val="28"/>
        </w:rPr>
        <w:t>тонкопленочных</w:t>
      </w:r>
      <w:proofErr w:type="gramEnd"/>
      <w:r w:rsidRPr="00EF5448">
        <w:rPr>
          <w:rFonts w:ascii="Times New Roman" w:hAnsi="Times New Roman"/>
          <w:sz w:val="28"/>
          <w:szCs w:val="28"/>
        </w:rPr>
        <w:t xml:space="preserve"> ФЭП, разработанных при помощи технологии CIGS и монокристаллических ФЭП с двусторонней повышенной чувствительностью;</w:t>
      </w:r>
    </w:p>
    <w:p w:rsidR="00BB5DC7" w:rsidRPr="00EF5448" w:rsidRDefault="00BB5DC7" w:rsidP="00BB5DC7">
      <w:pPr>
        <w:numPr>
          <w:ilvl w:val="0"/>
          <w:numId w:val="7"/>
        </w:numPr>
        <w:spacing w:after="0" w:line="360" w:lineRule="auto"/>
        <w:jc w:val="both"/>
        <w:rPr>
          <w:rFonts w:ascii="Times New Roman" w:hAnsi="Times New Roman"/>
          <w:sz w:val="28"/>
          <w:szCs w:val="28"/>
        </w:rPr>
      </w:pPr>
      <w:r w:rsidRPr="00EF5448">
        <w:rPr>
          <w:rFonts w:ascii="Times New Roman" w:hAnsi="Times New Roman"/>
          <w:sz w:val="28"/>
          <w:szCs w:val="28"/>
        </w:rPr>
        <w:lastRenderedPageBreak/>
        <w:t>усовершенствованных полимерных композиционных технологий и материалов;</w:t>
      </w:r>
    </w:p>
    <w:p w:rsidR="00BB5DC7" w:rsidRPr="00EF5448" w:rsidRDefault="00BB5DC7" w:rsidP="00BB5DC7">
      <w:pPr>
        <w:numPr>
          <w:ilvl w:val="0"/>
          <w:numId w:val="7"/>
        </w:numPr>
        <w:spacing w:after="0" w:line="360" w:lineRule="auto"/>
        <w:jc w:val="both"/>
        <w:rPr>
          <w:rFonts w:ascii="Times New Roman" w:hAnsi="Times New Roman"/>
          <w:sz w:val="28"/>
          <w:szCs w:val="28"/>
        </w:rPr>
      </w:pPr>
      <w:r w:rsidRPr="00EF5448">
        <w:rPr>
          <w:rFonts w:ascii="Times New Roman" w:hAnsi="Times New Roman"/>
          <w:sz w:val="28"/>
          <w:szCs w:val="28"/>
        </w:rPr>
        <w:t>накопителей электроэнергии с разнообразными типами и назначениями;</w:t>
      </w:r>
    </w:p>
    <w:p w:rsidR="00BB5DC7" w:rsidRPr="00EF5448" w:rsidRDefault="00BB5DC7" w:rsidP="00BB5DC7">
      <w:pPr>
        <w:numPr>
          <w:ilvl w:val="0"/>
          <w:numId w:val="7"/>
        </w:numPr>
        <w:spacing w:after="0" w:line="360" w:lineRule="auto"/>
        <w:jc w:val="both"/>
        <w:rPr>
          <w:rFonts w:ascii="Times New Roman" w:hAnsi="Times New Roman"/>
          <w:sz w:val="28"/>
          <w:szCs w:val="28"/>
        </w:rPr>
      </w:pPr>
      <w:r w:rsidRPr="00EF5448">
        <w:rPr>
          <w:rFonts w:ascii="Times New Roman" w:hAnsi="Times New Roman"/>
          <w:sz w:val="28"/>
          <w:szCs w:val="28"/>
        </w:rPr>
        <w:t>промышленных накопителей энергии повышенной мощности</w:t>
      </w:r>
      <w:r>
        <w:rPr>
          <w:rStyle w:val="a8"/>
          <w:rFonts w:ascii="Times New Roman" w:hAnsi="Times New Roman"/>
          <w:sz w:val="28"/>
          <w:szCs w:val="28"/>
        </w:rPr>
        <w:footnoteReference w:id="59"/>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В то же время необходимо развивать такие перспективные направления, как:</w:t>
      </w:r>
    </w:p>
    <w:p w:rsidR="00BB5DC7" w:rsidRPr="00EF5448" w:rsidRDefault="00BB5DC7" w:rsidP="00BB5DC7">
      <w:pPr>
        <w:numPr>
          <w:ilvl w:val="0"/>
          <w:numId w:val="8"/>
        </w:numPr>
        <w:spacing w:after="0" w:line="360" w:lineRule="auto"/>
        <w:jc w:val="both"/>
        <w:rPr>
          <w:rFonts w:ascii="Times New Roman" w:hAnsi="Times New Roman"/>
          <w:sz w:val="28"/>
          <w:szCs w:val="28"/>
        </w:rPr>
      </w:pPr>
      <w:r w:rsidRPr="00EF5448">
        <w:rPr>
          <w:rFonts w:ascii="Times New Roman" w:hAnsi="Times New Roman"/>
          <w:sz w:val="28"/>
          <w:szCs w:val="28"/>
        </w:rPr>
        <w:t>сверхпроводящие материалы на основе «теплой» сверхпроводимости для транспорта с большими объемами электроэнергии при отправке на отдаленные расстояния с минимальными потерями;</w:t>
      </w:r>
    </w:p>
    <w:p w:rsidR="00BB5DC7" w:rsidRPr="00EF5448" w:rsidRDefault="00BB5DC7" w:rsidP="00BB5DC7">
      <w:pPr>
        <w:numPr>
          <w:ilvl w:val="0"/>
          <w:numId w:val="8"/>
        </w:numPr>
        <w:spacing w:after="0" w:line="360" w:lineRule="auto"/>
        <w:jc w:val="both"/>
        <w:rPr>
          <w:rFonts w:ascii="Times New Roman" w:hAnsi="Times New Roman"/>
          <w:sz w:val="28"/>
          <w:szCs w:val="28"/>
        </w:rPr>
      </w:pPr>
      <w:r w:rsidRPr="00EF5448">
        <w:rPr>
          <w:rFonts w:ascii="Times New Roman" w:hAnsi="Times New Roman"/>
          <w:sz w:val="28"/>
          <w:szCs w:val="28"/>
        </w:rPr>
        <w:t>сверхпроводящие индуктивные накопители электроэнергии повышенной емкости;</w:t>
      </w:r>
    </w:p>
    <w:p w:rsidR="00BB5DC7" w:rsidRPr="00EF5448" w:rsidRDefault="00BB5DC7" w:rsidP="00BB5DC7">
      <w:pPr>
        <w:numPr>
          <w:ilvl w:val="0"/>
          <w:numId w:val="8"/>
        </w:numPr>
        <w:spacing w:after="0" w:line="360" w:lineRule="auto"/>
        <w:jc w:val="both"/>
        <w:rPr>
          <w:rFonts w:ascii="Times New Roman" w:hAnsi="Times New Roman"/>
          <w:sz w:val="28"/>
          <w:szCs w:val="28"/>
        </w:rPr>
      </w:pPr>
      <w:r w:rsidRPr="00EF5448">
        <w:rPr>
          <w:rFonts w:ascii="Times New Roman" w:hAnsi="Times New Roman"/>
          <w:sz w:val="28"/>
          <w:szCs w:val="28"/>
        </w:rPr>
        <w:t>новейшие</w:t>
      </w:r>
      <w:r>
        <w:rPr>
          <w:rFonts w:ascii="Times New Roman" w:hAnsi="Times New Roman"/>
          <w:sz w:val="28"/>
          <w:szCs w:val="28"/>
        </w:rPr>
        <w:t xml:space="preserve"> микробные топливные элементы</w:t>
      </w:r>
      <w:r>
        <w:rPr>
          <w:rStyle w:val="a8"/>
          <w:rFonts w:ascii="Times New Roman" w:hAnsi="Times New Roman"/>
          <w:sz w:val="28"/>
          <w:szCs w:val="28"/>
        </w:rPr>
        <w:footnoteReference w:id="60"/>
      </w:r>
      <w:r w:rsidRPr="00EF5448">
        <w:rPr>
          <w:rFonts w:ascii="Times New Roman" w:hAnsi="Times New Roman"/>
          <w:sz w:val="28"/>
          <w:szCs w:val="28"/>
        </w:rPr>
        <w:t>.</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Большим потенциалом в перечисленных направлениях обладает Россия. Для эффективной его реализации России следует обеспечить лидерство в сотрудничестве по данным направлениям. В перечень необходимых мероприятий входит создание в стране высокотехнологичного, универсального, </w:t>
      </w:r>
      <w:proofErr w:type="spellStart"/>
      <w:r w:rsidRPr="00EF5448">
        <w:rPr>
          <w:rFonts w:ascii="Times New Roman" w:hAnsi="Times New Roman"/>
          <w:sz w:val="28"/>
          <w:szCs w:val="28"/>
        </w:rPr>
        <w:t>модернизационного</w:t>
      </w:r>
      <w:proofErr w:type="spellEnd"/>
      <w:r w:rsidRPr="00EF5448">
        <w:rPr>
          <w:rFonts w:ascii="Times New Roman" w:hAnsi="Times New Roman"/>
          <w:sz w:val="28"/>
          <w:szCs w:val="28"/>
        </w:rPr>
        <w:t xml:space="preserve"> ресурса, </w:t>
      </w:r>
      <w:proofErr w:type="spellStart"/>
      <w:r w:rsidRPr="00EF5448">
        <w:rPr>
          <w:rFonts w:ascii="Times New Roman" w:hAnsi="Times New Roman"/>
          <w:sz w:val="28"/>
          <w:szCs w:val="28"/>
        </w:rPr>
        <w:t>инновационно</w:t>
      </w:r>
      <w:proofErr w:type="spellEnd"/>
      <w:r w:rsidRPr="00EF5448">
        <w:rPr>
          <w:rFonts w:ascii="Times New Roman" w:hAnsi="Times New Roman"/>
          <w:sz w:val="28"/>
          <w:szCs w:val="28"/>
        </w:rPr>
        <w:t>-активного производства полного цикла в соответствующих областях, обеспечивающих развитие возобновляемой энергетики. Помимо этого следует:</w:t>
      </w:r>
    </w:p>
    <w:p w:rsidR="00BB5DC7" w:rsidRPr="00EF5448" w:rsidRDefault="00BB5DC7" w:rsidP="00BB5DC7">
      <w:pPr>
        <w:numPr>
          <w:ilvl w:val="0"/>
          <w:numId w:val="9"/>
        </w:numPr>
        <w:spacing w:after="0" w:line="360" w:lineRule="auto"/>
        <w:jc w:val="both"/>
        <w:rPr>
          <w:rFonts w:ascii="Times New Roman" w:hAnsi="Times New Roman"/>
          <w:sz w:val="28"/>
          <w:szCs w:val="28"/>
        </w:rPr>
      </w:pPr>
      <w:r w:rsidRPr="00EF5448">
        <w:rPr>
          <w:rFonts w:ascii="Times New Roman" w:hAnsi="Times New Roman"/>
          <w:sz w:val="28"/>
          <w:szCs w:val="28"/>
        </w:rPr>
        <w:t>сплотить старания представителей науки, государства, гражданского общества и бизнеса, которые заинтересованы в организации перспективных коммерческих технологий, а также новых продуктов и услуг;</w:t>
      </w:r>
    </w:p>
    <w:p w:rsidR="00BB5DC7" w:rsidRPr="00EF5448" w:rsidRDefault="00BB5DC7" w:rsidP="00BB5DC7">
      <w:pPr>
        <w:numPr>
          <w:ilvl w:val="0"/>
          <w:numId w:val="9"/>
        </w:numPr>
        <w:spacing w:after="0" w:line="360" w:lineRule="auto"/>
        <w:jc w:val="both"/>
        <w:rPr>
          <w:rFonts w:ascii="Times New Roman" w:hAnsi="Times New Roman"/>
          <w:sz w:val="28"/>
          <w:szCs w:val="28"/>
        </w:rPr>
      </w:pPr>
      <w:r w:rsidRPr="00EF5448">
        <w:rPr>
          <w:rFonts w:ascii="Times New Roman" w:hAnsi="Times New Roman"/>
          <w:sz w:val="28"/>
          <w:szCs w:val="28"/>
        </w:rPr>
        <w:t>дать стимул инновациям;</w:t>
      </w:r>
    </w:p>
    <w:p w:rsidR="00BB5DC7" w:rsidRPr="00EF5448" w:rsidRDefault="00BB5DC7" w:rsidP="00BB5DC7">
      <w:pPr>
        <w:numPr>
          <w:ilvl w:val="0"/>
          <w:numId w:val="9"/>
        </w:numPr>
        <w:spacing w:after="0" w:line="360" w:lineRule="auto"/>
        <w:jc w:val="both"/>
        <w:rPr>
          <w:rFonts w:ascii="Times New Roman" w:hAnsi="Times New Roman"/>
          <w:sz w:val="28"/>
          <w:szCs w:val="28"/>
        </w:rPr>
      </w:pPr>
      <w:r w:rsidRPr="00EF5448">
        <w:rPr>
          <w:rFonts w:ascii="Times New Roman" w:hAnsi="Times New Roman"/>
          <w:sz w:val="28"/>
          <w:szCs w:val="28"/>
        </w:rPr>
        <w:lastRenderedPageBreak/>
        <w:t>увеличить научно-производственную кооперацию и стимулировать формирование новых партнерств;</w:t>
      </w:r>
    </w:p>
    <w:p w:rsidR="00BB5DC7" w:rsidRPr="00EF5448" w:rsidRDefault="00BB5DC7" w:rsidP="00BB5DC7">
      <w:pPr>
        <w:numPr>
          <w:ilvl w:val="0"/>
          <w:numId w:val="9"/>
        </w:numPr>
        <w:spacing w:after="0" w:line="360" w:lineRule="auto"/>
        <w:jc w:val="both"/>
        <w:rPr>
          <w:rFonts w:ascii="Times New Roman" w:hAnsi="Times New Roman"/>
          <w:sz w:val="28"/>
          <w:szCs w:val="28"/>
        </w:rPr>
      </w:pPr>
      <w:r w:rsidRPr="00EF5448">
        <w:rPr>
          <w:rFonts w:ascii="Times New Roman" w:hAnsi="Times New Roman"/>
          <w:sz w:val="28"/>
          <w:szCs w:val="28"/>
        </w:rPr>
        <w:t>обеспечивать поддержкой научно-техническую деятельность и процессы модернизации предприятий.</w:t>
      </w:r>
    </w:p>
    <w:p w:rsidR="00BB5DC7" w:rsidRPr="00EF5448"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t xml:space="preserve">Другими </w:t>
      </w:r>
      <w:r w:rsidRPr="00EF5448">
        <w:rPr>
          <w:rFonts w:ascii="Times New Roman" w:hAnsi="Times New Roman"/>
          <w:sz w:val="28"/>
          <w:szCs w:val="28"/>
        </w:rPr>
        <w:t>словами, всего, что относится к понятию ресурсно-инновационного пути развития страны. В настоящее время об этом довольно много говорится, но для перехода на такой путь почти ничего не делается.</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 xml:space="preserve">В завершение стоит отметить, для того чтобы решить проблемы, затронутые в статье, а именно: обеспечение </w:t>
      </w:r>
      <w:proofErr w:type="spellStart"/>
      <w:r w:rsidRPr="00EF5448">
        <w:rPr>
          <w:rFonts w:ascii="Times New Roman" w:hAnsi="Times New Roman"/>
          <w:sz w:val="28"/>
          <w:szCs w:val="28"/>
        </w:rPr>
        <w:t>инновационно</w:t>
      </w:r>
      <w:proofErr w:type="spellEnd"/>
      <w:r w:rsidRPr="00EF5448">
        <w:rPr>
          <w:rFonts w:ascii="Times New Roman" w:hAnsi="Times New Roman"/>
          <w:sz w:val="28"/>
          <w:szCs w:val="28"/>
        </w:rPr>
        <w:t>-технологического партнерства со странами БРИКС в энергетической сфере, переход к ресурсно-инновационному развитию российской экономики – нужно, в первую очередь, организовать эффективные условия для привлечения финансовых ресурсов к осуществлению инновационных проектов РФ.</w:t>
      </w:r>
    </w:p>
    <w:p w:rsidR="00BB5DC7" w:rsidRPr="00EF5448"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Одним из путей для достижения поставленных задач является отказ от «остаточного принципа» государственного финансирования науки. Для этого нужно придать ей статус защищенной строки бюджета. Вместе с этим нужно выработать и исполнить механизмы поддержки организаций, которые аккумулируют и устремляют финансовые ресурсы в инновационные проекты с повышенными рисками, начиная с самых ранних стадий разработки.</w:t>
      </w:r>
    </w:p>
    <w:p w:rsidR="00BB5DC7" w:rsidRDefault="00BB5DC7" w:rsidP="00BB5DC7">
      <w:pPr>
        <w:spacing w:after="0" w:line="360" w:lineRule="auto"/>
        <w:ind w:firstLine="708"/>
        <w:jc w:val="both"/>
        <w:rPr>
          <w:rFonts w:ascii="Times New Roman" w:hAnsi="Times New Roman"/>
          <w:sz w:val="28"/>
          <w:szCs w:val="28"/>
        </w:rPr>
      </w:pPr>
      <w:r w:rsidRPr="00EF5448">
        <w:rPr>
          <w:rFonts w:ascii="Times New Roman" w:hAnsi="Times New Roman"/>
          <w:sz w:val="28"/>
          <w:szCs w:val="28"/>
        </w:rPr>
        <w:t>При эффективном осуществлении озвученных мероприятий сотрудничество со странами БРИКС станет более эффективным. Это позволит придать новые импульсы развитию как углеводородной и атомной энергетики, так и возобновляемых источников энергии. И при этом гарантировать постоянное снабжение национальных экономик топливом и энергией, а также их энергетическую безопасность.</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1"/>
        <w:spacing w:before="0" w:after="0" w:line="360" w:lineRule="auto"/>
        <w:jc w:val="center"/>
        <w:rPr>
          <w:rFonts w:ascii="Times New Roman" w:hAnsi="Times New Roman"/>
          <w:sz w:val="28"/>
          <w:szCs w:val="28"/>
        </w:rPr>
      </w:pPr>
      <w:r>
        <w:br w:type="page"/>
      </w:r>
      <w:bookmarkStart w:id="11" w:name="_Toc479667925"/>
      <w:r w:rsidRPr="009B5184">
        <w:rPr>
          <w:rFonts w:ascii="Times New Roman" w:hAnsi="Times New Roman"/>
          <w:sz w:val="28"/>
          <w:szCs w:val="28"/>
        </w:rPr>
        <w:lastRenderedPageBreak/>
        <w:t>Заключение</w:t>
      </w:r>
      <w:bookmarkEnd w:id="11"/>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ind w:firstLine="708"/>
        <w:jc w:val="both"/>
        <w:rPr>
          <w:rFonts w:ascii="Times New Roman" w:hAnsi="Times New Roman"/>
          <w:sz w:val="28"/>
          <w:szCs w:val="28"/>
        </w:rPr>
      </w:pPr>
      <w:r w:rsidRPr="00DE1F7A">
        <w:rPr>
          <w:rFonts w:ascii="Times New Roman" w:hAnsi="Times New Roman"/>
          <w:sz w:val="28"/>
          <w:szCs w:val="28"/>
        </w:rPr>
        <w:t>В целом, рынок энергетики в настоящее время оказывает существенное влияние на мировую политику</w:t>
      </w:r>
      <w:r>
        <w:rPr>
          <w:rFonts w:ascii="Times New Roman" w:hAnsi="Times New Roman"/>
          <w:sz w:val="28"/>
          <w:szCs w:val="28"/>
        </w:rPr>
        <w:t>, мировую экономику</w:t>
      </w:r>
      <w:r w:rsidRPr="00DE1F7A">
        <w:rPr>
          <w:rFonts w:ascii="Times New Roman" w:hAnsi="Times New Roman"/>
          <w:sz w:val="28"/>
          <w:szCs w:val="28"/>
        </w:rPr>
        <w:t xml:space="preserve"> и систему международных отношений в целом, что подтверждают последние современные тенденции, получившие свои развитие в конце ХХ – начале </w:t>
      </w:r>
      <w:r w:rsidRPr="00DE1F7A">
        <w:rPr>
          <w:rFonts w:ascii="Times New Roman" w:hAnsi="Times New Roman"/>
          <w:sz w:val="28"/>
          <w:szCs w:val="28"/>
          <w:lang w:val="en-US"/>
        </w:rPr>
        <w:t>XXI</w:t>
      </w:r>
      <w:r w:rsidRPr="00DE1F7A">
        <w:rPr>
          <w:rFonts w:ascii="Times New Roman" w:hAnsi="Times New Roman"/>
          <w:sz w:val="28"/>
          <w:szCs w:val="28"/>
        </w:rPr>
        <w:t xml:space="preserve"> веков. </w:t>
      </w:r>
    </w:p>
    <w:p w:rsidR="00BB5DC7" w:rsidRPr="00DE1F7A" w:rsidRDefault="00BB5DC7" w:rsidP="00BB5DC7">
      <w:pPr>
        <w:spacing w:after="0" w:line="360" w:lineRule="auto"/>
        <w:ind w:firstLine="708"/>
        <w:jc w:val="both"/>
        <w:rPr>
          <w:rFonts w:ascii="Times New Roman" w:hAnsi="Times New Roman"/>
          <w:sz w:val="28"/>
          <w:szCs w:val="28"/>
        </w:rPr>
      </w:pPr>
      <w:r w:rsidRPr="00DE1F7A">
        <w:rPr>
          <w:rFonts w:ascii="Times New Roman" w:hAnsi="Times New Roman"/>
          <w:sz w:val="28"/>
          <w:szCs w:val="28"/>
        </w:rPr>
        <w:t xml:space="preserve">В настоящее время потребности </w:t>
      </w:r>
      <w:r>
        <w:rPr>
          <w:rFonts w:ascii="Times New Roman" w:hAnsi="Times New Roman"/>
          <w:sz w:val="28"/>
          <w:szCs w:val="28"/>
        </w:rPr>
        <w:t>всех государств БРИКС</w:t>
      </w:r>
      <w:r w:rsidRPr="00DE1F7A">
        <w:rPr>
          <w:rFonts w:ascii="Times New Roman" w:hAnsi="Times New Roman"/>
          <w:sz w:val="28"/>
          <w:szCs w:val="28"/>
        </w:rPr>
        <w:t xml:space="preserve"> в нефти, природном газе</w:t>
      </w:r>
      <w:r>
        <w:rPr>
          <w:rFonts w:ascii="Times New Roman" w:hAnsi="Times New Roman"/>
          <w:sz w:val="28"/>
          <w:szCs w:val="28"/>
        </w:rPr>
        <w:t xml:space="preserve">, </w:t>
      </w:r>
      <w:r w:rsidRPr="00DE1F7A">
        <w:rPr>
          <w:rFonts w:ascii="Times New Roman" w:hAnsi="Times New Roman"/>
          <w:sz w:val="28"/>
          <w:szCs w:val="28"/>
        </w:rPr>
        <w:t>электроэнергии</w:t>
      </w:r>
      <w:r>
        <w:rPr>
          <w:rFonts w:ascii="Times New Roman" w:hAnsi="Times New Roman"/>
          <w:sz w:val="28"/>
          <w:szCs w:val="28"/>
        </w:rPr>
        <w:t xml:space="preserve"> и других видах энергетических ресурсов</w:t>
      </w:r>
      <w:r w:rsidRPr="00DE1F7A">
        <w:rPr>
          <w:rFonts w:ascii="Times New Roman" w:hAnsi="Times New Roman"/>
          <w:sz w:val="28"/>
          <w:szCs w:val="28"/>
        </w:rPr>
        <w:t xml:space="preserve"> растут с каждым годом. </w:t>
      </w:r>
      <w:r>
        <w:rPr>
          <w:rFonts w:ascii="Times New Roman" w:hAnsi="Times New Roman"/>
          <w:sz w:val="28"/>
          <w:szCs w:val="28"/>
        </w:rPr>
        <w:t>Государства</w:t>
      </w:r>
      <w:r w:rsidRPr="00DE1F7A">
        <w:rPr>
          <w:rFonts w:ascii="Times New Roman" w:hAnsi="Times New Roman"/>
          <w:sz w:val="28"/>
          <w:szCs w:val="28"/>
        </w:rPr>
        <w:t xml:space="preserve"> наход</w:t>
      </w:r>
      <w:r>
        <w:rPr>
          <w:rFonts w:ascii="Times New Roman" w:hAnsi="Times New Roman"/>
          <w:sz w:val="28"/>
          <w:szCs w:val="28"/>
        </w:rPr>
        <w:t>я</w:t>
      </w:r>
      <w:r w:rsidRPr="00DE1F7A">
        <w:rPr>
          <w:rFonts w:ascii="Times New Roman" w:hAnsi="Times New Roman"/>
          <w:sz w:val="28"/>
          <w:szCs w:val="28"/>
        </w:rPr>
        <w:t xml:space="preserve">тся в постоянном поиске новых поставщиков. </w:t>
      </w:r>
      <w:r>
        <w:rPr>
          <w:rFonts w:ascii="Times New Roman" w:hAnsi="Times New Roman"/>
          <w:sz w:val="28"/>
          <w:szCs w:val="28"/>
        </w:rPr>
        <w:t>Наибольший интерес для всех стран БРИКС представляют поставки энергетических ресурсов из России. Главными потребителями могут быть названы Китай и Индия как наиболее динамично развивающиеся экономики.</w:t>
      </w:r>
      <w:r w:rsidRPr="00DE1F7A">
        <w:rPr>
          <w:rFonts w:ascii="Times New Roman" w:hAnsi="Times New Roman"/>
          <w:sz w:val="28"/>
          <w:szCs w:val="28"/>
        </w:rPr>
        <w:t xml:space="preserve">  </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 xml:space="preserve">Россия со своей стороны отдает приоритет поставкам в Китай энергоресурсов – нефти, энергоносителей, природного газа. Сегодня уже есть примеры подобного взаимодействия, однако в ближайшие пятнадцать лет РФ планирует стать крупнейшим для КНР экспортером энергетического сырья. </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В настоящее время в российско-китайской товарной структуре торгово-экономических отношений на первое место выходит нефть. Основные поставки сегодня уже идут по нефтепроводной системе через нефтепровод ВСТО, обе очереди которого уже функционируют. Россия объявляет свои планы по наращиванию мощностей данного нефтепровода, что планируется осуществить в среднесрочной перспективе.</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 xml:space="preserve">Среди трудностей в развитии российско-китайского энергетического сотрудничества нужно назвать опасения РФ относительно завязки на один Китай. Сегодня в политической элите России есть группы, которые считают важным развитие сотрудничества и с такими странами как Япония, а также западными государствами, что позволит диверсифицировать энергетические </w:t>
      </w:r>
      <w:r w:rsidRPr="00CA0F04">
        <w:rPr>
          <w:rFonts w:ascii="Times New Roman" w:hAnsi="Times New Roman"/>
          <w:sz w:val="28"/>
          <w:szCs w:val="28"/>
        </w:rPr>
        <w:lastRenderedPageBreak/>
        <w:t xml:space="preserve">поставки. Кроме того, они учитывают тот факт, что сам Китай укрепляет энергетическую линию и в отношениях с </w:t>
      </w:r>
      <w:proofErr w:type="gramStart"/>
      <w:r w:rsidRPr="00CA0F04">
        <w:rPr>
          <w:rFonts w:ascii="Times New Roman" w:hAnsi="Times New Roman"/>
          <w:sz w:val="28"/>
          <w:szCs w:val="28"/>
        </w:rPr>
        <w:t>центрально-азиатскими</w:t>
      </w:r>
      <w:proofErr w:type="gramEnd"/>
      <w:r w:rsidRPr="00CA0F04">
        <w:rPr>
          <w:rFonts w:ascii="Times New Roman" w:hAnsi="Times New Roman"/>
          <w:sz w:val="28"/>
          <w:szCs w:val="28"/>
        </w:rPr>
        <w:t xml:space="preserve"> республиками.</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Говоря о тенденциях развития торговых отношений России и Китая необходимо еще раз подчеркнуть, что на первое место сегодня выходят контакты в нефтегазовой области, они будут продолжать развиваться в силу высокой заинтересованности китайской и российской сторон. Важную роль тут будут играть нефтегазовые компании (в том числе КННК, «Газпром», «Роснефть»).</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На современном этапе перспективы энергетического сотрудничества РФ и КНР также увеличиваются в связи с кризисом отношений России с партнерами по Европейскому Союзу. Так, в 2014 году против российской стороны ряд западных стран ввел экономические санкции, коснувшиеся во многом энергетического сектора нашей страны.</w:t>
      </w:r>
    </w:p>
    <w:p w:rsidR="00BB5DC7" w:rsidRPr="00CA0F04" w:rsidRDefault="00BB5DC7" w:rsidP="00BB5DC7">
      <w:pPr>
        <w:spacing w:after="0" w:line="360" w:lineRule="auto"/>
        <w:ind w:firstLine="708"/>
        <w:jc w:val="both"/>
        <w:rPr>
          <w:rFonts w:ascii="Times New Roman" w:hAnsi="Times New Roman"/>
          <w:sz w:val="28"/>
          <w:szCs w:val="28"/>
        </w:rPr>
      </w:pPr>
      <w:r w:rsidRPr="00CA0F04">
        <w:rPr>
          <w:rFonts w:ascii="Times New Roman" w:hAnsi="Times New Roman"/>
          <w:sz w:val="28"/>
          <w:szCs w:val="28"/>
        </w:rPr>
        <w:t xml:space="preserve">На российско-китайское сотрудничество в нефтяной области оказывает влияние и ситуация, которая сложилась сегодня на мировом рынке в сфере ценообразования. </w:t>
      </w:r>
      <w:proofErr w:type="gramStart"/>
      <w:r w:rsidRPr="00CA0F04">
        <w:rPr>
          <w:rFonts w:ascii="Times New Roman" w:hAnsi="Times New Roman"/>
          <w:sz w:val="28"/>
          <w:szCs w:val="28"/>
        </w:rPr>
        <w:t>Так, за последний год цены на нефть упали в два раза, что негативно отразилось на российской экономике (ведь основная часть доходов бюджета формируется как раз от экспорта энергетических ресурсов), однако это стало положительным фактором для КНР, который всегда стремился на переговорах с российской стороной выторговать себе как можно более низкие цены на закупку нефти и природного газа.</w:t>
      </w:r>
      <w:proofErr w:type="gramEnd"/>
    </w:p>
    <w:p w:rsidR="00BB5DC7" w:rsidRDefault="00BB5DC7" w:rsidP="00BB5DC7">
      <w:pPr>
        <w:spacing w:after="0" w:line="360" w:lineRule="auto"/>
        <w:ind w:firstLine="708"/>
        <w:jc w:val="both"/>
        <w:rPr>
          <w:rFonts w:ascii="Times New Roman" w:hAnsi="Times New Roman"/>
          <w:sz w:val="28"/>
          <w:szCs w:val="28"/>
        </w:rPr>
      </w:pPr>
      <w:r w:rsidRPr="00704F09">
        <w:rPr>
          <w:rFonts w:ascii="Times New Roman" w:hAnsi="Times New Roman"/>
          <w:sz w:val="28"/>
          <w:szCs w:val="28"/>
        </w:rPr>
        <w:t xml:space="preserve">Роль </w:t>
      </w:r>
      <w:r>
        <w:rPr>
          <w:rFonts w:ascii="Times New Roman" w:hAnsi="Times New Roman"/>
          <w:sz w:val="28"/>
          <w:szCs w:val="28"/>
        </w:rPr>
        <w:t>всех государств</w:t>
      </w:r>
      <w:r w:rsidRPr="00704F09">
        <w:rPr>
          <w:rFonts w:ascii="Times New Roman" w:hAnsi="Times New Roman"/>
          <w:sz w:val="28"/>
          <w:szCs w:val="28"/>
        </w:rPr>
        <w:t xml:space="preserve"> БРИКС в мировой энергетике </w:t>
      </w:r>
      <w:r>
        <w:rPr>
          <w:rFonts w:ascii="Times New Roman" w:hAnsi="Times New Roman"/>
          <w:sz w:val="28"/>
          <w:szCs w:val="28"/>
        </w:rPr>
        <w:t xml:space="preserve">может быть без сомнения призвана очень большой, все вместе они </w:t>
      </w:r>
      <w:r w:rsidRPr="00704F09">
        <w:rPr>
          <w:rFonts w:ascii="Times New Roman" w:hAnsi="Times New Roman"/>
          <w:sz w:val="28"/>
          <w:szCs w:val="28"/>
        </w:rPr>
        <w:t xml:space="preserve">обеспечивают </w:t>
      </w:r>
      <w:r>
        <w:rPr>
          <w:rFonts w:ascii="Times New Roman" w:hAnsi="Times New Roman"/>
          <w:sz w:val="28"/>
          <w:szCs w:val="28"/>
        </w:rPr>
        <w:t>порядка</w:t>
      </w:r>
      <w:r w:rsidRPr="00704F09">
        <w:rPr>
          <w:rFonts w:ascii="Times New Roman" w:hAnsi="Times New Roman"/>
          <w:sz w:val="28"/>
          <w:szCs w:val="28"/>
        </w:rPr>
        <w:t xml:space="preserve"> 35% производства и потребления энергии в мире. </w:t>
      </w:r>
      <w:r>
        <w:rPr>
          <w:rFonts w:ascii="Times New Roman" w:hAnsi="Times New Roman"/>
          <w:sz w:val="28"/>
          <w:szCs w:val="28"/>
        </w:rPr>
        <w:t xml:space="preserve">Если данными странам удастся выработать единую линию и реализовать соответствующую работу по глобальному регулированию энергетического комплекса, то это могло бы серьезно </w:t>
      </w:r>
      <w:r w:rsidRPr="00704F09">
        <w:rPr>
          <w:rFonts w:ascii="Times New Roman" w:hAnsi="Times New Roman"/>
          <w:sz w:val="28"/>
          <w:szCs w:val="28"/>
        </w:rPr>
        <w:t xml:space="preserve">повлиять  на действующие в этой сфере механизмы, которые пока в недостаточной мере учитывают позиции крупнейших развивающихся стран. </w:t>
      </w:r>
    </w:p>
    <w:p w:rsidR="00BB5DC7" w:rsidRDefault="00BB5DC7" w:rsidP="00BB5DC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Однако на основе проведенного анализа можно сделать вывод о том, что реальные возможности в выработке общей внешней энергетической политики для стран БРИКС пока не так велики. Слишком велики их различия в интересах в данной сфере. Наиболее реальной областью для БРИКС в современных условиях остается развитие </w:t>
      </w:r>
      <w:proofErr w:type="gramStart"/>
      <w:r>
        <w:rPr>
          <w:rFonts w:ascii="Times New Roman" w:hAnsi="Times New Roman"/>
          <w:sz w:val="28"/>
          <w:szCs w:val="28"/>
        </w:rPr>
        <w:t>энергетического</w:t>
      </w:r>
      <w:proofErr w:type="gramEnd"/>
      <w:r>
        <w:rPr>
          <w:rFonts w:ascii="Times New Roman" w:hAnsi="Times New Roman"/>
          <w:sz w:val="28"/>
          <w:szCs w:val="28"/>
        </w:rPr>
        <w:t xml:space="preserve"> сотрудничество на основе поддержки финансов и технологий, что будет в большей степени внутренней энергетической политикой БРИКС.</w:t>
      </w: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Default="00BB5DC7" w:rsidP="00BB5DC7">
      <w:pPr>
        <w:spacing w:after="0" w:line="360" w:lineRule="auto"/>
        <w:jc w:val="both"/>
        <w:rPr>
          <w:rFonts w:ascii="Times New Roman" w:hAnsi="Times New Roman"/>
          <w:sz w:val="28"/>
          <w:szCs w:val="28"/>
        </w:rPr>
      </w:pPr>
    </w:p>
    <w:p w:rsidR="00BB5DC7" w:rsidRPr="009B5184" w:rsidRDefault="00BB5DC7" w:rsidP="00BB5DC7">
      <w:pPr>
        <w:pStyle w:val="1"/>
        <w:spacing w:before="0" w:after="0" w:line="360" w:lineRule="auto"/>
        <w:jc w:val="center"/>
        <w:rPr>
          <w:rFonts w:ascii="Times New Roman" w:hAnsi="Times New Roman"/>
          <w:sz w:val="28"/>
          <w:szCs w:val="28"/>
        </w:rPr>
      </w:pPr>
      <w:r>
        <w:br w:type="page"/>
      </w:r>
      <w:bookmarkStart w:id="12" w:name="_Toc479667926"/>
      <w:r w:rsidRPr="009B5184">
        <w:rPr>
          <w:rFonts w:ascii="Times New Roman" w:hAnsi="Times New Roman"/>
          <w:sz w:val="28"/>
          <w:szCs w:val="28"/>
        </w:rPr>
        <w:lastRenderedPageBreak/>
        <w:t>Список использованных источников и литературы</w:t>
      </w:r>
      <w:bookmarkEnd w:id="12"/>
    </w:p>
    <w:p w:rsidR="00BB5DC7" w:rsidRDefault="00BB5DC7" w:rsidP="00BB5DC7">
      <w:pPr>
        <w:spacing w:after="0" w:line="360" w:lineRule="auto"/>
        <w:jc w:val="both"/>
        <w:rPr>
          <w:rFonts w:ascii="Times New Roman" w:hAnsi="Times New Roman"/>
          <w:sz w:val="28"/>
          <w:szCs w:val="28"/>
        </w:rPr>
      </w:pP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БРИКС – новый фактор глобальной экономики и политики // URL: www.brics.mid.ru/brics.nsf/0/68660EECB2508E27C3257856003DF115</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БРИКС: история, участники и экономический потенциал // URL: http://www.ria.ru/infografika/20150323/1053966117.html</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 xml:space="preserve">Выступление </w:t>
      </w:r>
      <w:r>
        <w:rPr>
          <w:rFonts w:ascii="Times New Roman" w:hAnsi="Times New Roman"/>
          <w:sz w:val="28"/>
          <w:szCs w:val="28"/>
        </w:rPr>
        <w:t xml:space="preserve">В.В. Путина </w:t>
      </w:r>
      <w:r w:rsidRPr="00950C3B">
        <w:rPr>
          <w:rFonts w:ascii="Times New Roman" w:hAnsi="Times New Roman"/>
          <w:sz w:val="28"/>
          <w:szCs w:val="28"/>
        </w:rPr>
        <w:t>на встрече лидеров Бразилии, России, Индии, Китая и ЮАР в расширенном составе. – 15.07.2014 // URL: http://www.kremlin.ru/events/president/transcripts/46229</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Газпром будет продавать сжиженный газ в Индию // URL: http://mir-politika.ru/14635-gazprom-budet-prodavat-szhizhennyy-gaz-v-indiyu.html</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proofErr w:type="spellStart"/>
      <w:r w:rsidRPr="00950C3B">
        <w:rPr>
          <w:rFonts w:ascii="Times New Roman" w:hAnsi="Times New Roman"/>
          <w:sz w:val="28"/>
          <w:szCs w:val="28"/>
        </w:rPr>
        <w:t>Горяинов</w:t>
      </w:r>
      <w:proofErr w:type="spellEnd"/>
      <w:r w:rsidRPr="00950C3B">
        <w:rPr>
          <w:rFonts w:ascii="Times New Roman" w:hAnsi="Times New Roman"/>
          <w:sz w:val="28"/>
          <w:szCs w:val="28"/>
        </w:rPr>
        <w:t xml:space="preserve"> М.В. Основные тенденции развития мировых энергетических рынков: проблемы и перспективы // Вестник Университета Российской академии образования. </w:t>
      </w:r>
      <w:r w:rsidRPr="00950C3B">
        <w:rPr>
          <w:rFonts w:ascii="Times New Roman" w:hAnsi="Times New Roman"/>
          <w:sz w:val="28"/>
          <w:szCs w:val="28"/>
          <w:lang w:val="en-US"/>
        </w:rPr>
        <w:t xml:space="preserve">2016. №2. </w:t>
      </w:r>
      <w:r w:rsidRPr="00950C3B">
        <w:rPr>
          <w:rFonts w:ascii="Times New Roman" w:hAnsi="Times New Roman"/>
          <w:sz w:val="28"/>
          <w:szCs w:val="28"/>
        </w:rPr>
        <w:t>С</w:t>
      </w:r>
      <w:r w:rsidRPr="00950C3B">
        <w:rPr>
          <w:rFonts w:ascii="Times New Roman" w:hAnsi="Times New Roman"/>
          <w:sz w:val="28"/>
          <w:szCs w:val="28"/>
          <w:lang w:val="en-US"/>
        </w:rPr>
        <w:t>. 161-164.</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r w:rsidRPr="00950C3B">
        <w:rPr>
          <w:rFonts w:ascii="Times New Roman" w:hAnsi="Times New Roman"/>
          <w:sz w:val="28"/>
          <w:szCs w:val="28"/>
        </w:rPr>
        <w:t xml:space="preserve">Делягин </w:t>
      </w:r>
      <w:proofErr w:type="gramStart"/>
      <w:r w:rsidRPr="00950C3B">
        <w:rPr>
          <w:rFonts w:ascii="Times New Roman" w:hAnsi="Times New Roman"/>
          <w:sz w:val="28"/>
          <w:szCs w:val="28"/>
        </w:rPr>
        <w:t>М.</w:t>
      </w:r>
      <w:proofErr w:type="gramEnd"/>
      <w:r w:rsidRPr="00950C3B">
        <w:rPr>
          <w:rFonts w:ascii="Times New Roman" w:hAnsi="Times New Roman"/>
          <w:sz w:val="28"/>
          <w:szCs w:val="28"/>
        </w:rPr>
        <w:t xml:space="preserve"> Когда закончится нефть // Московский комсомолец. </w:t>
      </w:r>
      <w:r w:rsidRPr="00950C3B">
        <w:rPr>
          <w:rFonts w:ascii="Times New Roman" w:hAnsi="Times New Roman"/>
          <w:sz w:val="28"/>
          <w:szCs w:val="28"/>
          <w:lang w:val="en-US"/>
        </w:rPr>
        <w:t xml:space="preserve">2013. 6 </w:t>
      </w:r>
      <w:r w:rsidRPr="00950C3B">
        <w:rPr>
          <w:rFonts w:ascii="Times New Roman" w:hAnsi="Times New Roman"/>
          <w:sz w:val="28"/>
          <w:szCs w:val="28"/>
        </w:rPr>
        <w:t>августа</w:t>
      </w:r>
      <w:r w:rsidRPr="00950C3B">
        <w:rPr>
          <w:rFonts w:ascii="Times New Roman" w:hAnsi="Times New Roman"/>
          <w:sz w:val="28"/>
          <w:szCs w:val="28"/>
          <w:lang w:val="en-US"/>
        </w:rPr>
        <w:t xml:space="preserve">. </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Доходы России от экспорта нефти в 2015 году снизились на 41,8% // URL: http://www.vedomosti.ru/economics/news/2016/02/05/627011-fts</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Иванов А.С. Мировая энергетика на пороге 2016 года – в эпицентре политических осложнений и экономических неурядиц  // URL: http://burneft.ru/archive/issues/2016-01/</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r w:rsidRPr="00950C3B">
        <w:rPr>
          <w:rFonts w:ascii="Times New Roman" w:hAnsi="Times New Roman"/>
          <w:sz w:val="28"/>
          <w:szCs w:val="28"/>
        </w:rPr>
        <w:t xml:space="preserve">Иванов А.С. Мировая энергетика на рубеже 2015 года под прессом ожесточающих факторов // Бурение и нефть. </w:t>
      </w:r>
      <w:r w:rsidRPr="00950C3B">
        <w:rPr>
          <w:rFonts w:ascii="Times New Roman" w:hAnsi="Times New Roman"/>
          <w:sz w:val="28"/>
          <w:szCs w:val="28"/>
          <w:lang w:val="en-US"/>
        </w:rPr>
        <w:t xml:space="preserve">2015. №1. </w:t>
      </w:r>
      <w:r w:rsidRPr="00950C3B">
        <w:rPr>
          <w:rFonts w:ascii="Times New Roman" w:hAnsi="Times New Roman"/>
          <w:sz w:val="28"/>
          <w:szCs w:val="28"/>
        </w:rPr>
        <w:t>С</w:t>
      </w:r>
      <w:r w:rsidRPr="00950C3B">
        <w:rPr>
          <w:rFonts w:ascii="Times New Roman" w:hAnsi="Times New Roman"/>
          <w:sz w:val="28"/>
          <w:szCs w:val="28"/>
          <w:lang w:val="en-US"/>
        </w:rPr>
        <w:t>. 8-17.</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Канада, Венесуэла, Ирак и Мексика торгуют нефтью почти по $20 // URL: http://www.finanz.ru/novosti/birzhevyye-tovary/kanada-venesuela-irak-i-meksika-torguyut-neftyu-pochti-po-$20-1000961152</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Козловский Е.А., Комаров М.А., Макрушин Р.Н. Возможности сотрудничества БРИКС в области топливно-энергетического комплекса // URL: http://iorj.hse.ru/data/2012/06/08/1252690818/5.pdf</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lastRenderedPageBreak/>
        <w:t xml:space="preserve">Крылова А.В., </w:t>
      </w:r>
      <w:proofErr w:type="spellStart"/>
      <w:r w:rsidRPr="00950C3B">
        <w:rPr>
          <w:rFonts w:ascii="Times New Roman" w:hAnsi="Times New Roman"/>
          <w:sz w:val="28"/>
          <w:szCs w:val="28"/>
        </w:rPr>
        <w:t>Дерменжи</w:t>
      </w:r>
      <w:proofErr w:type="spellEnd"/>
      <w:r w:rsidRPr="00950C3B">
        <w:rPr>
          <w:rFonts w:ascii="Times New Roman" w:hAnsi="Times New Roman"/>
          <w:sz w:val="28"/>
          <w:szCs w:val="28"/>
        </w:rPr>
        <w:t xml:space="preserve"> М.И. Прогнозирование мирового потребления топливно-энергетических ресурсов на примере сотрудничества стран БРИКС // Научные записки </w:t>
      </w:r>
      <w:proofErr w:type="spellStart"/>
      <w:r w:rsidRPr="00950C3B">
        <w:rPr>
          <w:rFonts w:ascii="Times New Roman" w:hAnsi="Times New Roman"/>
          <w:sz w:val="28"/>
          <w:szCs w:val="28"/>
        </w:rPr>
        <w:t>ОрелГИЭТ</w:t>
      </w:r>
      <w:proofErr w:type="spellEnd"/>
      <w:r w:rsidRPr="00950C3B">
        <w:rPr>
          <w:rFonts w:ascii="Times New Roman" w:hAnsi="Times New Roman"/>
          <w:sz w:val="28"/>
          <w:szCs w:val="28"/>
        </w:rPr>
        <w:t>. 2016. №5 (17). С. 34-39.</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 xml:space="preserve">Лебедева Т.П., </w:t>
      </w:r>
      <w:proofErr w:type="spellStart"/>
      <w:r w:rsidRPr="00950C3B">
        <w:rPr>
          <w:rFonts w:ascii="Times New Roman" w:hAnsi="Times New Roman"/>
          <w:sz w:val="28"/>
          <w:szCs w:val="28"/>
        </w:rPr>
        <w:t>Мраморова</w:t>
      </w:r>
      <w:proofErr w:type="spellEnd"/>
      <w:r w:rsidRPr="00950C3B">
        <w:rPr>
          <w:rFonts w:ascii="Times New Roman" w:hAnsi="Times New Roman"/>
          <w:sz w:val="28"/>
          <w:szCs w:val="28"/>
        </w:rPr>
        <w:t xml:space="preserve"> И.М. Энергетическая безопасность Китая как геополитическая проблема // Государственное управление. 2010. №24. Сентябрь.</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proofErr w:type="spellStart"/>
      <w:r w:rsidRPr="00950C3B">
        <w:rPr>
          <w:rFonts w:ascii="Times New Roman" w:hAnsi="Times New Roman"/>
          <w:sz w:val="28"/>
          <w:szCs w:val="28"/>
        </w:rPr>
        <w:t>Мастепанов</w:t>
      </w:r>
      <w:proofErr w:type="spellEnd"/>
      <w:r w:rsidRPr="00950C3B">
        <w:rPr>
          <w:rFonts w:ascii="Times New Roman" w:hAnsi="Times New Roman"/>
          <w:sz w:val="28"/>
          <w:szCs w:val="28"/>
        </w:rPr>
        <w:t xml:space="preserve"> А. Об энергетической ситуации в условиях новых вызовов и геополитических реалий // Академия энергетики. 2015. Июнь. С. 4-10.</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proofErr w:type="spellStart"/>
      <w:r w:rsidRPr="00950C3B">
        <w:rPr>
          <w:rFonts w:ascii="Times New Roman" w:hAnsi="Times New Roman"/>
          <w:sz w:val="28"/>
          <w:szCs w:val="28"/>
        </w:rPr>
        <w:t>Мастепанов</w:t>
      </w:r>
      <w:proofErr w:type="spellEnd"/>
      <w:r w:rsidRPr="00950C3B">
        <w:rPr>
          <w:rFonts w:ascii="Times New Roman" w:hAnsi="Times New Roman"/>
          <w:sz w:val="28"/>
          <w:szCs w:val="28"/>
        </w:rPr>
        <w:t xml:space="preserve"> А. Сотрудничество стран БРИКС в энергетической сфере как фактор прогнозирования мирового энергопотребления // URL: http://burneft.ru/archive/issues/2016-01/13</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Мексика страхуется от падения цен на нефть // URL: http://www.vedomosti.ru/economics/articles/2015/08/21/605695-meksika-strahuetsya-padeniya-tsen-na-neft</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proofErr w:type="spellStart"/>
      <w:r w:rsidRPr="00950C3B">
        <w:rPr>
          <w:rFonts w:ascii="Times New Roman" w:hAnsi="Times New Roman"/>
          <w:sz w:val="28"/>
          <w:szCs w:val="28"/>
        </w:rPr>
        <w:t>Олейнов</w:t>
      </w:r>
      <w:proofErr w:type="spellEnd"/>
      <w:r w:rsidRPr="00950C3B">
        <w:rPr>
          <w:rFonts w:ascii="Times New Roman" w:hAnsi="Times New Roman"/>
          <w:sz w:val="28"/>
          <w:szCs w:val="28"/>
        </w:rPr>
        <w:t xml:space="preserve"> А. Топливно-энергетический комплекс мира. М: </w:t>
      </w:r>
      <w:proofErr w:type="spellStart"/>
      <w:r w:rsidRPr="00950C3B">
        <w:rPr>
          <w:rFonts w:ascii="Times New Roman" w:hAnsi="Times New Roman"/>
          <w:sz w:val="28"/>
          <w:szCs w:val="28"/>
        </w:rPr>
        <w:t>Навона</w:t>
      </w:r>
      <w:proofErr w:type="spellEnd"/>
      <w:r w:rsidRPr="00950C3B">
        <w:rPr>
          <w:rFonts w:ascii="Times New Roman" w:hAnsi="Times New Roman"/>
          <w:sz w:val="28"/>
          <w:szCs w:val="28"/>
        </w:rPr>
        <w:t xml:space="preserve">, 2008. </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 xml:space="preserve">Официальные данные компании ОАО «Газпром» // </w:t>
      </w:r>
      <w:r w:rsidRPr="00950C3B">
        <w:rPr>
          <w:rFonts w:ascii="Times New Roman" w:hAnsi="Times New Roman"/>
          <w:sz w:val="28"/>
          <w:szCs w:val="28"/>
          <w:lang w:val="en-US"/>
        </w:rPr>
        <w:t>URL</w:t>
      </w:r>
      <w:r w:rsidRPr="00950C3B">
        <w:rPr>
          <w:rFonts w:ascii="Times New Roman" w:hAnsi="Times New Roman"/>
          <w:sz w:val="28"/>
          <w:szCs w:val="28"/>
        </w:rPr>
        <w:t>: http://www.gazprom.ru/documents/Statistika</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Платежный баланс России 1-2 квартал 2015 к 2014 // URL: https://geopolitika.dirty.ru/platezhnyi-balans-rossii-1-2-kvartal-2015-k-2014-781552/</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proofErr w:type="spellStart"/>
      <w:r w:rsidRPr="00950C3B">
        <w:rPr>
          <w:rFonts w:ascii="Times New Roman" w:hAnsi="Times New Roman"/>
          <w:sz w:val="28"/>
          <w:szCs w:val="28"/>
        </w:rPr>
        <w:t>Пусенкова</w:t>
      </w:r>
      <w:proofErr w:type="spellEnd"/>
      <w:r w:rsidRPr="00950C3B">
        <w:rPr>
          <w:rFonts w:ascii="Times New Roman" w:hAnsi="Times New Roman"/>
          <w:sz w:val="28"/>
          <w:szCs w:val="28"/>
        </w:rPr>
        <w:t xml:space="preserve"> Н. Российская энергетическая политика на Востоке: китайские головоломки Роснефти. Париж: Центр Россия/ННГ, 2013. </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Рева А. Перспективы развития энергетического комплекса Индии // URL: http://www.imemo.ru/files/File/ru/conf/2016/29042016/02_09_Reva.pdf</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Роснефть закрыла сделку с ONGC по продаже 15% «</w:t>
      </w:r>
      <w:proofErr w:type="spellStart"/>
      <w:r w:rsidRPr="00950C3B">
        <w:rPr>
          <w:rFonts w:ascii="Times New Roman" w:hAnsi="Times New Roman"/>
          <w:sz w:val="28"/>
          <w:szCs w:val="28"/>
        </w:rPr>
        <w:t>Ванкорнефти</w:t>
      </w:r>
      <w:proofErr w:type="spellEnd"/>
      <w:r w:rsidRPr="00950C3B">
        <w:rPr>
          <w:rFonts w:ascii="Times New Roman" w:hAnsi="Times New Roman"/>
          <w:sz w:val="28"/>
          <w:szCs w:val="28"/>
        </w:rPr>
        <w:t>» // URL: http://neftrossii.ru/content/rosneft-zakryla-sdelku-s-ongc-po-prodazhe-15-vankornefti</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lastRenderedPageBreak/>
        <w:t xml:space="preserve">Российско-китайское торгово-экономическое сотрудничество // </w:t>
      </w:r>
      <w:r w:rsidRPr="00950C3B">
        <w:rPr>
          <w:rFonts w:ascii="Times New Roman" w:hAnsi="Times New Roman"/>
          <w:sz w:val="28"/>
          <w:szCs w:val="28"/>
          <w:lang w:val="en-US"/>
        </w:rPr>
        <w:t>URL</w:t>
      </w:r>
      <w:r w:rsidRPr="00950C3B">
        <w:rPr>
          <w:rFonts w:ascii="Times New Roman" w:hAnsi="Times New Roman"/>
          <w:sz w:val="28"/>
          <w:szCs w:val="28"/>
        </w:rPr>
        <w:t xml:space="preserve">: </w:t>
      </w:r>
      <w:r w:rsidRPr="00950C3B">
        <w:rPr>
          <w:rFonts w:ascii="Times New Roman" w:hAnsi="Times New Roman"/>
          <w:sz w:val="28"/>
          <w:szCs w:val="28"/>
          <w:lang w:val="en-US"/>
        </w:rPr>
        <w:t>http</w:t>
      </w:r>
      <w:r w:rsidRPr="00950C3B">
        <w:rPr>
          <w:rFonts w:ascii="Times New Roman" w:hAnsi="Times New Roman"/>
          <w:sz w:val="28"/>
          <w:szCs w:val="28"/>
        </w:rPr>
        <w:t>://</w:t>
      </w:r>
      <w:r w:rsidRPr="00950C3B">
        <w:rPr>
          <w:rFonts w:ascii="Times New Roman" w:hAnsi="Times New Roman"/>
          <w:sz w:val="28"/>
          <w:szCs w:val="28"/>
          <w:lang w:val="en-US"/>
        </w:rPr>
        <w:t>www</w:t>
      </w:r>
      <w:r w:rsidRPr="00950C3B">
        <w:rPr>
          <w:rFonts w:ascii="Times New Roman" w:hAnsi="Times New Roman"/>
          <w:sz w:val="28"/>
          <w:szCs w:val="28"/>
        </w:rPr>
        <w:t>.</w:t>
      </w:r>
      <w:proofErr w:type="spellStart"/>
      <w:r w:rsidRPr="00950C3B">
        <w:rPr>
          <w:rFonts w:ascii="Times New Roman" w:hAnsi="Times New Roman"/>
          <w:sz w:val="28"/>
          <w:szCs w:val="28"/>
          <w:lang w:val="en-US"/>
        </w:rPr>
        <w:t>ved</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gov</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ru</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exportcountries</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cn</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cn</w:t>
      </w:r>
      <w:proofErr w:type="spellEnd"/>
      <w:r w:rsidRPr="00950C3B">
        <w:rPr>
          <w:rFonts w:ascii="Times New Roman" w:hAnsi="Times New Roman"/>
          <w:sz w:val="28"/>
          <w:szCs w:val="28"/>
        </w:rPr>
        <w:t>_</w:t>
      </w:r>
      <w:proofErr w:type="spellStart"/>
      <w:r w:rsidRPr="00950C3B">
        <w:rPr>
          <w:rFonts w:ascii="Times New Roman" w:hAnsi="Times New Roman"/>
          <w:sz w:val="28"/>
          <w:szCs w:val="28"/>
          <w:lang w:val="en-US"/>
        </w:rPr>
        <w:t>ru</w:t>
      </w:r>
      <w:proofErr w:type="spellEnd"/>
      <w:r w:rsidRPr="00950C3B">
        <w:rPr>
          <w:rFonts w:ascii="Times New Roman" w:hAnsi="Times New Roman"/>
          <w:sz w:val="28"/>
          <w:szCs w:val="28"/>
        </w:rPr>
        <w:t>_</w:t>
      </w:r>
      <w:r w:rsidRPr="00950C3B">
        <w:rPr>
          <w:rFonts w:ascii="Times New Roman" w:hAnsi="Times New Roman"/>
          <w:sz w:val="28"/>
          <w:szCs w:val="28"/>
          <w:lang w:val="en-US"/>
        </w:rPr>
        <w:t>relations</w:t>
      </w:r>
      <w:r w:rsidRPr="00950C3B">
        <w:rPr>
          <w:rFonts w:ascii="Times New Roman" w:hAnsi="Times New Roman"/>
          <w:sz w:val="28"/>
          <w:szCs w:val="28"/>
        </w:rPr>
        <w:t>/</w:t>
      </w:r>
      <w:proofErr w:type="spellStart"/>
      <w:r w:rsidRPr="00950C3B">
        <w:rPr>
          <w:rFonts w:ascii="Times New Roman" w:hAnsi="Times New Roman"/>
          <w:sz w:val="28"/>
          <w:szCs w:val="28"/>
          <w:lang w:val="en-US"/>
        </w:rPr>
        <w:t>cn</w:t>
      </w:r>
      <w:proofErr w:type="spellEnd"/>
      <w:r w:rsidRPr="00950C3B">
        <w:rPr>
          <w:rFonts w:ascii="Times New Roman" w:hAnsi="Times New Roman"/>
          <w:sz w:val="28"/>
          <w:szCs w:val="28"/>
        </w:rPr>
        <w:t>_</w:t>
      </w:r>
      <w:proofErr w:type="spellStart"/>
      <w:r w:rsidRPr="00950C3B">
        <w:rPr>
          <w:rFonts w:ascii="Times New Roman" w:hAnsi="Times New Roman"/>
          <w:sz w:val="28"/>
          <w:szCs w:val="28"/>
          <w:lang w:val="en-US"/>
        </w:rPr>
        <w:t>ru</w:t>
      </w:r>
      <w:proofErr w:type="spellEnd"/>
      <w:r w:rsidRPr="00950C3B">
        <w:rPr>
          <w:rFonts w:ascii="Times New Roman" w:hAnsi="Times New Roman"/>
          <w:sz w:val="28"/>
          <w:szCs w:val="28"/>
        </w:rPr>
        <w:t>_</w:t>
      </w:r>
      <w:r w:rsidRPr="00950C3B">
        <w:rPr>
          <w:rFonts w:ascii="Times New Roman" w:hAnsi="Times New Roman"/>
          <w:sz w:val="28"/>
          <w:szCs w:val="28"/>
          <w:lang w:val="en-US"/>
        </w:rPr>
        <w:t>trade</w:t>
      </w:r>
      <w:r w:rsidRPr="00950C3B">
        <w:rPr>
          <w:rFonts w:ascii="Times New Roman" w:hAnsi="Times New Roman"/>
          <w:sz w:val="28"/>
          <w:szCs w:val="28"/>
        </w:rPr>
        <w:t>/</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Россия установила рекорд по добыче нефти // URL: http://www.rbc.ru/economics/02/01/2016/5687785a9a79470d94bfc498</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Сафина А.Р. Перспективное направление сотрудничества стран БРИКС в сфере энергетики // Экономика и управление: проблемы, решения. 2016. №12. Т. 2. Декабрь. С. 156-161.</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 xml:space="preserve">Совместное заявление Российской Федерации и Китайской Народной Республики о новом этапе отношений всеобъемлющего партнерства и стратегического взаимодействия. 20 мая </w:t>
      </w:r>
      <w:smartTag w:uri="urn:schemas-microsoft-com:office:smarttags" w:element="metricconverter">
        <w:smartTagPr>
          <w:attr w:name="ProductID" w:val="2014 г"/>
        </w:smartTagPr>
        <w:r w:rsidRPr="00950C3B">
          <w:rPr>
            <w:rFonts w:ascii="Times New Roman" w:hAnsi="Times New Roman"/>
            <w:sz w:val="28"/>
            <w:szCs w:val="28"/>
          </w:rPr>
          <w:t>2014 г</w:t>
        </w:r>
      </w:smartTag>
      <w:r w:rsidRPr="00950C3B">
        <w:rPr>
          <w:rFonts w:ascii="Times New Roman" w:hAnsi="Times New Roman"/>
          <w:sz w:val="28"/>
          <w:szCs w:val="28"/>
        </w:rPr>
        <w:t>. // URL: http://www.news.kremlin.ru/ref_notes/1642</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Статистика внешнего сектора // URL: http://www.cbr.ru/statistics/?PrtId=svs</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Стратегия экономического партнерства БРИКС // URL: http://static.kremlin.ru/media/events/files/ru/KT0SBHnIZjOpIuAj2AOXCnszNQA8u7HL.pdf</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 xml:space="preserve">Таможенная служба России // </w:t>
      </w:r>
      <w:r w:rsidRPr="00950C3B">
        <w:rPr>
          <w:rFonts w:ascii="Times New Roman" w:hAnsi="Times New Roman"/>
          <w:sz w:val="28"/>
          <w:szCs w:val="28"/>
          <w:lang w:val="en-US"/>
        </w:rPr>
        <w:t>URL</w:t>
      </w:r>
      <w:r w:rsidRPr="00950C3B">
        <w:rPr>
          <w:rFonts w:ascii="Times New Roman" w:hAnsi="Times New Roman"/>
          <w:sz w:val="28"/>
          <w:szCs w:val="28"/>
        </w:rPr>
        <w:t xml:space="preserve">: </w:t>
      </w:r>
      <w:r w:rsidRPr="00950C3B">
        <w:rPr>
          <w:rFonts w:ascii="Times New Roman" w:hAnsi="Times New Roman"/>
          <w:sz w:val="28"/>
          <w:szCs w:val="28"/>
          <w:lang w:val="en-US"/>
        </w:rPr>
        <w:t>http</w:t>
      </w:r>
      <w:r w:rsidRPr="00950C3B">
        <w:rPr>
          <w:rFonts w:ascii="Times New Roman" w:hAnsi="Times New Roman"/>
          <w:sz w:val="28"/>
          <w:szCs w:val="28"/>
        </w:rPr>
        <w:t>://</w:t>
      </w:r>
      <w:r w:rsidRPr="00950C3B">
        <w:rPr>
          <w:rFonts w:ascii="Times New Roman" w:hAnsi="Times New Roman"/>
          <w:sz w:val="28"/>
          <w:szCs w:val="28"/>
          <w:lang w:val="en-US"/>
        </w:rPr>
        <w:t>www</w:t>
      </w:r>
      <w:r w:rsidRPr="00950C3B">
        <w:rPr>
          <w:rFonts w:ascii="Times New Roman" w:hAnsi="Times New Roman"/>
          <w:sz w:val="28"/>
          <w:szCs w:val="28"/>
        </w:rPr>
        <w:t>,</w:t>
      </w:r>
      <w:r w:rsidRPr="00950C3B">
        <w:rPr>
          <w:rFonts w:ascii="Times New Roman" w:hAnsi="Times New Roman"/>
          <w:sz w:val="28"/>
          <w:szCs w:val="28"/>
          <w:lang w:val="en-US"/>
        </w:rPr>
        <w:t>customs</w:t>
      </w:r>
      <w:r w:rsidRPr="00950C3B">
        <w:rPr>
          <w:rFonts w:ascii="Times New Roman" w:hAnsi="Times New Roman"/>
          <w:sz w:val="28"/>
          <w:szCs w:val="28"/>
        </w:rPr>
        <w:t>.</w:t>
      </w:r>
      <w:proofErr w:type="spellStart"/>
      <w:r w:rsidRPr="00950C3B">
        <w:rPr>
          <w:rFonts w:ascii="Times New Roman" w:hAnsi="Times New Roman"/>
          <w:sz w:val="28"/>
          <w:szCs w:val="28"/>
          <w:lang w:val="en-US"/>
        </w:rPr>
        <w:t>ru</w:t>
      </w:r>
      <w:proofErr w:type="spellEnd"/>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Технологическая платформа «Перспективные технологии возобновляемой энергетики» // URL: http://www.rushydro.ru/upload/iblock/204/TP-PTVE---Prezentatsiya-na-forum-otkritie-innovatsii-RFTR.pdf</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Уфимская декларация. VII саммит БРИКС. Полный текст. 9 июля 2015 года // URL: http://bricslive.ru/live/ufimskaya-deklaracziya</w:t>
      </w:r>
    </w:p>
    <w:p w:rsidR="00BB5DC7" w:rsidRPr="00950C3B" w:rsidRDefault="00BB5DC7" w:rsidP="00BB5DC7">
      <w:pPr>
        <w:pStyle w:val="a6"/>
        <w:numPr>
          <w:ilvl w:val="0"/>
          <w:numId w:val="10"/>
        </w:numPr>
        <w:spacing w:line="360" w:lineRule="auto"/>
        <w:ind w:left="714" w:hanging="357"/>
        <w:jc w:val="both"/>
        <w:rPr>
          <w:sz w:val="28"/>
          <w:szCs w:val="28"/>
        </w:rPr>
      </w:pPr>
      <w:r w:rsidRPr="00950C3B">
        <w:rPr>
          <w:rFonts w:ascii="Times New Roman" w:hAnsi="Times New Roman"/>
          <w:sz w:val="28"/>
          <w:szCs w:val="28"/>
        </w:rPr>
        <w:t xml:space="preserve">Федеральная служба государственной статистики // </w:t>
      </w:r>
      <w:r w:rsidRPr="00950C3B">
        <w:rPr>
          <w:rFonts w:ascii="Times New Roman" w:hAnsi="Times New Roman"/>
          <w:sz w:val="28"/>
          <w:szCs w:val="28"/>
          <w:lang w:val="en-US"/>
        </w:rPr>
        <w:t>URL</w:t>
      </w:r>
      <w:r w:rsidRPr="00950C3B">
        <w:rPr>
          <w:rFonts w:ascii="Times New Roman" w:hAnsi="Times New Roman"/>
          <w:sz w:val="28"/>
          <w:szCs w:val="28"/>
        </w:rPr>
        <w:t xml:space="preserve">: </w:t>
      </w:r>
      <w:r w:rsidRPr="00950C3B">
        <w:rPr>
          <w:rFonts w:ascii="Times New Roman" w:hAnsi="Times New Roman"/>
          <w:sz w:val="28"/>
          <w:szCs w:val="28"/>
          <w:lang w:val="en-US"/>
        </w:rPr>
        <w:t>http</w:t>
      </w:r>
      <w:r w:rsidRPr="00950C3B">
        <w:rPr>
          <w:rFonts w:ascii="Times New Roman" w:hAnsi="Times New Roman"/>
          <w:sz w:val="28"/>
          <w:szCs w:val="28"/>
        </w:rPr>
        <w:t>://</w:t>
      </w:r>
      <w:r w:rsidRPr="00950C3B">
        <w:rPr>
          <w:rFonts w:ascii="Times New Roman" w:hAnsi="Times New Roman"/>
          <w:sz w:val="28"/>
          <w:szCs w:val="28"/>
          <w:lang w:val="en-US"/>
        </w:rPr>
        <w:t>www</w:t>
      </w:r>
      <w:r w:rsidRPr="00950C3B">
        <w:rPr>
          <w:rFonts w:ascii="Times New Roman" w:hAnsi="Times New Roman"/>
          <w:sz w:val="28"/>
          <w:szCs w:val="28"/>
        </w:rPr>
        <w:t>.</w:t>
      </w:r>
      <w:proofErr w:type="spellStart"/>
      <w:r w:rsidRPr="00950C3B">
        <w:rPr>
          <w:rFonts w:ascii="Times New Roman" w:hAnsi="Times New Roman"/>
          <w:sz w:val="28"/>
          <w:szCs w:val="28"/>
          <w:lang w:val="en-US"/>
        </w:rPr>
        <w:t>gks</w:t>
      </w:r>
      <w:proofErr w:type="spellEnd"/>
      <w:r w:rsidRPr="00950C3B">
        <w:rPr>
          <w:rFonts w:ascii="Times New Roman" w:hAnsi="Times New Roman"/>
          <w:sz w:val="28"/>
          <w:szCs w:val="28"/>
        </w:rPr>
        <w:t>.</w:t>
      </w:r>
      <w:proofErr w:type="spellStart"/>
      <w:r w:rsidRPr="00950C3B">
        <w:rPr>
          <w:rFonts w:ascii="Times New Roman" w:hAnsi="Times New Roman"/>
          <w:sz w:val="28"/>
          <w:szCs w:val="28"/>
          <w:lang w:val="en-US"/>
        </w:rPr>
        <w:t>ru</w:t>
      </w:r>
      <w:proofErr w:type="spellEnd"/>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Форум ENES // Министерство энергетики РФ // URL: http://minenergo.gov.ru/node/5198</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Эквадор первым в ОПЕК стал продавать нефть ниже себестоимости // URL: http://fomag.ru/ru/news/currencies.aspx?news=8780</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lastRenderedPageBreak/>
        <w:t>Экспорт Российской Федерации сырой нефти за 2000-2014 годы (по данным ФТС России и Росстата) // URL: http://www.cbr.ru/statistics/print.aspx?file=credit_statistics/crude_oil.htm</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Энергетическая стратегия России на период до 2035 г. // URL: http://www.minenergo.gov.ru/upload/iblock/621/621d81f0fb5a11919f912bfafb3248d6</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rPr>
      </w:pPr>
      <w:r w:rsidRPr="00950C3B">
        <w:rPr>
          <w:rFonts w:ascii="Times New Roman" w:hAnsi="Times New Roman"/>
          <w:sz w:val="28"/>
          <w:szCs w:val="28"/>
        </w:rPr>
        <w:t>VII саммит БРИКС // URL: http://www.brics2015.ru</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r w:rsidRPr="00950C3B">
        <w:rPr>
          <w:rFonts w:ascii="Times New Roman" w:hAnsi="Times New Roman"/>
          <w:sz w:val="28"/>
          <w:szCs w:val="28"/>
          <w:lang w:val="en-US"/>
        </w:rPr>
        <w:t>Addressing Global Energy Challenges // World Petroleum Council: 80-th Anniversary Edition 1933-2013 // URL: http://www.world-petroleum.org/docs/docs/publications/wpc%2080th%201.pdf</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r w:rsidRPr="00950C3B">
        <w:rPr>
          <w:rFonts w:ascii="Times New Roman" w:hAnsi="Times New Roman"/>
          <w:sz w:val="28"/>
          <w:szCs w:val="28"/>
          <w:lang w:val="en-US"/>
        </w:rPr>
        <w:t>BP Statistical Review of World Energy, June 2016 // URL: https://www.bp.com/content/dam/bp/pdf/energy-economics/statistical-review-2016/bp-statistical-review-of-world-energy-2016-full-report.pdf</w:t>
      </w:r>
    </w:p>
    <w:p w:rsidR="00BB5DC7" w:rsidRPr="00950C3B" w:rsidRDefault="00BB5DC7" w:rsidP="00BB5DC7">
      <w:pPr>
        <w:pStyle w:val="a6"/>
        <w:numPr>
          <w:ilvl w:val="0"/>
          <w:numId w:val="10"/>
        </w:numPr>
        <w:spacing w:line="360" w:lineRule="auto"/>
        <w:ind w:left="714" w:hanging="357"/>
        <w:jc w:val="both"/>
        <w:rPr>
          <w:sz w:val="28"/>
          <w:szCs w:val="28"/>
          <w:lang w:val="en-US"/>
        </w:rPr>
      </w:pPr>
      <w:r w:rsidRPr="00950C3B">
        <w:rPr>
          <w:rFonts w:ascii="Times New Roman" w:hAnsi="Times New Roman"/>
          <w:sz w:val="28"/>
          <w:szCs w:val="28"/>
          <w:lang w:val="en-US"/>
        </w:rPr>
        <w:t>National Bureau of Statistics of China // URL:</w:t>
      </w:r>
      <w:r w:rsidRPr="00950C3B">
        <w:rPr>
          <w:sz w:val="28"/>
          <w:szCs w:val="28"/>
          <w:lang w:val="en-US"/>
        </w:rPr>
        <w:t xml:space="preserve"> </w:t>
      </w:r>
      <w:r w:rsidRPr="00950C3B">
        <w:rPr>
          <w:rFonts w:ascii="Times New Roman" w:hAnsi="Times New Roman"/>
          <w:sz w:val="28"/>
          <w:szCs w:val="28"/>
          <w:lang w:val="en-US"/>
        </w:rPr>
        <w:t>http://www.stats.gov.cn/english/statisticaldata/AnnualData/</w:t>
      </w:r>
    </w:p>
    <w:p w:rsidR="00BB5DC7" w:rsidRPr="00950C3B" w:rsidRDefault="00BB5DC7" w:rsidP="00BB5DC7">
      <w:pPr>
        <w:pStyle w:val="a6"/>
        <w:numPr>
          <w:ilvl w:val="0"/>
          <w:numId w:val="10"/>
        </w:numPr>
        <w:spacing w:line="360" w:lineRule="auto"/>
        <w:ind w:left="714" w:hanging="357"/>
        <w:jc w:val="both"/>
        <w:rPr>
          <w:rFonts w:ascii="Times New Roman" w:hAnsi="Times New Roman"/>
          <w:sz w:val="28"/>
          <w:szCs w:val="28"/>
          <w:lang w:val="en-US"/>
        </w:rPr>
      </w:pPr>
      <w:r w:rsidRPr="00950C3B">
        <w:rPr>
          <w:rFonts w:ascii="Times New Roman" w:hAnsi="Times New Roman"/>
          <w:sz w:val="28"/>
          <w:szCs w:val="28"/>
          <w:lang w:val="en-US"/>
        </w:rPr>
        <w:t>World Energy Investment Outlook 2016 // URL: https://www.iea.org/Textbase/npsum/WEI2016SUM.pdf</w:t>
      </w:r>
    </w:p>
    <w:p w:rsidR="00BB5DC7" w:rsidRPr="00950C3B" w:rsidRDefault="00BB5DC7" w:rsidP="00BB5DC7">
      <w:pPr>
        <w:spacing w:after="0" w:line="360" w:lineRule="auto"/>
        <w:jc w:val="both"/>
        <w:rPr>
          <w:rFonts w:ascii="Times New Roman" w:hAnsi="Times New Roman"/>
          <w:sz w:val="28"/>
          <w:szCs w:val="28"/>
          <w:lang w:val="en-US"/>
        </w:rPr>
      </w:pPr>
    </w:p>
    <w:p w:rsidR="000934AE" w:rsidRPr="00BB5DC7" w:rsidRDefault="000934AE" w:rsidP="00BB5DC7">
      <w:pPr>
        <w:rPr>
          <w:lang w:val="en-US"/>
        </w:rPr>
      </w:pPr>
    </w:p>
    <w:sectPr w:rsidR="000934AE" w:rsidRPr="00BB5DC7" w:rsidSect="002D4F58">
      <w:footerReference w:type="defaul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87A" w:rsidRDefault="0097487A" w:rsidP="002F2A02">
      <w:pPr>
        <w:spacing w:after="0" w:line="240" w:lineRule="auto"/>
      </w:pPr>
      <w:r>
        <w:separator/>
      </w:r>
    </w:p>
  </w:endnote>
  <w:endnote w:type="continuationSeparator" w:id="0">
    <w:p w:rsidR="0097487A" w:rsidRDefault="0097487A" w:rsidP="002F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47756"/>
      <w:docPartObj>
        <w:docPartGallery w:val="Page Numbers (Bottom of Page)"/>
        <w:docPartUnique/>
      </w:docPartObj>
    </w:sdtPr>
    <w:sdtContent>
      <w:p w:rsidR="002D4F58" w:rsidRDefault="002D4F58">
        <w:pPr>
          <w:pStyle w:val="a3"/>
          <w:jc w:val="center"/>
        </w:pPr>
        <w:r>
          <w:fldChar w:fldCharType="begin"/>
        </w:r>
        <w:r>
          <w:instrText>PAGE   \* MERGEFORMAT</w:instrText>
        </w:r>
        <w:r>
          <w:fldChar w:fldCharType="separate"/>
        </w:r>
        <w:r>
          <w:rPr>
            <w:noProof/>
          </w:rPr>
          <w:t>5</w:t>
        </w:r>
        <w:r>
          <w:fldChar w:fldCharType="end"/>
        </w:r>
      </w:p>
    </w:sdtContent>
  </w:sdt>
  <w:p w:rsidR="002D4F58" w:rsidRDefault="002D4F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58" w:rsidRDefault="002D4F58" w:rsidP="002D4F58">
    <w:pPr>
      <w:pStyle w:val="a3"/>
    </w:pPr>
  </w:p>
  <w:p w:rsidR="00970F08" w:rsidRDefault="00970F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87A" w:rsidRDefault="0097487A" w:rsidP="002F2A02">
      <w:pPr>
        <w:spacing w:after="0" w:line="240" w:lineRule="auto"/>
      </w:pPr>
      <w:r>
        <w:separator/>
      </w:r>
    </w:p>
  </w:footnote>
  <w:footnote w:type="continuationSeparator" w:id="0">
    <w:p w:rsidR="0097487A" w:rsidRDefault="0097487A" w:rsidP="002F2A02">
      <w:pPr>
        <w:spacing w:after="0" w:line="240" w:lineRule="auto"/>
      </w:pPr>
      <w:r>
        <w:continuationSeparator/>
      </w:r>
    </w:p>
  </w:footnote>
  <w:footnote w:id="1">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Иванов А.С. Мировая энергетика на пороге 2016 года – в эпицентре политических осложнений и экономических неурядиц  // URL: http://burneft.ru/archive/issues/2016-01/</w:t>
      </w:r>
    </w:p>
  </w:footnote>
  <w:footnote w:id="2">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BP Statistical Review of World Energy, June 2016 // URL: https://www.bp.com/content/dam/bp/pdf/energy-economics/statistical-review-2016/bp-statistical-review-of-world-energy-2016-full-report.pdf</w:t>
      </w:r>
    </w:p>
  </w:footnote>
  <w:footnote w:id="3">
    <w:p w:rsidR="00BB5DC7" w:rsidRPr="00BB5DC7"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rPr>
        <w:t xml:space="preserve"> Иванов А.С. Мировая энергетика на рубеже 2015 года под прессом ожесточающих факторов // Бурение и нефть. </w:t>
      </w:r>
      <w:r w:rsidRPr="00BB5DC7">
        <w:rPr>
          <w:rFonts w:ascii="Times New Roman" w:hAnsi="Times New Roman"/>
          <w:lang w:val="en-US"/>
        </w:rPr>
        <w:t xml:space="preserve">2015. №1. </w:t>
      </w:r>
      <w:r w:rsidRPr="00852966">
        <w:rPr>
          <w:rFonts w:ascii="Times New Roman" w:hAnsi="Times New Roman"/>
        </w:rPr>
        <w:t>С</w:t>
      </w:r>
      <w:r w:rsidRPr="00BB5DC7">
        <w:rPr>
          <w:rFonts w:ascii="Times New Roman" w:hAnsi="Times New Roman"/>
          <w:lang w:val="en-US"/>
        </w:rPr>
        <w:t>. 8-17.</w:t>
      </w:r>
    </w:p>
  </w:footnote>
  <w:footnote w:id="4">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w:t>
      </w:r>
      <w:r w:rsidRPr="00852966">
        <w:rPr>
          <w:rFonts w:ascii="Times New Roman" w:hAnsi="Times New Roman"/>
        </w:rPr>
        <w:t>Составлено</w:t>
      </w:r>
      <w:r w:rsidRPr="00852966">
        <w:rPr>
          <w:rFonts w:ascii="Times New Roman" w:hAnsi="Times New Roman"/>
          <w:lang w:val="en-US"/>
        </w:rPr>
        <w:t xml:space="preserve"> </w:t>
      </w:r>
      <w:r w:rsidRPr="00852966">
        <w:rPr>
          <w:rFonts w:ascii="Times New Roman" w:hAnsi="Times New Roman"/>
        </w:rPr>
        <w:t>по</w:t>
      </w:r>
      <w:r w:rsidRPr="00852966">
        <w:rPr>
          <w:rFonts w:ascii="Times New Roman" w:hAnsi="Times New Roman"/>
          <w:lang w:val="en-US"/>
        </w:rPr>
        <w:t>: BP Statistical Review of World Energy, June 2016 // URL: https://www.bp.com/content/dam/bp/pdf/energy-economics/statistical-review-2016/bp-statistical-review-of-world-energy-2016-full-report.pdf</w:t>
      </w:r>
    </w:p>
  </w:footnote>
  <w:footnote w:id="5">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Эквадор первым в ОПЕК стал продавать нефть ниже себестоимости // URL: http://fomag.ru/ru/news/currencies.aspx?news=8780</w:t>
      </w:r>
    </w:p>
  </w:footnote>
  <w:footnote w:id="6">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Канада, Венесуэла, Ирак и Мексика торгуют нефтью почти по $20 // URL: http://www.finanz.ru/novosti/birzhevyye-tovary/kanada-venesuela-irak-i-meksika-torguyut-neftyu-pochti-po-$20-1000961152</w:t>
      </w:r>
    </w:p>
  </w:footnote>
  <w:footnote w:id="7">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Мексика страхуется от падения цен на нефть // URL: http://www.vedomosti.ru/economics/articles/2015/08/21/605695-meksika-strahuetsya-padeniya-tsen-na-neft</w:t>
      </w:r>
    </w:p>
  </w:footnote>
  <w:footnote w:id="8">
    <w:p w:rsidR="00BB5DC7" w:rsidRPr="00BB5DC7"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rPr>
        <w:t xml:space="preserve"> Делягин </w:t>
      </w:r>
      <w:proofErr w:type="gramStart"/>
      <w:r w:rsidRPr="00852966">
        <w:rPr>
          <w:rFonts w:ascii="Times New Roman" w:hAnsi="Times New Roman"/>
        </w:rPr>
        <w:t>М.</w:t>
      </w:r>
      <w:proofErr w:type="gramEnd"/>
      <w:r w:rsidRPr="00852966">
        <w:rPr>
          <w:rFonts w:ascii="Times New Roman" w:hAnsi="Times New Roman"/>
        </w:rPr>
        <w:t xml:space="preserve"> Когда закончится нефть // Московский комсомолец. </w:t>
      </w:r>
      <w:r w:rsidRPr="00BB5DC7">
        <w:rPr>
          <w:rFonts w:ascii="Times New Roman" w:hAnsi="Times New Roman"/>
          <w:lang w:val="en-US"/>
        </w:rPr>
        <w:t xml:space="preserve">2013. 6 </w:t>
      </w:r>
      <w:r w:rsidRPr="00852966">
        <w:rPr>
          <w:rFonts w:ascii="Times New Roman" w:hAnsi="Times New Roman"/>
        </w:rPr>
        <w:t>августа</w:t>
      </w:r>
      <w:r w:rsidRPr="00BB5DC7">
        <w:rPr>
          <w:rFonts w:ascii="Times New Roman" w:hAnsi="Times New Roman"/>
          <w:lang w:val="en-US"/>
        </w:rPr>
        <w:t xml:space="preserve">. </w:t>
      </w:r>
      <w:r w:rsidRPr="00852966">
        <w:rPr>
          <w:rFonts w:ascii="Times New Roman" w:hAnsi="Times New Roman"/>
        </w:rPr>
        <w:t>С</w:t>
      </w:r>
      <w:r w:rsidRPr="00BB5DC7">
        <w:rPr>
          <w:rFonts w:ascii="Times New Roman" w:hAnsi="Times New Roman"/>
          <w:lang w:val="en-US"/>
        </w:rPr>
        <w:t>. 3.</w:t>
      </w:r>
    </w:p>
  </w:footnote>
  <w:footnote w:id="9">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w:t>
      </w:r>
      <w:r w:rsidRPr="00852966">
        <w:rPr>
          <w:rFonts w:ascii="Times New Roman" w:hAnsi="Times New Roman"/>
        </w:rPr>
        <w:t>См</w:t>
      </w:r>
      <w:r w:rsidRPr="00852966">
        <w:rPr>
          <w:rFonts w:ascii="Times New Roman" w:hAnsi="Times New Roman"/>
          <w:lang w:val="en-US"/>
        </w:rPr>
        <w:t>.: BP Statistical Review of World Energy, June 2016 // URL: https://www.bp.com/content/dam/bp/pdf/energy-economics/statistical-review-2016/bp-statistical-review-of-world-energy-2016-full-report.pdf</w:t>
      </w:r>
    </w:p>
  </w:footnote>
  <w:footnote w:id="10">
    <w:p w:rsidR="00BB5DC7" w:rsidRPr="00BB5DC7"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rPr>
        <w:t xml:space="preserve"> </w:t>
      </w:r>
      <w:proofErr w:type="spellStart"/>
      <w:r w:rsidRPr="00852966">
        <w:rPr>
          <w:rFonts w:ascii="Times New Roman" w:hAnsi="Times New Roman"/>
        </w:rPr>
        <w:t>Мастепанов</w:t>
      </w:r>
      <w:proofErr w:type="spellEnd"/>
      <w:r w:rsidRPr="00852966">
        <w:rPr>
          <w:rFonts w:ascii="Times New Roman" w:hAnsi="Times New Roman"/>
        </w:rPr>
        <w:t xml:space="preserve"> А. Об энергетической ситуации в условиях новых вызовов и геополитических реалий // Академия энергетики. 2015. Июнь. С. 4-10; </w:t>
      </w:r>
      <w:proofErr w:type="spellStart"/>
      <w:r w:rsidRPr="00852966">
        <w:rPr>
          <w:rFonts w:ascii="Times New Roman" w:hAnsi="Times New Roman"/>
        </w:rPr>
        <w:t>Олейнов</w:t>
      </w:r>
      <w:proofErr w:type="spellEnd"/>
      <w:r w:rsidRPr="00852966">
        <w:rPr>
          <w:rFonts w:ascii="Times New Roman" w:hAnsi="Times New Roman"/>
        </w:rPr>
        <w:t xml:space="preserve"> А. Топливно-энергетический комплекс мира. М: </w:t>
      </w:r>
      <w:proofErr w:type="spellStart"/>
      <w:r w:rsidRPr="00852966">
        <w:rPr>
          <w:rFonts w:ascii="Times New Roman" w:hAnsi="Times New Roman"/>
        </w:rPr>
        <w:t>Навона</w:t>
      </w:r>
      <w:proofErr w:type="spellEnd"/>
      <w:r w:rsidRPr="00852966">
        <w:rPr>
          <w:rFonts w:ascii="Times New Roman" w:hAnsi="Times New Roman"/>
        </w:rPr>
        <w:t>, 2008. С</w:t>
      </w:r>
      <w:r w:rsidRPr="00BB5DC7">
        <w:rPr>
          <w:rFonts w:ascii="Times New Roman" w:hAnsi="Times New Roman"/>
          <w:lang w:val="en-US"/>
        </w:rPr>
        <w:t>. 472.</w:t>
      </w:r>
    </w:p>
  </w:footnote>
  <w:footnote w:id="11">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w:t>
      </w:r>
      <w:r w:rsidRPr="00852966">
        <w:rPr>
          <w:rFonts w:ascii="Times New Roman" w:hAnsi="Times New Roman"/>
        </w:rPr>
        <w:t>См</w:t>
      </w:r>
      <w:r w:rsidRPr="00852966">
        <w:rPr>
          <w:rFonts w:ascii="Times New Roman" w:hAnsi="Times New Roman"/>
          <w:lang w:val="en-US"/>
        </w:rPr>
        <w:t>.: BP Statistical Review of World Energy, June 2016 // URL: https://www.bp.com/content/dam/bp/pdf/energy-economics/statistical-review-2016/bp-statistical-review-of-world-energy-2016-full-report.pdf</w:t>
      </w:r>
    </w:p>
  </w:footnote>
  <w:footnote w:id="12">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BP Statistical Review of World Energy, June 2016 // URL: https://www.bp.com/content/dam/bp/pdf/energy-economics/statistical-review-2016/bp-statistical-review-of-world-energy-2016-full-report.pdf</w:t>
      </w:r>
    </w:p>
  </w:footnote>
  <w:footnote w:id="13">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Иванов А.С. Мировая энергетика на пороге 2016 года – в эпицентре политических осложнений и экономических неурядиц // URL: http://burneft.ru/archive/issues/2016-01/3</w:t>
      </w:r>
    </w:p>
  </w:footnote>
  <w:footnote w:id="14">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proofErr w:type="spellStart"/>
      <w:r w:rsidRPr="00852966">
        <w:rPr>
          <w:rFonts w:ascii="Times New Roman" w:hAnsi="Times New Roman"/>
        </w:rPr>
        <w:t>Горяинов</w:t>
      </w:r>
      <w:proofErr w:type="spellEnd"/>
      <w:r w:rsidRPr="00852966">
        <w:rPr>
          <w:rFonts w:ascii="Times New Roman" w:hAnsi="Times New Roman"/>
        </w:rPr>
        <w:t xml:space="preserve"> М.В. Основные тенденции развития мировых энергетических рынков: проблемы и перспективы // Вестник Университета Российской академии образования. 2016. №2. С. 161-164.</w:t>
      </w:r>
    </w:p>
  </w:footnote>
  <w:footnote w:id="15">
    <w:p w:rsidR="00BB5DC7" w:rsidRPr="00BB5DC7"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rPr>
        <w:t xml:space="preserve"> </w:t>
      </w:r>
      <w:proofErr w:type="spellStart"/>
      <w:r w:rsidRPr="00852966">
        <w:rPr>
          <w:rFonts w:ascii="Times New Roman" w:hAnsi="Times New Roman"/>
        </w:rPr>
        <w:t>Горяинов</w:t>
      </w:r>
      <w:proofErr w:type="spellEnd"/>
      <w:r w:rsidRPr="00852966">
        <w:rPr>
          <w:rFonts w:ascii="Times New Roman" w:hAnsi="Times New Roman"/>
        </w:rPr>
        <w:t xml:space="preserve"> М.В. Основные тенденции развития мировых энергетических рынков: проблемы и перспективы // Вестник Университета Российской академии образования. </w:t>
      </w:r>
      <w:r w:rsidRPr="00BB5DC7">
        <w:rPr>
          <w:rFonts w:ascii="Times New Roman" w:hAnsi="Times New Roman"/>
          <w:lang w:val="en-US"/>
        </w:rPr>
        <w:t xml:space="preserve">2016. №2. </w:t>
      </w:r>
      <w:r w:rsidRPr="00852966">
        <w:rPr>
          <w:rFonts w:ascii="Times New Roman" w:hAnsi="Times New Roman"/>
        </w:rPr>
        <w:t>С</w:t>
      </w:r>
      <w:r w:rsidRPr="00BB5DC7">
        <w:rPr>
          <w:rFonts w:ascii="Times New Roman" w:hAnsi="Times New Roman"/>
          <w:lang w:val="en-US"/>
        </w:rPr>
        <w:t>. 161-164.</w:t>
      </w:r>
    </w:p>
  </w:footnote>
  <w:footnote w:id="16">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Addressing Global Energy Challenges // World Petroleum Council: 80-th Anniversary Edition 1933-2013 // URL: http://www.world-petroleum.org/docs/docs/publications/wpc%2080th%201.pdf</w:t>
      </w:r>
    </w:p>
  </w:footnote>
  <w:footnote w:id="17">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proofErr w:type="spellStart"/>
      <w:r w:rsidRPr="00852966">
        <w:rPr>
          <w:rFonts w:ascii="Times New Roman" w:hAnsi="Times New Roman"/>
        </w:rPr>
        <w:t>Мастепанов</w:t>
      </w:r>
      <w:proofErr w:type="spellEnd"/>
      <w:r w:rsidRPr="00852966">
        <w:rPr>
          <w:rFonts w:ascii="Times New Roman" w:hAnsi="Times New Roman"/>
        </w:rPr>
        <w:t xml:space="preserve"> А. Сотрудничество стран БРИКС в энергетической сфере как фактор прогнозирования мирового энергопотребления // URL: http://burneft.ru/archive/issues/2016-01/13</w:t>
      </w:r>
    </w:p>
  </w:footnote>
  <w:footnote w:id="18">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r>
        <w:rPr>
          <w:rFonts w:ascii="Times New Roman" w:hAnsi="Times New Roman"/>
        </w:rPr>
        <w:t xml:space="preserve">Составлено по данным: </w:t>
      </w:r>
      <w:proofErr w:type="spellStart"/>
      <w:r w:rsidRPr="00852966">
        <w:rPr>
          <w:rFonts w:ascii="Times New Roman" w:hAnsi="Times New Roman"/>
        </w:rPr>
        <w:t>Мастепанов</w:t>
      </w:r>
      <w:proofErr w:type="spellEnd"/>
      <w:r w:rsidRPr="00852966">
        <w:rPr>
          <w:rFonts w:ascii="Times New Roman" w:hAnsi="Times New Roman"/>
        </w:rPr>
        <w:t xml:space="preserve"> А. Сотрудничество стран БРИКС в энергетической сфере как фактор прогнозирования мирового энергопотребления // URL: http://burneft.ru/archive/issues/2016-01/13</w:t>
      </w:r>
    </w:p>
  </w:footnote>
  <w:footnote w:id="19">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r>
        <w:rPr>
          <w:rFonts w:ascii="Times New Roman" w:hAnsi="Times New Roman"/>
        </w:rPr>
        <w:t>Составлено по данным: Там же.</w:t>
      </w:r>
    </w:p>
  </w:footnote>
  <w:footnote w:id="20">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r>
        <w:rPr>
          <w:rFonts w:ascii="Times New Roman" w:hAnsi="Times New Roman"/>
        </w:rPr>
        <w:t xml:space="preserve">Составлено по данным: </w:t>
      </w:r>
      <w:proofErr w:type="spellStart"/>
      <w:r w:rsidRPr="00852966">
        <w:rPr>
          <w:rFonts w:ascii="Times New Roman" w:hAnsi="Times New Roman"/>
        </w:rPr>
        <w:t>Мастепанов</w:t>
      </w:r>
      <w:proofErr w:type="spellEnd"/>
      <w:r w:rsidRPr="00852966">
        <w:rPr>
          <w:rFonts w:ascii="Times New Roman" w:hAnsi="Times New Roman"/>
        </w:rPr>
        <w:t xml:space="preserve"> А. Сотрудничество стран БРИКС в энергетической сфере как фактор прогнозирования мирового энергопотребления // URL: http://burneft.ru/archive/issues/2016-01/13</w:t>
      </w:r>
    </w:p>
  </w:footnote>
  <w:footnote w:id="21">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Таможенная служба РФ // </w:t>
      </w:r>
      <w:r w:rsidRPr="00852966">
        <w:rPr>
          <w:rFonts w:ascii="Times New Roman" w:hAnsi="Times New Roman"/>
          <w:lang w:val="en-US"/>
        </w:rPr>
        <w:t>URL</w:t>
      </w:r>
      <w:r w:rsidRPr="00852966">
        <w:rPr>
          <w:rFonts w:ascii="Times New Roman" w:hAnsi="Times New Roman"/>
        </w:rPr>
        <w:t xml:space="preserve">: </w:t>
      </w:r>
      <w:r w:rsidRPr="00852966">
        <w:rPr>
          <w:rFonts w:ascii="Times New Roman" w:hAnsi="Times New Roman"/>
          <w:lang w:val="en-US"/>
        </w:rPr>
        <w:t>http</w:t>
      </w:r>
      <w:r w:rsidRPr="00852966">
        <w:rPr>
          <w:rFonts w:ascii="Times New Roman" w:hAnsi="Times New Roman"/>
        </w:rPr>
        <w:t>://</w:t>
      </w:r>
      <w:r w:rsidRPr="00852966">
        <w:rPr>
          <w:rFonts w:ascii="Times New Roman" w:hAnsi="Times New Roman"/>
          <w:lang w:val="en-US"/>
        </w:rPr>
        <w:t>www</w:t>
      </w:r>
      <w:r w:rsidRPr="00852966">
        <w:rPr>
          <w:rFonts w:ascii="Times New Roman" w:hAnsi="Times New Roman"/>
        </w:rPr>
        <w:t>,</w:t>
      </w:r>
      <w:r w:rsidRPr="00852966">
        <w:rPr>
          <w:rFonts w:ascii="Times New Roman" w:hAnsi="Times New Roman"/>
          <w:lang w:val="en-US"/>
        </w:rPr>
        <w:t>customs</w:t>
      </w:r>
      <w:r w:rsidRPr="00852966">
        <w:rPr>
          <w:rFonts w:ascii="Times New Roman" w:hAnsi="Times New Roman"/>
        </w:rPr>
        <w:t>.</w:t>
      </w:r>
      <w:proofErr w:type="spellStart"/>
      <w:r w:rsidRPr="00852966">
        <w:rPr>
          <w:rFonts w:ascii="Times New Roman" w:hAnsi="Times New Roman"/>
          <w:lang w:val="en-US"/>
        </w:rPr>
        <w:t>ru</w:t>
      </w:r>
      <w:proofErr w:type="spellEnd"/>
    </w:p>
  </w:footnote>
  <w:footnote w:id="22">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Статистика внешнего сектора // URL: http://www.cbr.ru/statistics/?PrtId=svs</w:t>
      </w:r>
    </w:p>
  </w:footnote>
  <w:footnote w:id="23">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r>
        <w:rPr>
          <w:rFonts w:ascii="Times New Roman" w:hAnsi="Times New Roman"/>
        </w:rPr>
        <w:t>Там же.</w:t>
      </w:r>
    </w:p>
  </w:footnote>
  <w:footnote w:id="24">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Там же.</w:t>
      </w:r>
    </w:p>
  </w:footnote>
  <w:footnote w:id="25">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Платежный баланс России 1-2 квартал 2015 к 2014 // URL: https://geopolitika.dirty.ru/platezhnyi-balans-rossii-1-2-kvartal-2015-k-2014-781552/</w:t>
      </w:r>
    </w:p>
  </w:footnote>
  <w:footnote w:id="26">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Федеральная служба государственной статистики // URL: http://www.gks.ru</w:t>
      </w:r>
    </w:p>
  </w:footnote>
  <w:footnote w:id="27">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Россия установила рекорд по добыче нефти // URL: http://www.rbc.ru/economics/02/01/2016/5687785a9a79470d94bfc498</w:t>
      </w:r>
    </w:p>
  </w:footnote>
  <w:footnote w:id="28">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Доходы России от экспорта нефти в 2015 году снизились на 41,8% // URL: http://www.vedomosti.ru/economics/news/2016/02/05/627011-fts</w:t>
      </w:r>
    </w:p>
  </w:footnote>
  <w:footnote w:id="29">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Составлено автором </w:t>
      </w:r>
      <w:proofErr w:type="gramStart"/>
      <w:r w:rsidRPr="00852966">
        <w:rPr>
          <w:rFonts w:ascii="Times New Roman" w:hAnsi="Times New Roman"/>
        </w:rPr>
        <w:t>по</w:t>
      </w:r>
      <w:proofErr w:type="gramEnd"/>
      <w:r w:rsidRPr="00852966">
        <w:rPr>
          <w:rFonts w:ascii="Times New Roman" w:hAnsi="Times New Roman"/>
        </w:rPr>
        <w:t>: Экспорт Российской Федерации сырой нефти за 2000-2014 годы (по данным ФТС России и Росстата) // URL: http://www.cbr.ru/statistics/print.aspx?file=credit_statistics/crude_oil.htm</w:t>
      </w:r>
    </w:p>
  </w:footnote>
  <w:footnote w:id="30">
    <w:p w:rsidR="00BB5DC7" w:rsidRPr="00852966" w:rsidRDefault="00BB5DC7" w:rsidP="00BB5DC7">
      <w:pPr>
        <w:pStyle w:val="a6"/>
        <w:jc w:val="both"/>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Официальные данные компании ОАО «Газпром» // </w:t>
      </w:r>
      <w:r w:rsidRPr="00852966">
        <w:rPr>
          <w:rFonts w:ascii="Times New Roman" w:hAnsi="Times New Roman"/>
          <w:lang w:val="en-US"/>
        </w:rPr>
        <w:t>URL</w:t>
      </w:r>
      <w:r w:rsidRPr="00852966">
        <w:rPr>
          <w:rFonts w:ascii="Times New Roman" w:hAnsi="Times New Roman"/>
        </w:rPr>
        <w:t>: http://www.gazprom.ru/documents/Statistika</w:t>
      </w:r>
    </w:p>
  </w:footnote>
  <w:footnote w:id="31">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Козловский Е.А., Комаров М.А., Макрушин Р.Н. Возможности сотрудничества БРИКС в области топливно-энергетического комплекса // URL: http://iorj.hse.ru/data/2012/06/08/1252690818/5.pdf</w:t>
      </w:r>
    </w:p>
  </w:footnote>
  <w:footnote w:id="32">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БРИКС – новый фактор глобальной экономики и политики // URL: www.brics.mid.ru/brics.nsf/0/68660EECB2508E27C3257856003DF115</w:t>
      </w:r>
    </w:p>
  </w:footnote>
  <w:footnote w:id="33">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VII саммит БРИКС. Уфимская декларация // URL: http://www.brics2015.ru</w:t>
      </w:r>
    </w:p>
  </w:footnote>
  <w:footnote w:id="34">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Там же.</w:t>
      </w:r>
    </w:p>
  </w:footnote>
  <w:footnote w:id="35">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БРИКС: история, участники и экономический потенциал // URL: http://www.ria.ru/infografika/20150323/1053966117.html</w:t>
      </w:r>
    </w:p>
  </w:footnote>
  <w:footnote w:id="36">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Энергетическая стратегия России на период до 2035 г. // URL: http://www.minenergo.gov.ru/upload/iblock/621/621d81f0fb5a11919f912bfafb3248d6</w:t>
      </w:r>
    </w:p>
  </w:footnote>
  <w:footnote w:id="37">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См.:  Сафина А.Р. Перспективное направление сотрудничества стран БРИКС в сфере энергетики // Экономика и управление: проблемы, решения. 2016. №12. Т. 2. Декабрь. С. 156-161.</w:t>
      </w:r>
    </w:p>
  </w:footnote>
  <w:footnote w:id="38">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См.: Крылова А.В., </w:t>
      </w:r>
      <w:proofErr w:type="spellStart"/>
      <w:r w:rsidRPr="00852966">
        <w:rPr>
          <w:rFonts w:ascii="Times New Roman" w:hAnsi="Times New Roman"/>
        </w:rPr>
        <w:t>Дерменжи</w:t>
      </w:r>
      <w:proofErr w:type="spellEnd"/>
      <w:r w:rsidRPr="00852966">
        <w:rPr>
          <w:rFonts w:ascii="Times New Roman" w:hAnsi="Times New Roman"/>
        </w:rPr>
        <w:t xml:space="preserve"> М.И. Прогнозирование мирового потребления топливно-энергетических ресурсов на примере сотрудничества стран БРИКС // Научные записки </w:t>
      </w:r>
      <w:proofErr w:type="spellStart"/>
      <w:r w:rsidRPr="00852966">
        <w:rPr>
          <w:rFonts w:ascii="Times New Roman" w:hAnsi="Times New Roman"/>
        </w:rPr>
        <w:t>ОрелГИЭТ</w:t>
      </w:r>
      <w:proofErr w:type="spellEnd"/>
      <w:r w:rsidRPr="00852966">
        <w:rPr>
          <w:rFonts w:ascii="Times New Roman" w:hAnsi="Times New Roman"/>
        </w:rPr>
        <w:t>. 2016. №5 (17). С. 34-39.</w:t>
      </w:r>
    </w:p>
  </w:footnote>
  <w:footnote w:id="39">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См.: Рева А. Перспективы развития энергетического комплекса Индии // URL: http://www.imemo.ru/files/File/ru/conf/2016/29042016/02_09_Reva.pdf</w:t>
      </w:r>
    </w:p>
  </w:footnote>
  <w:footnote w:id="40">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Сафина А.Р. Перспективное направление сотрудничества стран БРИКС в сфере энергетики // Экономика и управление: проблемы, решения. 2016. №12. Т. 2. Декабрь. С. 156-161.</w:t>
      </w:r>
    </w:p>
  </w:footnote>
  <w:footnote w:id="41">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Там же.</w:t>
      </w:r>
    </w:p>
  </w:footnote>
  <w:footnote w:id="42">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Выступление на встрече лидеров Бразилии, России, Индии, Китая и ЮАР в расширенном составе. – 15.07.2014 // URL: http://www.kremlin.ru/events/president/transcripts/46229</w:t>
      </w:r>
    </w:p>
  </w:footnote>
  <w:footnote w:id="43">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Уфимская декларация. VII саммит БРИКС. Полный текст. 9 июля 2015 года // URL: http://bricslive.ru/live/ufimskaya-deklaracziya</w:t>
      </w:r>
    </w:p>
  </w:footnote>
  <w:footnote w:id="44">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Стратегия экономического партнерства БРИКС // URL: http://static.kremlin.ru/media/events/files/ru/KT0SBHnIZjOpIuAj2AOXCnszNQA8u7HL.pdf</w:t>
      </w:r>
    </w:p>
  </w:footnote>
  <w:footnote w:id="45">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Роснефть закрыла сделку с ONGC по продаже 15% «</w:t>
      </w:r>
      <w:proofErr w:type="spellStart"/>
      <w:r w:rsidRPr="00852966">
        <w:rPr>
          <w:rFonts w:ascii="Times New Roman" w:hAnsi="Times New Roman"/>
        </w:rPr>
        <w:t>Ванкорнефти</w:t>
      </w:r>
      <w:proofErr w:type="spellEnd"/>
      <w:r w:rsidRPr="00852966">
        <w:rPr>
          <w:rFonts w:ascii="Times New Roman" w:hAnsi="Times New Roman"/>
        </w:rPr>
        <w:t>» // URL: http://neftrossii.ru/content/rosneft-zakryla-sdelku-s-ongc-po-prodazhe-15-vankornefti</w:t>
      </w:r>
    </w:p>
  </w:footnote>
  <w:footnote w:id="46">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Газпром будет продавать сжиженный газ в Индию // URL: http://mir-politika.ru/14635-gazprom-budet-prodavat-szhizhennyy-gaz-v-indiyu.html</w:t>
      </w:r>
    </w:p>
  </w:footnote>
  <w:footnote w:id="47">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World Energy Investment Outlook 2016 // URL: https://www.iea.org/Textbase/npsum/WEI2016SUM.pdf</w:t>
      </w:r>
    </w:p>
  </w:footnote>
  <w:footnote w:id="48">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Форум ENES // Министерство энергетики РФ // URL: http://minenergo.gov.ru/node/5198</w:t>
      </w:r>
    </w:p>
  </w:footnote>
  <w:footnote w:id="49">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Технологическая платформа «Перспективные технологии возобновляемой энергетики» // URL: http://www.rushydro.ru/upload/iblock/204/TP-PTVE---Prezentatsiya-na-forum-otkritie-innovatsii-RFTR.pdf</w:t>
      </w:r>
    </w:p>
  </w:footnote>
  <w:footnote w:id="50">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Совместное заявление Российской Федерации и Китайской Народной Республики о новом этапе отношений всеобъемлющего партнерства и стратегического взаимодействия. 20 мая </w:t>
      </w:r>
      <w:smartTag w:uri="urn:schemas-microsoft-com:office:smarttags" w:element="metricconverter">
        <w:smartTagPr>
          <w:attr w:name="ProductID" w:val="2014 г"/>
        </w:smartTagPr>
        <w:r w:rsidRPr="00852966">
          <w:rPr>
            <w:rFonts w:ascii="Times New Roman" w:hAnsi="Times New Roman"/>
          </w:rPr>
          <w:t>2014 г</w:t>
        </w:r>
      </w:smartTag>
      <w:r w:rsidRPr="00852966">
        <w:rPr>
          <w:rFonts w:ascii="Times New Roman" w:hAnsi="Times New Roman"/>
        </w:rPr>
        <w:t>. // URL: http://www.news.kremlin.ru/ref_notes/1642</w:t>
      </w:r>
    </w:p>
  </w:footnote>
  <w:footnote w:id="51">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Российско-китайское торгово-экономическое сотрудничество // </w:t>
      </w:r>
      <w:r w:rsidRPr="00852966">
        <w:rPr>
          <w:rFonts w:ascii="Times New Roman" w:hAnsi="Times New Roman"/>
          <w:lang w:val="en-US"/>
        </w:rPr>
        <w:t>URL</w:t>
      </w:r>
      <w:r w:rsidRPr="00852966">
        <w:rPr>
          <w:rFonts w:ascii="Times New Roman" w:hAnsi="Times New Roman"/>
        </w:rPr>
        <w:t xml:space="preserve">: </w:t>
      </w:r>
      <w:r w:rsidRPr="00852966">
        <w:rPr>
          <w:rFonts w:ascii="Times New Roman" w:hAnsi="Times New Roman"/>
          <w:lang w:val="en-US"/>
        </w:rPr>
        <w:t>http</w:t>
      </w:r>
      <w:r w:rsidRPr="00852966">
        <w:rPr>
          <w:rFonts w:ascii="Times New Roman" w:hAnsi="Times New Roman"/>
        </w:rPr>
        <w:t>://</w:t>
      </w:r>
      <w:r w:rsidRPr="00852966">
        <w:rPr>
          <w:rFonts w:ascii="Times New Roman" w:hAnsi="Times New Roman"/>
          <w:lang w:val="en-US"/>
        </w:rPr>
        <w:t>www</w:t>
      </w:r>
      <w:r w:rsidRPr="00852966">
        <w:rPr>
          <w:rFonts w:ascii="Times New Roman" w:hAnsi="Times New Roman"/>
        </w:rPr>
        <w:t>.</w:t>
      </w:r>
      <w:proofErr w:type="spellStart"/>
      <w:r w:rsidRPr="00852966">
        <w:rPr>
          <w:rFonts w:ascii="Times New Roman" w:hAnsi="Times New Roman"/>
          <w:lang w:val="en-US"/>
        </w:rPr>
        <w:t>ved</w:t>
      </w:r>
      <w:proofErr w:type="spellEnd"/>
      <w:r w:rsidRPr="00852966">
        <w:rPr>
          <w:rFonts w:ascii="Times New Roman" w:hAnsi="Times New Roman"/>
        </w:rPr>
        <w:t>.</w:t>
      </w:r>
      <w:proofErr w:type="spellStart"/>
      <w:r w:rsidRPr="00852966">
        <w:rPr>
          <w:rFonts w:ascii="Times New Roman" w:hAnsi="Times New Roman"/>
          <w:lang w:val="en-US"/>
        </w:rPr>
        <w:t>gov</w:t>
      </w:r>
      <w:proofErr w:type="spellEnd"/>
      <w:r w:rsidRPr="00852966">
        <w:rPr>
          <w:rFonts w:ascii="Times New Roman" w:hAnsi="Times New Roman"/>
        </w:rPr>
        <w:t>.</w:t>
      </w:r>
      <w:proofErr w:type="spellStart"/>
      <w:r w:rsidRPr="00852966">
        <w:rPr>
          <w:rFonts w:ascii="Times New Roman" w:hAnsi="Times New Roman"/>
          <w:lang w:val="en-US"/>
        </w:rPr>
        <w:t>ru</w:t>
      </w:r>
      <w:proofErr w:type="spellEnd"/>
      <w:r w:rsidRPr="00852966">
        <w:rPr>
          <w:rFonts w:ascii="Times New Roman" w:hAnsi="Times New Roman"/>
        </w:rPr>
        <w:t>/</w:t>
      </w:r>
      <w:proofErr w:type="spellStart"/>
      <w:r w:rsidRPr="00852966">
        <w:rPr>
          <w:rFonts w:ascii="Times New Roman" w:hAnsi="Times New Roman"/>
          <w:lang w:val="en-US"/>
        </w:rPr>
        <w:t>exportcountries</w:t>
      </w:r>
      <w:proofErr w:type="spellEnd"/>
      <w:r w:rsidRPr="00852966">
        <w:rPr>
          <w:rFonts w:ascii="Times New Roman" w:hAnsi="Times New Roman"/>
        </w:rPr>
        <w:t>/</w:t>
      </w:r>
      <w:proofErr w:type="spellStart"/>
      <w:r w:rsidRPr="00852966">
        <w:rPr>
          <w:rFonts w:ascii="Times New Roman" w:hAnsi="Times New Roman"/>
          <w:lang w:val="en-US"/>
        </w:rPr>
        <w:t>cn</w:t>
      </w:r>
      <w:proofErr w:type="spellEnd"/>
      <w:r w:rsidRPr="00852966">
        <w:rPr>
          <w:rFonts w:ascii="Times New Roman" w:hAnsi="Times New Roman"/>
        </w:rPr>
        <w:t>/</w:t>
      </w:r>
      <w:proofErr w:type="spellStart"/>
      <w:r w:rsidRPr="00852966">
        <w:rPr>
          <w:rFonts w:ascii="Times New Roman" w:hAnsi="Times New Roman"/>
          <w:lang w:val="en-US"/>
        </w:rPr>
        <w:t>cn</w:t>
      </w:r>
      <w:proofErr w:type="spellEnd"/>
      <w:r w:rsidRPr="00852966">
        <w:rPr>
          <w:rFonts w:ascii="Times New Roman" w:hAnsi="Times New Roman"/>
        </w:rPr>
        <w:t>_</w:t>
      </w:r>
      <w:proofErr w:type="spellStart"/>
      <w:r w:rsidRPr="00852966">
        <w:rPr>
          <w:rFonts w:ascii="Times New Roman" w:hAnsi="Times New Roman"/>
          <w:lang w:val="en-US"/>
        </w:rPr>
        <w:t>ru</w:t>
      </w:r>
      <w:proofErr w:type="spellEnd"/>
      <w:r w:rsidRPr="00852966">
        <w:rPr>
          <w:rFonts w:ascii="Times New Roman" w:hAnsi="Times New Roman"/>
        </w:rPr>
        <w:t>_</w:t>
      </w:r>
      <w:r w:rsidRPr="00852966">
        <w:rPr>
          <w:rFonts w:ascii="Times New Roman" w:hAnsi="Times New Roman"/>
          <w:lang w:val="en-US"/>
        </w:rPr>
        <w:t>relations</w:t>
      </w:r>
      <w:r w:rsidRPr="00852966">
        <w:rPr>
          <w:rFonts w:ascii="Times New Roman" w:hAnsi="Times New Roman"/>
        </w:rPr>
        <w:t>/</w:t>
      </w:r>
      <w:proofErr w:type="spellStart"/>
      <w:r w:rsidRPr="00852966">
        <w:rPr>
          <w:rFonts w:ascii="Times New Roman" w:hAnsi="Times New Roman"/>
          <w:lang w:val="en-US"/>
        </w:rPr>
        <w:t>cn</w:t>
      </w:r>
      <w:proofErr w:type="spellEnd"/>
      <w:r w:rsidRPr="00852966">
        <w:rPr>
          <w:rFonts w:ascii="Times New Roman" w:hAnsi="Times New Roman"/>
        </w:rPr>
        <w:t>_</w:t>
      </w:r>
      <w:proofErr w:type="spellStart"/>
      <w:r w:rsidRPr="00852966">
        <w:rPr>
          <w:rFonts w:ascii="Times New Roman" w:hAnsi="Times New Roman"/>
          <w:lang w:val="en-US"/>
        </w:rPr>
        <w:t>ru</w:t>
      </w:r>
      <w:proofErr w:type="spellEnd"/>
      <w:r w:rsidRPr="00852966">
        <w:rPr>
          <w:rFonts w:ascii="Times New Roman" w:hAnsi="Times New Roman"/>
        </w:rPr>
        <w:t>_</w:t>
      </w:r>
      <w:r w:rsidRPr="00852966">
        <w:rPr>
          <w:rFonts w:ascii="Times New Roman" w:hAnsi="Times New Roman"/>
          <w:lang w:val="en-US"/>
        </w:rPr>
        <w:t>trade</w:t>
      </w:r>
      <w:r w:rsidRPr="00852966">
        <w:rPr>
          <w:rFonts w:ascii="Times New Roman" w:hAnsi="Times New Roman"/>
        </w:rPr>
        <w:t>/</w:t>
      </w:r>
    </w:p>
  </w:footnote>
  <w:footnote w:id="52">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Там же.</w:t>
      </w:r>
    </w:p>
  </w:footnote>
  <w:footnote w:id="53">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Составлено по: Федеральная служба государственной статистики // </w:t>
      </w:r>
      <w:r w:rsidRPr="00852966">
        <w:rPr>
          <w:rFonts w:ascii="Times New Roman" w:hAnsi="Times New Roman"/>
          <w:lang w:val="en-US"/>
        </w:rPr>
        <w:t>URL</w:t>
      </w:r>
      <w:r w:rsidRPr="00852966">
        <w:rPr>
          <w:rFonts w:ascii="Times New Roman" w:hAnsi="Times New Roman"/>
        </w:rPr>
        <w:t xml:space="preserve">: </w:t>
      </w:r>
      <w:r w:rsidRPr="00852966">
        <w:rPr>
          <w:rFonts w:ascii="Times New Roman" w:hAnsi="Times New Roman"/>
          <w:lang w:val="en-US"/>
        </w:rPr>
        <w:t>http</w:t>
      </w:r>
      <w:r w:rsidRPr="00852966">
        <w:rPr>
          <w:rFonts w:ascii="Times New Roman" w:hAnsi="Times New Roman"/>
        </w:rPr>
        <w:t>://</w:t>
      </w:r>
      <w:r w:rsidRPr="00852966">
        <w:rPr>
          <w:rFonts w:ascii="Times New Roman" w:hAnsi="Times New Roman"/>
          <w:lang w:val="en-US"/>
        </w:rPr>
        <w:t>www</w:t>
      </w:r>
      <w:r w:rsidRPr="00852966">
        <w:rPr>
          <w:rFonts w:ascii="Times New Roman" w:hAnsi="Times New Roman"/>
        </w:rPr>
        <w:t>.</w:t>
      </w:r>
      <w:proofErr w:type="spellStart"/>
      <w:r w:rsidRPr="00852966">
        <w:rPr>
          <w:rFonts w:ascii="Times New Roman" w:hAnsi="Times New Roman"/>
          <w:lang w:val="en-US"/>
        </w:rPr>
        <w:t>gks</w:t>
      </w:r>
      <w:proofErr w:type="spellEnd"/>
      <w:r w:rsidRPr="00852966">
        <w:rPr>
          <w:rFonts w:ascii="Times New Roman" w:hAnsi="Times New Roman"/>
        </w:rPr>
        <w:t>.</w:t>
      </w:r>
      <w:proofErr w:type="spellStart"/>
      <w:r w:rsidRPr="00852966">
        <w:rPr>
          <w:rFonts w:ascii="Times New Roman" w:hAnsi="Times New Roman"/>
          <w:lang w:val="en-US"/>
        </w:rPr>
        <w:t>ru</w:t>
      </w:r>
      <w:proofErr w:type="spellEnd"/>
    </w:p>
  </w:footnote>
  <w:footnote w:id="54">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Составлено автором </w:t>
      </w:r>
      <w:proofErr w:type="gramStart"/>
      <w:r w:rsidRPr="00852966">
        <w:rPr>
          <w:rFonts w:ascii="Times New Roman" w:hAnsi="Times New Roman"/>
        </w:rPr>
        <w:t>по</w:t>
      </w:r>
      <w:proofErr w:type="gramEnd"/>
      <w:r w:rsidRPr="00852966">
        <w:rPr>
          <w:rFonts w:ascii="Times New Roman" w:hAnsi="Times New Roman"/>
        </w:rPr>
        <w:t xml:space="preserve">: Федеральная служба государственной статистики // </w:t>
      </w:r>
      <w:r w:rsidRPr="00852966">
        <w:rPr>
          <w:rFonts w:ascii="Times New Roman" w:hAnsi="Times New Roman"/>
          <w:lang w:val="en-US"/>
        </w:rPr>
        <w:t>URL</w:t>
      </w:r>
      <w:r w:rsidRPr="00852966">
        <w:rPr>
          <w:rFonts w:ascii="Times New Roman" w:hAnsi="Times New Roman"/>
        </w:rPr>
        <w:t xml:space="preserve">: </w:t>
      </w:r>
      <w:r w:rsidRPr="00852966">
        <w:rPr>
          <w:rFonts w:ascii="Times New Roman" w:hAnsi="Times New Roman"/>
          <w:lang w:val="en-US"/>
        </w:rPr>
        <w:t>http</w:t>
      </w:r>
      <w:r w:rsidRPr="00852966">
        <w:rPr>
          <w:rFonts w:ascii="Times New Roman" w:hAnsi="Times New Roman"/>
        </w:rPr>
        <w:t>://</w:t>
      </w:r>
      <w:r w:rsidRPr="00852966">
        <w:rPr>
          <w:rFonts w:ascii="Times New Roman" w:hAnsi="Times New Roman"/>
          <w:lang w:val="en-US"/>
        </w:rPr>
        <w:t>www</w:t>
      </w:r>
      <w:r w:rsidRPr="00852966">
        <w:rPr>
          <w:rFonts w:ascii="Times New Roman" w:hAnsi="Times New Roman"/>
        </w:rPr>
        <w:t>.</w:t>
      </w:r>
      <w:proofErr w:type="spellStart"/>
      <w:r w:rsidRPr="00852966">
        <w:rPr>
          <w:rFonts w:ascii="Times New Roman" w:hAnsi="Times New Roman"/>
          <w:lang w:val="en-US"/>
        </w:rPr>
        <w:t>gks</w:t>
      </w:r>
      <w:proofErr w:type="spellEnd"/>
      <w:r w:rsidRPr="00852966">
        <w:rPr>
          <w:rFonts w:ascii="Times New Roman" w:hAnsi="Times New Roman"/>
        </w:rPr>
        <w:t>.</w:t>
      </w:r>
      <w:proofErr w:type="spellStart"/>
      <w:r w:rsidRPr="00852966">
        <w:rPr>
          <w:rFonts w:ascii="Times New Roman" w:hAnsi="Times New Roman"/>
          <w:lang w:val="en-US"/>
        </w:rPr>
        <w:t>ru</w:t>
      </w:r>
      <w:proofErr w:type="spellEnd"/>
    </w:p>
  </w:footnote>
  <w:footnote w:id="55">
    <w:p w:rsidR="00BB5DC7" w:rsidRPr="00852966" w:rsidRDefault="00BB5DC7" w:rsidP="00BB5DC7">
      <w:pPr>
        <w:pStyle w:val="a6"/>
        <w:rPr>
          <w:rFonts w:ascii="Times New Roman" w:hAnsi="Times New Roman"/>
          <w:lang w:val="en-US"/>
        </w:rPr>
      </w:pPr>
      <w:r w:rsidRPr="00852966">
        <w:rPr>
          <w:rStyle w:val="a8"/>
          <w:rFonts w:ascii="Times New Roman" w:hAnsi="Times New Roman"/>
        </w:rPr>
        <w:footnoteRef/>
      </w:r>
      <w:r w:rsidRPr="00852966">
        <w:rPr>
          <w:rFonts w:ascii="Times New Roman" w:hAnsi="Times New Roman"/>
          <w:lang w:val="en-US"/>
        </w:rPr>
        <w:t xml:space="preserve"> </w:t>
      </w:r>
      <w:r w:rsidRPr="00852966">
        <w:rPr>
          <w:rFonts w:ascii="Times New Roman" w:hAnsi="Times New Roman"/>
        </w:rPr>
        <w:t>Составлено</w:t>
      </w:r>
      <w:r w:rsidRPr="00852966">
        <w:rPr>
          <w:rFonts w:ascii="Times New Roman" w:hAnsi="Times New Roman"/>
          <w:lang w:val="en-US"/>
        </w:rPr>
        <w:t xml:space="preserve"> </w:t>
      </w:r>
      <w:r w:rsidRPr="00852966">
        <w:rPr>
          <w:rFonts w:ascii="Times New Roman" w:hAnsi="Times New Roman"/>
        </w:rPr>
        <w:t>автором</w:t>
      </w:r>
      <w:r w:rsidRPr="00852966">
        <w:rPr>
          <w:rFonts w:ascii="Times New Roman" w:hAnsi="Times New Roman"/>
          <w:lang w:val="en-US"/>
        </w:rPr>
        <w:t xml:space="preserve"> </w:t>
      </w:r>
      <w:proofErr w:type="gramStart"/>
      <w:r w:rsidRPr="00852966">
        <w:rPr>
          <w:rFonts w:ascii="Times New Roman" w:hAnsi="Times New Roman"/>
        </w:rPr>
        <w:t>по</w:t>
      </w:r>
      <w:proofErr w:type="gramEnd"/>
      <w:r w:rsidRPr="00852966">
        <w:rPr>
          <w:rFonts w:ascii="Times New Roman" w:hAnsi="Times New Roman"/>
          <w:lang w:val="en-US"/>
        </w:rPr>
        <w:t>: National Bureau of Statistics of China // URL: http://www.stats.gov.cn/english/statisticaldata/AnnualData/</w:t>
      </w:r>
    </w:p>
  </w:footnote>
  <w:footnote w:id="56">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Лебедева Т.П., </w:t>
      </w:r>
      <w:proofErr w:type="spellStart"/>
      <w:r w:rsidRPr="00852966">
        <w:rPr>
          <w:rFonts w:ascii="Times New Roman" w:hAnsi="Times New Roman"/>
        </w:rPr>
        <w:t>Мраморова</w:t>
      </w:r>
      <w:proofErr w:type="spellEnd"/>
      <w:r w:rsidRPr="00852966">
        <w:rPr>
          <w:rFonts w:ascii="Times New Roman" w:hAnsi="Times New Roman"/>
        </w:rPr>
        <w:t xml:space="preserve"> И.М. Энергетическая безопасность Китая как геополитическая проблема // Государственное управление. 2010. №24. Сентябрь.</w:t>
      </w:r>
    </w:p>
  </w:footnote>
  <w:footnote w:id="57">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w:t>
      </w:r>
      <w:proofErr w:type="spellStart"/>
      <w:r w:rsidRPr="00852966">
        <w:rPr>
          <w:rFonts w:ascii="Times New Roman" w:hAnsi="Times New Roman"/>
        </w:rPr>
        <w:t>Пусенкова</w:t>
      </w:r>
      <w:proofErr w:type="spellEnd"/>
      <w:r w:rsidRPr="00852966">
        <w:rPr>
          <w:rFonts w:ascii="Times New Roman" w:hAnsi="Times New Roman"/>
        </w:rPr>
        <w:t xml:space="preserve"> Н. Российская энергетическая политика на Востоке: китайские головоломки Роснефти. Париж: Центр Россия/ННГ, 2013. С. 15.</w:t>
      </w:r>
    </w:p>
  </w:footnote>
  <w:footnote w:id="58">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Энергетическая стратегия России на период до 2035 г. // URL: http://www.minenergo.gov.ru/upload/iblock/621/621d81f0fb5a11919f912bfafb3248d6</w:t>
      </w:r>
    </w:p>
  </w:footnote>
  <w:footnote w:id="59">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Энергетическая стратегия России на период до 2035 г. // URL: http://www.minenergo.gov.ru/upload/iblock/621/621d81f0fb5a11919f912bfafb3248d6</w:t>
      </w:r>
    </w:p>
  </w:footnote>
  <w:footnote w:id="60">
    <w:p w:rsidR="00BB5DC7" w:rsidRPr="00852966" w:rsidRDefault="00BB5DC7" w:rsidP="00BB5DC7">
      <w:pPr>
        <w:pStyle w:val="a6"/>
        <w:rPr>
          <w:rFonts w:ascii="Times New Roman" w:hAnsi="Times New Roman"/>
        </w:rPr>
      </w:pPr>
      <w:r w:rsidRPr="00852966">
        <w:rPr>
          <w:rStyle w:val="a8"/>
          <w:rFonts w:ascii="Times New Roman" w:hAnsi="Times New Roman"/>
        </w:rPr>
        <w:footnoteRef/>
      </w:r>
      <w:r w:rsidRPr="00852966">
        <w:rPr>
          <w:rFonts w:ascii="Times New Roman" w:hAnsi="Times New Roman"/>
        </w:rPr>
        <w:t xml:space="preserve"> Энергетическая стратегия России на период до 2035 г. // URL: http://www.minenergo.gov.ru/upload/iblock/621/621d81f0fb5a11919f912bfafb3248d6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59F"/>
    <w:multiLevelType w:val="hybridMultilevel"/>
    <w:tmpl w:val="54BC0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D4933"/>
    <w:multiLevelType w:val="hybridMultilevel"/>
    <w:tmpl w:val="E7D68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D3E3B"/>
    <w:multiLevelType w:val="hybridMultilevel"/>
    <w:tmpl w:val="20E8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024BE8"/>
    <w:multiLevelType w:val="hybridMultilevel"/>
    <w:tmpl w:val="6A66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0ECD"/>
    <w:multiLevelType w:val="hybridMultilevel"/>
    <w:tmpl w:val="EEDC2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75E0"/>
    <w:multiLevelType w:val="hybridMultilevel"/>
    <w:tmpl w:val="E024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976F54"/>
    <w:multiLevelType w:val="hybridMultilevel"/>
    <w:tmpl w:val="5028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15D95"/>
    <w:multiLevelType w:val="hybridMultilevel"/>
    <w:tmpl w:val="CCE28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37232A"/>
    <w:multiLevelType w:val="hybridMultilevel"/>
    <w:tmpl w:val="7AF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E22E34"/>
    <w:multiLevelType w:val="hybridMultilevel"/>
    <w:tmpl w:val="585E7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0"/>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9C"/>
    <w:rsid w:val="000934AE"/>
    <w:rsid w:val="002D4F58"/>
    <w:rsid w:val="002F2A02"/>
    <w:rsid w:val="004050D8"/>
    <w:rsid w:val="00922672"/>
    <w:rsid w:val="00970F08"/>
    <w:rsid w:val="0097487A"/>
    <w:rsid w:val="00BB5DC7"/>
    <w:rsid w:val="00C8259C"/>
    <w:rsid w:val="00E241DC"/>
    <w:rsid w:val="00E25C00"/>
    <w:rsid w:val="00F5433E"/>
    <w:rsid w:val="00FE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C7"/>
    <w:rPr>
      <w:rFonts w:ascii="Calibri" w:eastAsia="Calibri" w:hAnsi="Calibri" w:cs="Times New Roman"/>
    </w:rPr>
  </w:style>
  <w:style w:type="paragraph" w:styleId="1">
    <w:name w:val="heading 1"/>
    <w:basedOn w:val="a"/>
    <w:next w:val="a"/>
    <w:link w:val="10"/>
    <w:uiPriority w:val="9"/>
    <w:qFormat/>
    <w:rsid w:val="002F2A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F2A0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A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F2A02"/>
    <w:rPr>
      <w:rFonts w:ascii="Cambria" w:eastAsia="Times New Roman" w:hAnsi="Cambria" w:cs="Times New Roman"/>
      <w:b/>
      <w:bCs/>
      <w:i/>
      <w:iCs/>
      <w:sz w:val="28"/>
      <w:szCs w:val="28"/>
    </w:rPr>
  </w:style>
  <w:style w:type="paragraph" w:styleId="a3">
    <w:name w:val="footer"/>
    <w:basedOn w:val="a"/>
    <w:link w:val="a4"/>
    <w:uiPriority w:val="99"/>
    <w:unhideWhenUsed/>
    <w:rsid w:val="002F2A02"/>
    <w:pPr>
      <w:tabs>
        <w:tab w:val="center" w:pos="4677"/>
        <w:tab w:val="right" w:pos="9355"/>
      </w:tabs>
    </w:pPr>
  </w:style>
  <w:style w:type="character" w:customStyle="1" w:styleId="a4">
    <w:name w:val="Нижний колонтитул Знак"/>
    <w:basedOn w:val="a0"/>
    <w:link w:val="a3"/>
    <w:uiPriority w:val="99"/>
    <w:rsid w:val="002F2A02"/>
    <w:rPr>
      <w:rFonts w:ascii="Calibri" w:eastAsia="Calibri" w:hAnsi="Calibri" w:cs="Times New Roman"/>
    </w:rPr>
  </w:style>
  <w:style w:type="paragraph" w:styleId="11">
    <w:name w:val="toc 1"/>
    <w:basedOn w:val="a"/>
    <w:next w:val="a"/>
    <w:autoRedefine/>
    <w:uiPriority w:val="39"/>
    <w:unhideWhenUsed/>
    <w:rsid w:val="002F2A02"/>
  </w:style>
  <w:style w:type="paragraph" w:styleId="21">
    <w:name w:val="toc 2"/>
    <w:basedOn w:val="a"/>
    <w:next w:val="a"/>
    <w:autoRedefine/>
    <w:uiPriority w:val="39"/>
    <w:unhideWhenUsed/>
    <w:rsid w:val="002F2A02"/>
    <w:pPr>
      <w:ind w:left="220"/>
    </w:pPr>
  </w:style>
  <w:style w:type="character" w:styleId="a5">
    <w:name w:val="Hyperlink"/>
    <w:basedOn w:val="a0"/>
    <w:uiPriority w:val="99"/>
    <w:unhideWhenUsed/>
    <w:rsid w:val="002F2A02"/>
    <w:rPr>
      <w:color w:val="0000FF"/>
      <w:u w:val="single"/>
    </w:rPr>
  </w:style>
  <w:style w:type="paragraph" w:styleId="a6">
    <w:name w:val="footnote text"/>
    <w:aliases w:val="Текст сноски Знак1,Текст сноски Знак Знак,fn Знак Знак,single space Знак Знак,footnote text Знак Знак,FOOTNOTES Знак Знак,ft Знак Знак,fn Знак1,single space Знак1,footnote text Знак1,FOOTNOTES Знак1,ft Знак1,fn,single space,footnote text,ft"/>
    <w:basedOn w:val="a"/>
    <w:link w:val="a7"/>
    <w:rsid w:val="002F2A02"/>
    <w:pPr>
      <w:spacing w:after="0" w:line="240" w:lineRule="auto"/>
    </w:pPr>
    <w:rPr>
      <w:rFonts w:eastAsia="MS ??"/>
      <w:sz w:val="20"/>
      <w:szCs w:val="20"/>
      <w:lang w:eastAsia="ja-JP"/>
    </w:rPr>
  </w:style>
  <w:style w:type="character" w:customStyle="1" w:styleId="a7">
    <w:name w:val="Текст сноски Знак"/>
    <w:aliases w:val="Текст сноски Знак1 Знак,Текст сноски Знак Знак Знак,fn Знак Знак Знак,single space Знак Знак Знак,footnote text Знак Знак Знак,FOOTNOTES Знак Знак Знак,ft Знак Знак Знак,fn Знак1 Знак,single space Знак1 Знак,footnote text Знак1 Знак"/>
    <w:basedOn w:val="a0"/>
    <w:link w:val="a6"/>
    <w:rsid w:val="002F2A02"/>
    <w:rPr>
      <w:rFonts w:ascii="Calibri" w:eastAsia="MS ??" w:hAnsi="Calibri" w:cs="Times New Roman"/>
      <w:sz w:val="20"/>
      <w:szCs w:val="20"/>
      <w:lang w:eastAsia="ja-JP"/>
    </w:rPr>
  </w:style>
  <w:style w:type="character" w:styleId="a8">
    <w:name w:val="footnote reference"/>
    <w:aliases w:val="Знак сноски-FN,Знак сноски 1,Ciae niinee-FN,Referencia nota al pie,Ссылка на сноску 45,Appel note de bas de page,fr,Used by Word for Help footnote symbols"/>
    <w:rsid w:val="002F2A02"/>
    <w:rPr>
      <w:rFonts w:cs="Times New Roman"/>
      <w:vertAlign w:val="superscript"/>
    </w:rPr>
  </w:style>
  <w:style w:type="paragraph" w:styleId="a9">
    <w:name w:val="Normal (Web)"/>
    <w:basedOn w:val="a"/>
    <w:uiPriority w:val="99"/>
    <w:rsid w:val="002F2A02"/>
    <w:pPr>
      <w:spacing w:before="100" w:beforeAutospacing="1" w:after="100" w:afterAutospacing="1" w:line="240" w:lineRule="auto"/>
    </w:pPr>
    <w:rPr>
      <w:rFonts w:ascii="Arial" w:eastAsia="Times New Roman" w:hAnsi="Arial" w:cs="Arial"/>
      <w:color w:val="000000"/>
      <w:sz w:val="18"/>
      <w:szCs w:val="18"/>
      <w:lang w:eastAsia="ru-RU"/>
    </w:rPr>
  </w:style>
  <w:style w:type="paragraph" w:styleId="aa">
    <w:name w:val="Block Text"/>
    <w:basedOn w:val="a"/>
    <w:uiPriority w:val="99"/>
    <w:rsid w:val="002F2A02"/>
    <w:pPr>
      <w:spacing w:after="0" w:line="360" w:lineRule="auto"/>
      <w:ind w:left="360" w:right="1077" w:firstLine="540"/>
      <w:jc w:val="both"/>
    </w:pPr>
    <w:rPr>
      <w:rFonts w:ascii="Times New Roman" w:eastAsia="SimSun" w:hAnsi="Times New Roman"/>
      <w:sz w:val="24"/>
      <w:szCs w:val="24"/>
      <w:lang w:eastAsia="ru-RU"/>
    </w:rPr>
  </w:style>
  <w:style w:type="paragraph" w:styleId="ab">
    <w:name w:val="Balloon Text"/>
    <w:basedOn w:val="a"/>
    <w:link w:val="ac"/>
    <w:uiPriority w:val="99"/>
    <w:semiHidden/>
    <w:unhideWhenUsed/>
    <w:rsid w:val="002F2A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A02"/>
    <w:rPr>
      <w:rFonts w:ascii="Tahoma" w:hAnsi="Tahoma" w:cs="Tahoma"/>
      <w:sz w:val="16"/>
      <w:szCs w:val="16"/>
    </w:rPr>
  </w:style>
  <w:style w:type="paragraph" w:styleId="ad">
    <w:name w:val="No Spacing"/>
    <w:link w:val="ae"/>
    <w:uiPriority w:val="1"/>
    <w:qFormat/>
    <w:rsid w:val="00970F08"/>
    <w:pPr>
      <w:spacing w:after="0" w:line="240" w:lineRule="auto"/>
    </w:pPr>
    <w:rPr>
      <w:rFonts w:eastAsiaTheme="minorEastAsia"/>
      <w:lang w:eastAsia="ru-RU"/>
    </w:rPr>
  </w:style>
  <w:style w:type="character" w:customStyle="1" w:styleId="ae">
    <w:name w:val="Без интервала Знак"/>
    <w:basedOn w:val="a0"/>
    <w:link w:val="ad"/>
    <w:uiPriority w:val="1"/>
    <w:rsid w:val="00970F08"/>
    <w:rPr>
      <w:rFonts w:eastAsiaTheme="minorEastAsia"/>
      <w:lang w:eastAsia="ru-RU"/>
    </w:rPr>
  </w:style>
  <w:style w:type="paragraph" w:styleId="af">
    <w:name w:val="header"/>
    <w:basedOn w:val="a"/>
    <w:link w:val="af0"/>
    <w:uiPriority w:val="99"/>
    <w:unhideWhenUsed/>
    <w:rsid w:val="00970F0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0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C7"/>
    <w:rPr>
      <w:rFonts w:ascii="Calibri" w:eastAsia="Calibri" w:hAnsi="Calibri" w:cs="Times New Roman"/>
    </w:rPr>
  </w:style>
  <w:style w:type="paragraph" w:styleId="1">
    <w:name w:val="heading 1"/>
    <w:basedOn w:val="a"/>
    <w:next w:val="a"/>
    <w:link w:val="10"/>
    <w:uiPriority w:val="9"/>
    <w:qFormat/>
    <w:rsid w:val="002F2A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F2A0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A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F2A02"/>
    <w:rPr>
      <w:rFonts w:ascii="Cambria" w:eastAsia="Times New Roman" w:hAnsi="Cambria" w:cs="Times New Roman"/>
      <w:b/>
      <w:bCs/>
      <w:i/>
      <w:iCs/>
      <w:sz w:val="28"/>
      <w:szCs w:val="28"/>
    </w:rPr>
  </w:style>
  <w:style w:type="paragraph" w:styleId="a3">
    <w:name w:val="footer"/>
    <w:basedOn w:val="a"/>
    <w:link w:val="a4"/>
    <w:uiPriority w:val="99"/>
    <w:unhideWhenUsed/>
    <w:rsid w:val="002F2A02"/>
    <w:pPr>
      <w:tabs>
        <w:tab w:val="center" w:pos="4677"/>
        <w:tab w:val="right" w:pos="9355"/>
      </w:tabs>
    </w:pPr>
  </w:style>
  <w:style w:type="character" w:customStyle="1" w:styleId="a4">
    <w:name w:val="Нижний колонтитул Знак"/>
    <w:basedOn w:val="a0"/>
    <w:link w:val="a3"/>
    <w:uiPriority w:val="99"/>
    <w:rsid w:val="002F2A02"/>
    <w:rPr>
      <w:rFonts w:ascii="Calibri" w:eastAsia="Calibri" w:hAnsi="Calibri" w:cs="Times New Roman"/>
    </w:rPr>
  </w:style>
  <w:style w:type="paragraph" w:styleId="11">
    <w:name w:val="toc 1"/>
    <w:basedOn w:val="a"/>
    <w:next w:val="a"/>
    <w:autoRedefine/>
    <w:uiPriority w:val="39"/>
    <w:unhideWhenUsed/>
    <w:rsid w:val="002F2A02"/>
  </w:style>
  <w:style w:type="paragraph" w:styleId="21">
    <w:name w:val="toc 2"/>
    <w:basedOn w:val="a"/>
    <w:next w:val="a"/>
    <w:autoRedefine/>
    <w:uiPriority w:val="39"/>
    <w:unhideWhenUsed/>
    <w:rsid w:val="002F2A02"/>
    <w:pPr>
      <w:ind w:left="220"/>
    </w:pPr>
  </w:style>
  <w:style w:type="character" w:styleId="a5">
    <w:name w:val="Hyperlink"/>
    <w:basedOn w:val="a0"/>
    <w:uiPriority w:val="99"/>
    <w:unhideWhenUsed/>
    <w:rsid w:val="002F2A02"/>
    <w:rPr>
      <w:color w:val="0000FF"/>
      <w:u w:val="single"/>
    </w:rPr>
  </w:style>
  <w:style w:type="paragraph" w:styleId="a6">
    <w:name w:val="footnote text"/>
    <w:aliases w:val="Текст сноски Знак1,Текст сноски Знак Знак,fn Знак Знак,single space Знак Знак,footnote text Знак Знак,FOOTNOTES Знак Знак,ft Знак Знак,fn Знак1,single space Знак1,footnote text Знак1,FOOTNOTES Знак1,ft Знак1,fn,single space,footnote text,ft"/>
    <w:basedOn w:val="a"/>
    <w:link w:val="a7"/>
    <w:rsid w:val="002F2A02"/>
    <w:pPr>
      <w:spacing w:after="0" w:line="240" w:lineRule="auto"/>
    </w:pPr>
    <w:rPr>
      <w:rFonts w:eastAsia="MS ??"/>
      <w:sz w:val="20"/>
      <w:szCs w:val="20"/>
      <w:lang w:eastAsia="ja-JP"/>
    </w:rPr>
  </w:style>
  <w:style w:type="character" w:customStyle="1" w:styleId="a7">
    <w:name w:val="Текст сноски Знак"/>
    <w:aliases w:val="Текст сноски Знак1 Знак,Текст сноски Знак Знак Знак,fn Знак Знак Знак,single space Знак Знак Знак,footnote text Знак Знак Знак,FOOTNOTES Знак Знак Знак,ft Знак Знак Знак,fn Знак1 Знак,single space Знак1 Знак,footnote text Знак1 Знак"/>
    <w:basedOn w:val="a0"/>
    <w:link w:val="a6"/>
    <w:rsid w:val="002F2A02"/>
    <w:rPr>
      <w:rFonts w:ascii="Calibri" w:eastAsia="MS ??" w:hAnsi="Calibri" w:cs="Times New Roman"/>
      <w:sz w:val="20"/>
      <w:szCs w:val="20"/>
      <w:lang w:eastAsia="ja-JP"/>
    </w:rPr>
  </w:style>
  <w:style w:type="character" w:styleId="a8">
    <w:name w:val="footnote reference"/>
    <w:aliases w:val="Знак сноски-FN,Знак сноски 1,Ciae niinee-FN,Referencia nota al pie,Ссылка на сноску 45,Appel note de bas de page,fr,Used by Word for Help footnote symbols"/>
    <w:rsid w:val="002F2A02"/>
    <w:rPr>
      <w:rFonts w:cs="Times New Roman"/>
      <w:vertAlign w:val="superscript"/>
    </w:rPr>
  </w:style>
  <w:style w:type="paragraph" w:styleId="a9">
    <w:name w:val="Normal (Web)"/>
    <w:basedOn w:val="a"/>
    <w:uiPriority w:val="99"/>
    <w:rsid w:val="002F2A02"/>
    <w:pPr>
      <w:spacing w:before="100" w:beforeAutospacing="1" w:after="100" w:afterAutospacing="1" w:line="240" w:lineRule="auto"/>
    </w:pPr>
    <w:rPr>
      <w:rFonts w:ascii="Arial" w:eastAsia="Times New Roman" w:hAnsi="Arial" w:cs="Arial"/>
      <w:color w:val="000000"/>
      <w:sz w:val="18"/>
      <w:szCs w:val="18"/>
      <w:lang w:eastAsia="ru-RU"/>
    </w:rPr>
  </w:style>
  <w:style w:type="paragraph" w:styleId="aa">
    <w:name w:val="Block Text"/>
    <w:basedOn w:val="a"/>
    <w:uiPriority w:val="99"/>
    <w:rsid w:val="002F2A02"/>
    <w:pPr>
      <w:spacing w:after="0" w:line="360" w:lineRule="auto"/>
      <w:ind w:left="360" w:right="1077" w:firstLine="540"/>
      <w:jc w:val="both"/>
    </w:pPr>
    <w:rPr>
      <w:rFonts w:ascii="Times New Roman" w:eastAsia="SimSun" w:hAnsi="Times New Roman"/>
      <w:sz w:val="24"/>
      <w:szCs w:val="24"/>
      <w:lang w:eastAsia="ru-RU"/>
    </w:rPr>
  </w:style>
  <w:style w:type="paragraph" w:styleId="ab">
    <w:name w:val="Balloon Text"/>
    <w:basedOn w:val="a"/>
    <w:link w:val="ac"/>
    <w:uiPriority w:val="99"/>
    <w:semiHidden/>
    <w:unhideWhenUsed/>
    <w:rsid w:val="002F2A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2A02"/>
    <w:rPr>
      <w:rFonts w:ascii="Tahoma" w:hAnsi="Tahoma" w:cs="Tahoma"/>
      <w:sz w:val="16"/>
      <w:szCs w:val="16"/>
    </w:rPr>
  </w:style>
  <w:style w:type="paragraph" w:styleId="ad">
    <w:name w:val="No Spacing"/>
    <w:link w:val="ae"/>
    <w:uiPriority w:val="1"/>
    <w:qFormat/>
    <w:rsid w:val="00970F08"/>
    <w:pPr>
      <w:spacing w:after="0" w:line="240" w:lineRule="auto"/>
    </w:pPr>
    <w:rPr>
      <w:rFonts w:eastAsiaTheme="minorEastAsia"/>
      <w:lang w:eastAsia="ru-RU"/>
    </w:rPr>
  </w:style>
  <w:style w:type="character" w:customStyle="1" w:styleId="ae">
    <w:name w:val="Без интервала Знак"/>
    <w:basedOn w:val="a0"/>
    <w:link w:val="ad"/>
    <w:uiPriority w:val="1"/>
    <w:rsid w:val="00970F08"/>
    <w:rPr>
      <w:rFonts w:eastAsiaTheme="minorEastAsia"/>
      <w:lang w:eastAsia="ru-RU"/>
    </w:rPr>
  </w:style>
  <w:style w:type="paragraph" w:styleId="af">
    <w:name w:val="header"/>
    <w:basedOn w:val="a"/>
    <w:link w:val="af0"/>
    <w:uiPriority w:val="99"/>
    <w:unhideWhenUsed/>
    <w:rsid w:val="00970F0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Лист1!$E$40</c:f>
              <c:strCache>
                <c:ptCount val="1"/>
                <c:pt idx="0">
                  <c:v>нефть</c:v>
                </c:pt>
              </c:strCache>
            </c:strRef>
          </c:tx>
          <c:invertIfNegative val="1"/>
          <c:dLbls>
            <c:showLegendKey val="1"/>
            <c:showVal val="1"/>
            <c:showCatName val="1"/>
            <c:showSerName val="1"/>
            <c:showPercent val="1"/>
            <c:showBubbleSize val="1"/>
            <c:showLeaderLines val="0"/>
          </c:dLbls>
          <c:cat>
            <c:strRef>
              <c:f>Лист1!$F$39:$J$39</c:f>
              <c:strCache>
                <c:ptCount val="5"/>
                <c:pt idx="0">
                  <c:v>2004 г.</c:v>
                </c:pt>
                <c:pt idx="1">
                  <c:v>2009 г.</c:v>
                </c:pt>
                <c:pt idx="2">
                  <c:v>2013 г.</c:v>
                </c:pt>
                <c:pt idx="3">
                  <c:v>2014 г.</c:v>
                </c:pt>
                <c:pt idx="4">
                  <c:v>2015 г.</c:v>
                </c:pt>
              </c:strCache>
            </c:strRef>
          </c:cat>
          <c:val>
            <c:numRef>
              <c:f>Лист1!$F$40:$J$40</c:f>
              <c:numCache>
                <c:formatCode>General</c:formatCode>
                <c:ptCount val="5"/>
                <c:pt idx="0">
                  <c:v>34</c:v>
                </c:pt>
                <c:pt idx="1">
                  <c:v>-37</c:v>
                </c:pt>
                <c:pt idx="2">
                  <c:v>-52</c:v>
                </c:pt>
                <c:pt idx="3">
                  <c:v>10</c:v>
                </c:pt>
                <c:pt idx="4">
                  <c:v>-31</c:v>
                </c:pt>
              </c:numCache>
            </c:numRef>
          </c:val>
        </c:ser>
        <c:ser>
          <c:idx val="1"/>
          <c:order val="1"/>
          <c:tx>
            <c:strRef>
              <c:f>Лист1!$E$41</c:f>
              <c:strCache>
                <c:ptCount val="1"/>
                <c:pt idx="0">
                  <c:v>природный газ</c:v>
                </c:pt>
              </c:strCache>
            </c:strRef>
          </c:tx>
          <c:invertIfNegative val="1"/>
          <c:dLbls>
            <c:showLegendKey val="1"/>
            <c:showVal val="1"/>
            <c:showCatName val="1"/>
            <c:showSerName val="1"/>
            <c:showPercent val="1"/>
            <c:showBubbleSize val="1"/>
            <c:showLeaderLines val="0"/>
          </c:dLbls>
          <c:cat>
            <c:strRef>
              <c:f>Лист1!$F$39:$J$39</c:f>
              <c:strCache>
                <c:ptCount val="5"/>
                <c:pt idx="0">
                  <c:v>2004 г.</c:v>
                </c:pt>
                <c:pt idx="1">
                  <c:v>2009 г.</c:v>
                </c:pt>
                <c:pt idx="2">
                  <c:v>2013 г.</c:v>
                </c:pt>
                <c:pt idx="3">
                  <c:v>2014 г.</c:v>
                </c:pt>
                <c:pt idx="4">
                  <c:v>2015 г.</c:v>
                </c:pt>
              </c:strCache>
            </c:strRef>
          </c:cat>
          <c:val>
            <c:numRef>
              <c:f>Лист1!$F$41:$J$41</c:f>
              <c:numCache>
                <c:formatCode>General</c:formatCode>
                <c:ptCount val="5"/>
                <c:pt idx="0">
                  <c:v>11</c:v>
                </c:pt>
                <c:pt idx="1">
                  <c:v>19</c:v>
                </c:pt>
                <c:pt idx="2">
                  <c:v>25</c:v>
                </c:pt>
                <c:pt idx="3">
                  <c:v>61</c:v>
                </c:pt>
                <c:pt idx="4">
                  <c:v>-70</c:v>
                </c:pt>
              </c:numCache>
            </c:numRef>
          </c:val>
        </c:ser>
        <c:ser>
          <c:idx val="2"/>
          <c:order val="2"/>
          <c:tx>
            <c:strRef>
              <c:f>Лист1!$E$42</c:f>
              <c:strCache>
                <c:ptCount val="1"/>
                <c:pt idx="0">
                  <c:v>уголь</c:v>
                </c:pt>
              </c:strCache>
            </c:strRef>
          </c:tx>
          <c:invertIfNegative val="1"/>
          <c:dLbls>
            <c:showLegendKey val="1"/>
            <c:showVal val="1"/>
            <c:showCatName val="1"/>
            <c:showSerName val="1"/>
            <c:showPercent val="1"/>
            <c:showBubbleSize val="1"/>
            <c:showLeaderLines val="0"/>
          </c:dLbls>
          <c:cat>
            <c:strRef>
              <c:f>Лист1!$F$39:$J$39</c:f>
              <c:strCache>
                <c:ptCount val="5"/>
                <c:pt idx="0">
                  <c:v>2004 г.</c:v>
                </c:pt>
                <c:pt idx="1">
                  <c:v>2009 г.</c:v>
                </c:pt>
                <c:pt idx="2">
                  <c:v>2013 г.</c:v>
                </c:pt>
                <c:pt idx="3">
                  <c:v>2014 г.</c:v>
                </c:pt>
                <c:pt idx="4">
                  <c:v>2015 г.</c:v>
                </c:pt>
              </c:strCache>
            </c:strRef>
          </c:cat>
          <c:val>
            <c:numRef>
              <c:f>Лист1!$F$42:$J$42</c:f>
              <c:numCache>
                <c:formatCode>General</c:formatCode>
                <c:ptCount val="5"/>
                <c:pt idx="0">
                  <c:v>-78</c:v>
                </c:pt>
                <c:pt idx="1">
                  <c:v>-39</c:v>
                </c:pt>
                <c:pt idx="2">
                  <c:v>94</c:v>
                </c:pt>
                <c:pt idx="3">
                  <c:v>52</c:v>
                </c:pt>
                <c:pt idx="4">
                  <c:v>-10</c:v>
                </c:pt>
              </c:numCache>
            </c:numRef>
          </c:val>
        </c:ser>
        <c:dLbls>
          <c:showLegendKey val="0"/>
          <c:showVal val="0"/>
          <c:showCatName val="0"/>
          <c:showSerName val="0"/>
          <c:showPercent val="0"/>
          <c:showBubbleSize val="0"/>
        </c:dLbls>
        <c:gapWidth val="150"/>
        <c:axId val="290322688"/>
        <c:axId val="290398208"/>
      </c:barChart>
      <c:catAx>
        <c:axId val="290322688"/>
        <c:scaling>
          <c:orientation val="minMax"/>
        </c:scaling>
        <c:delete val="1"/>
        <c:axPos val="b"/>
        <c:majorTickMark val="cross"/>
        <c:minorTickMark val="cross"/>
        <c:tickLblPos val="nextTo"/>
        <c:crossAx val="290398208"/>
        <c:crosses val="autoZero"/>
        <c:auto val="1"/>
        <c:lblAlgn val="ctr"/>
        <c:lblOffset val="100"/>
        <c:noMultiLvlLbl val="1"/>
      </c:catAx>
      <c:valAx>
        <c:axId val="290398208"/>
        <c:scaling>
          <c:orientation val="minMax"/>
        </c:scaling>
        <c:delete val="1"/>
        <c:axPos val="l"/>
        <c:majorGridlines/>
        <c:numFmt formatCode="General" sourceLinked="1"/>
        <c:majorTickMark val="cross"/>
        <c:minorTickMark val="cross"/>
        <c:tickLblPos val="nextTo"/>
        <c:crossAx val="290322688"/>
        <c:crosses val="autoZero"/>
        <c:crossBetween val="between"/>
      </c:valAx>
    </c:plotArea>
    <c:legend>
      <c:legendPos val="r"/>
      <c:overlay val="1"/>
    </c:legend>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Лист1!$D$52</c:f>
              <c:strCache>
                <c:ptCount val="1"/>
                <c:pt idx="0">
                  <c:v>Запасы (млрд. т)</c:v>
                </c:pt>
              </c:strCache>
            </c:strRef>
          </c:tx>
          <c:invertIfNegative val="1"/>
          <c:dLbls>
            <c:showLegendKey val="1"/>
            <c:showVal val="1"/>
            <c:showCatName val="1"/>
            <c:showSerName val="1"/>
            <c:showPercent val="1"/>
            <c:showBubbleSize val="1"/>
            <c:showLeaderLines val="0"/>
          </c:dLbls>
          <c:cat>
            <c:strRef>
              <c:f>Лист1!$E$51:$I$51</c:f>
              <c:strCache>
                <c:ptCount val="5"/>
                <c:pt idx="0">
                  <c:v>Бразилия</c:v>
                </c:pt>
                <c:pt idx="1">
                  <c:v>Россия</c:v>
                </c:pt>
                <c:pt idx="2">
                  <c:v>Индия</c:v>
                </c:pt>
                <c:pt idx="3">
                  <c:v>Китай</c:v>
                </c:pt>
                <c:pt idx="4">
                  <c:v>ЮАР</c:v>
                </c:pt>
              </c:strCache>
            </c:strRef>
          </c:cat>
          <c:val>
            <c:numRef>
              <c:f>Лист1!$E$52:$I$52</c:f>
              <c:numCache>
                <c:formatCode>General</c:formatCode>
                <c:ptCount val="5"/>
                <c:pt idx="0">
                  <c:v>2.2999999999999998</c:v>
                </c:pt>
                <c:pt idx="1">
                  <c:v>14.1</c:v>
                </c:pt>
                <c:pt idx="2">
                  <c:v>0.8</c:v>
                </c:pt>
                <c:pt idx="3">
                  <c:v>2.5</c:v>
                </c:pt>
                <c:pt idx="4">
                  <c:v>0</c:v>
                </c:pt>
              </c:numCache>
            </c:numRef>
          </c:val>
        </c:ser>
        <c:ser>
          <c:idx val="1"/>
          <c:order val="1"/>
          <c:tx>
            <c:strRef>
              <c:f>Лист1!$D$53</c:f>
              <c:strCache>
                <c:ptCount val="1"/>
                <c:pt idx="0">
                  <c:v>Добыча (млн. т)</c:v>
                </c:pt>
              </c:strCache>
            </c:strRef>
          </c:tx>
          <c:invertIfNegative val="1"/>
          <c:dLbls>
            <c:showLegendKey val="1"/>
            <c:showVal val="1"/>
            <c:showCatName val="1"/>
            <c:showSerName val="1"/>
            <c:showPercent val="1"/>
            <c:showBubbleSize val="1"/>
            <c:showLeaderLines val="0"/>
          </c:dLbls>
          <c:cat>
            <c:strRef>
              <c:f>Лист1!$E$51:$I$51</c:f>
              <c:strCache>
                <c:ptCount val="5"/>
                <c:pt idx="0">
                  <c:v>Бразилия</c:v>
                </c:pt>
                <c:pt idx="1">
                  <c:v>Россия</c:v>
                </c:pt>
                <c:pt idx="2">
                  <c:v>Индия</c:v>
                </c:pt>
                <c:pt idx="3">
                  <c:v>Китай</c:v>
                </c:pt>
                <c:pt idx="4">
                  <c:v>ЮАР</c:v>
                </c:pt>
              </c:strCache>
            </c:strRef>
          </c:cat>
          <c:val>
            <c:numRef>
              <c:f>Лист1!$E$53:$I$53</c:f>
              <c:numCache>
                <c:formatCode>General</c:formatCode>
                <c:ptCount val="5"/>
                <c:pt idx="0">
                  <c:v>122.1</c:v>
                </c:pt>
                <c:pt idx="1">
                  <c:v>534.1</c:v>
                </c:pt>
                <c:pt idx="2">
                  <c:v>41.9</c:v>
                </c:pt>
                <c:pt idx="3">
                  <c:v>211.4</c:v>
                </c:pt>
                <c:pt idx="4">
                  <c:v>0</c:v>
                </c:pt>
              </c:numCache>
            </c:numRef>
          </c:val>
        </c:ser>
        <c:ser>
          <c:idx val="2"/>
          <c:order val="2"/>
          <c:tx>
            <c:strRef>
              <c:f>Лист1!$D$54</c:f>
              <c:strCache>
                <c:ptCount val="1"/>
                <c:pt idx="0">
                  <c:v>Потребление (млн. т)</c:v>
                </c:pt>
              </c:strCache>
            </c:strRef>
          </c:tx>
          <c:invertIfNegative val="1"/>
          <c:dLbls>
            <c:showLegendKey val="1"/>
            <c:showVal val="1"/>
            <c:showCatName val="1"/>
            <c:showSerName val="1"/>
            <c:showPercent val="1"/>
            <c:showBubbleSize val="1"/>
            <c:showLeaderLines val="0"/>
          </c:dLbls>
          <c:cat>
            <c:strRef>
              <c:f>Лист1!$E$51:$I$51</c:f>
              <c:strCache>
                <c:ptCount val="5"/>
                <c:pt idx="0">
                  <c:v>Бразилия</c:v>
                </c:pt>
                <c:pt idx="1">
                  <c:v>Россия</c:v>
                </c:pt>
                <c:pt idx="2">
                  <c:v>Индия</c:v>
                </c:pt>
                <c:pt idx="3">
                  <c:v>Китай</c:v>
                </c:pt>
                <c:pt idx="4">
                  <c:v>ЮАР</c:v>
                </c:pt>
              </c:strCache>
            </c:strRef>
          </c:cat>
          <c:val>
            <c:numRef>
              <c:f>Лист1!$E$54:$I$54</c:f>
              <c:numCache>
                <c:formatCode>General</c:formatCode>
                <c:ptCount val="5"/>
                <c:pt idx="0">
                  <c:v>142.5</c:v>
                </c:pt>
                <c:pt idx="1">
                  <c:v>148.1</c:v>
                </c:pt>
                <c:pt idx="2">
                  <c:v>180.7</c:v>
                </c:pt>
                <c:pt idx="3">
                  <c:v>537.29999999999995</c:v>
                </c:pt>
                <c:pt idx="4">
                  <c:v>29.1</c:v>
                </c:pt>
              </c:numCache>
            </c:numRef>
          </c:val>
        </c:ser>
        <c:dLbls>
          <c:showLegendKey val="0"/>
          <c:showVal val="0"/>
          <c:showCatName val="0"/>
          <c:showSerName val="0"/>
          <c:showPercent val="0"/>
          <c:showBubbleSize val="0"/>
        </c:dLbls>
        <c:gapWidth val="150"/>
        <c:axId val="290654464"/>
        <c:axId val="290656256"/>
      </c:barChart>
      <c:catAx>
        <c:axId val="290654464"/>
        <c:scaling>
          <c:orientation val="minMax"/>
        </c:scaling>
        <c:delete val="1"/>
        <c:axPos val="b"/>
        <c:majorTickMark val="cross"/>
        <c:minorTickMark val="cross"/>
        <c:tickLblPos val="nextTo"/>
        <c:crossAx val="290656256"/>
        <c:crosses val="autoZero"/>
        <c:auto val="1"/>
        <c:lblAlgn val="ctr"/>
        <c:lblOffset val="100"/>
        <c:noMultiLvlLbl val="1"/>
      </c:catAx>
      <c:valAx>
        <c:axId val="290656256"/>
        <c:scaling>
          <c:orientation val="minMax"/>
        </c:scaling>
        <c:delete val="1"/>
        <c:axPos val="l"/>
        <c:majorGridlines/>
        <c:numFmt formatCode="General" sourceLinked="1"/>
        <c:majorTickMark val="cross"/>
        <c:minorTickMark val="cross"/>
        <c:tickLblPos val="nextTo"/>
        <c:crossAx val="290654464"/>
        <c:crosses val="autoZero"/>
        <c:crossBetween val="between"/>
      </c:valAx>
    </c:plotArea>
    <c:legend>
      <c:legendPos val="r"/>
      <c:overlay val="1"/>
    </c:legend>
    <c:plotVisOnly val="1"/>
    <c:dispBlanksAs val="zero"/>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Лист1!$E$61</c:f>
              <c:strCache>
                <c:ptCount val="1"/>
                <c:pt idx="0">
                  <c:v>Запасы (трлн. куб. м)</c:v>
                </c:pt>
              </c:strCache>
            </c:strRef>
          </c:tx>
          <c:invertIfNegative val="1"/>
          <c:dLbls>
            <c:showLegendKey val="1"/>
            <c:showVal val="1"/>
            <c:showCatName val="1"/>
            <c:showSerName val="1"/>
            <c:showPercent val="1"/>
            <c:showBubbleSize val="1"/>
            <c:showLeaderLines val="0"/>
          </c:dLbls>
          <c:cat>
            <c:strRef>
              <c:f>Лист1!$F$60:$J$60</c:f>
              <c:strCache>
                <c:ptCount val="5"/>
                <c:pt idx="0">
                  <c:v>Бразилия</c:v>
                </c:pt>
                <c:pt idx="1">
                  <c:v>Россия</c:v>
                </c:pt>
                <c:pt idx="2">
                  <c:v>Индия</c:v>
                </c:pt>
                <c:pt idx="3">
                  <c:v>Китай</c:v>
                </c:pt>
                <c:pt idx="4">
                  <c:v>ЮАР</c:v>
                </c:pt>
              </c:strCache>
            </c:strRef>
          </c:cat>
          <c:val>
            <c:numRef>
              <c:f>Лист1!$F$61:$J$61</c:f>
              <c:numCache>
                <c:formatCode>General</c:formatCode>
                <c:ptCount val="5"/>
                <c:pt idx="0">
                  <c:v>0.5</c:v>
                </c:pt>
                <c:pt idx="1">
                  <c:v>32.6</c:v>
                </c:pt>
                <c:pt idx="2">
                  <c:v>1.4</c:v>
                </c:pt>
                <c:pt idx="3">
                  <c:v>3.5</c:v>
                </c:pt>
                <c:pt idx="4">
                  <c:v>0</c:v>
                </c:pt>
              </c:numCache>
            </c:numRef>
          </c:val>
        </c:ser>
        <c:ser>
          <c:idx val="1"/>
          <c:order val="1"/>
          <c:tx>
            <c:strRef>
              <c:f>Лист1!$E$62</c:f>
              <c:strCache>
                <c:ptCount val="1"/>
                <c:pt idx="0">
                  <c:v>Добыча (млрд. куб. м)</c:v>
                </c:pt>
              </c:strCache>
            </c:strRef>
          </c:tx>
          <c:invertIfNegative val="1"/>
          <c:dLbls>
            <c:showLegendKey val="1"/>
            <c:showVal val="1"/>
            <c:showCatName val="1"/>
            <c:showSerName val="1"/>
            <c:showPercent val="1"/>
            <c:showBubbleSize val="1"/>
            <c:showLeaderLines val="0"/>
          </c:dLbls>
          <c:cat>
            <c:strRef>
              <c:f>Лист1!$F$60:$J$60</c:f>
              <c:strCache>
                <c:ptCount val="5"/>
                <c:pt idx="0">
                  <c:v>Бразилия</c:v>
                </c:pt>
                <c:pt idx="1">
                  <c:v>Россия</c:v>
                </c:pt>
                <c:pt idx="2">
                  <c:v>Индия</c:v>
                </c:pt>
                <c:pt idx="3">
                  <c:v>Китай</c:v>
                </c:pt>
                <c:pt idx="4">
                  <c:v>ЮАР</c:v>
                </c:pt>
              </c:strCache>
            </c:strRef>
          </c:cat>
          <c:val>
            <c:numRef>
              <c:f>Лист1!$F$62:$J$62</c:f>
              <c:numCache>
                <c:formatCode>General</c:formatCode>
                <c:ptCount val="5"/>
                <c:pt idx="0">
                  <c:v>20</c:v>
                </c:pt>
                <c:pt idx="1">
                  <c:v>578.70000000000005</c:v>
                </c:pt>
                <c:pt idx="2">
                  <c:v>31.7</c:v>
                </c:pt>
                <c:pt idx="3">
                  <c:v>134.5</c:v>
                </c:pt>
                <c:pt idx="4">
                  <c:v>0</c:v>
                </c:pt>
              </c:numCache>
            </c:numRef>
          </c:val>
        </c:ser>
        <c:ser>
          <c:idx val="2"/>
          <c:order val="2"/>
          <c:tx>
            <c:strRef>
              <c:f>Лист1!$E$63</c:f>
              <c:strCache>
                <c:ptCount val="1"/>
                <c:pt idx="0">
                  <c:v>Потребление (млрд. куб. м)</c:v>
                </c:pt>
              </c:strCache>
            </c:strRef>
          </c:tx>
          <c:invertIfNegative val="1"/>
          <c:dLbls>
            <c:showLegendKey val="1"/>
            <c:showVal val="1"/>
            <c:showCatName val="1"/>
            <c:showSerName val="1"/>
            <c:showPercent val="1"/>
            <c:showBubbleSize val="1"/>
            <c:showLeaderLines val="0"/>
          </c:dLbls>
          <c:cat>
            <c:strRef>
              <c:f>Лист1!$F$60:$J$60</c:f>
              <c:strCache>
                <c:ptCount val="5"/>
                <c:pt idx="0">
                  <c:v>Бразилия</c:v>
                </c:pt>
                <c:pt idx="1">
                  <c:v>Россия</c:v>
                </c:pt>
                <c:pt idx="2">
                  <c:v>Индия</c:v>
                </c:pt>
                <c:pt idx="3">
                  <c:v>Китай</c:v>
                </c:pt>
                <c:pt idx="4">
                  <c:v>ЮАР</c:v>
                </c:pt>
              </c:strCache>
            </c:strRef>
          </c:cat>
          <c:val>
            <c:numRef>
              <c:f>Лист1!$F$63:$J$63</c:f>
              <c:numCache>
                <c:formatCode>General</c:formatCode>
                <c:ptCount val="5"/>
                <c:pt idx="0">
                  <c:v>39.6</c:v>
                </c:pt>
                <c:pt idx="1">
                  <c:v>409.2</c:v>
                </c:pt>
                <c:pt idx="2">
                  <c:v>50.6</c:v>
                </c:pt>
                <c:pt idx="3">
                  <c:v>188</c:v>
                </c:pt>
                <c:pt idx="4">
                  <c:v>4.0999999999999996</c:v>
                </c:pt>
              </c:numCache>
            </c:numRef>
          </c:val>
        </c:ser>
        <c:dLbls>
          <c:showLegendKey val="0"/>
          <c:showVal val="0"/>
          <c:showCatName val="0"/>
          <c:showSerName val="0"/>
          <c:showPercent val="0"/>
          <c:showBubbleSize val="0"/>
        </c:dLbls>
        <c:gapWidth val="150"/>
        <c:axId val="290683136"/>
        <c:axId val="290705408"/>
      </c:barChart>
      <c:catAx>
        <c:axId val="290683136"/>
        <c:scaling>
          <c:orientation val="minMax"/>
        </c:scaling>
        <c:delete val="1"/>
        <c:axPos val="b"/>
        <c:majorTickMark val="cross"/>
        <c:minorTickMark val="cross"/>
        <c:tickLblPos val="nextTo"/>
        <c:crossAx val="290705408"/>
        <c:crosses val="autoZero"/>
        <c:auto val="1"/>
        <c:lblAlgn val="ctr"/>
        <c:lblOffset val="100"/>
        <c:noMultiLvlLbl val="1"/>
      </c:catAx>
      <c:valAx>
        <c:axId val="290705408"/>
        <c:scaling>
          <c:orientation val="minMax"/>
        </c:scaling>
        <c:delete val="1"/>
        <c:axPos val="l"/>
        <c:majorGridlines/>
        <c:numFmt formatCode="General" sourceLinked="1"/>
        <c:majorTickMark val="cross"/>
        <c:minorTickMark val="cross"/>
        <c:tickLblPos val="nextTo"/>
        <c:crossAx val="290683136"/>
        <c:crosses val="autoZero"/>
        <c:crossBetween val="between"/>
      </c:valAx>
    </c:plotArea>
    <c:legend>
      <c:legendPos val="r"/>
      <c:overlay val="1"/>
    </c:legend>
    <c:plotVisOnly val="1"/>
    <c:dispBlanksAs val="zero"/>
    <c:showDLblsOverMax val="1"/>
  </c:chart>
  <c:spPr>
    <a:ln>
      <a:no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Лист1!$E$70</c:f>
              <c:strCache>
                <c:ptCount val="1"/>
                <c:pt idx="0">
                  <c:v>Запасы (млрд. т)</c:v>
                </c:pt>
              </c:strCache>
            </c:strRef>
          </c:tx>
          <c:invertIfNegative val="1"/>
          <c:dLbls>
            <c:showLegendKey val="1"/>
            <c:showVal val="1"/>
            <c:showCatName val="1"/>
            <c:showSerName val="1"/>
            <c:showPercent val="1"/>
            <c:showBubbleSize val="1"/>
            <c:showLeaderLines val="0"/>
          </c:dLbls>
          <c:cat>
            <c:strRef>
              <c:f>Лист1!$F$69:$J$69</c:f>
              <c:strCache>
                <c:ptCount val="5"/>
                <c:pt idx="0">
                  <c:v>Бразилия</c:v>
                </c:pt>
                <c:pt idx="1">
                  <c:v>Россия</c:v>
                </c:pt>
                <c:pt idx="2">
                  <c:v>Индия</c:v>
                </c:pt>
                <c:pt idx="3">
                  <c:v>Китай</c:v>
                </c:pt>
                <c:pt idx="4">
                  <c:v>ЮАР</c:v>
                </c:pt>
              </c:strCache>
            </c:strRef>
          </c:cat>
          <c:val>
            <c:numRef>
              <c:f>Лист1!$F$70:$J$70</c:f>
              <c:numCache>
                <c:formatCode>General</c:formatCode>
                <c:ptCount val="5"/>
                <c:pt idx="0">
                  <c:v>6.6</c:v>
                </c:pt>
                <c:pt idx="1">
                  <c:v>157</c:v>
                </c:pt>
                <c:pt idx="2">
                  <c:v>6.6</c:v>
                </c:pt>
                <c:pt idx="3">
                  <c:v>114.5</c:v>
                </c:pt>
                <c:pt idx="4">
                  <c:v>30.2</c:v>
                </c:pt>
              </c:numCache>
            </c:numRef>
          </c:val>
        </c:ser>
        <c:ser>
          <c:idx val="1"/>
          <c:order val="1"/>
          <c:tx>
            <c:strRef>
              <c:f>Лист1!$E$71</c:f>
              <c:strCache>
                <c:ptCount val="1"/>
                <c:pt idx="0">
                  <c:v>Добыча (млн. т.н.э.)</c:v>
                </c:pt>
              </c:strCache>
            </c:strRef>
          </c:tx>
          <c:invertIfNegative val="1"/>
          <c:cat>
            <c:strRef>
              <c:f>Лист1!$F$69:$J$69</c:f>
              <c:strCache>
                <c:ptCount val="5"/>
                <c:pt idx="0">
                  <c:v>Бразилия</c:v>
                </c:pt>
                <c:pt idx="1">
                  <c:v>Россия</c:v>
                </c:pt>
                <c:pt idx="2">
                  <c:v>Индия</c:v>
                </c:pt>
                <c:pt idx="3">
                  <c:v>Китай</c:v>
                </c:pt>
                <c:pt idx="4">
                  <c:v>ЮАР</c:v>
                </c:pt>
              </c:strCache>
            </c:strRef>
          </c:cat>
          <c:val>
            <c:numRef>
              <c:f>Лист1!$F$71:$J$71</c:f>
              <c:numCache>
                <c:formatCode>General</c:formatCode>
                <c:ptCount val="5"/>
                <c:pt idx="0">
                  <c:v>3.2</c:v>
                </c:pt>
                <c:pt idx="1">
                  <c:v>170.9</c:v>
                </c:pt>
                <c:pt idx="2">
                  <c:v>243.5</c:v>
                </c:pt>
                <c:pt idx="3">
                  <c:v>1844.6</c:v>
                </c:pt>
                <c:pt idx="4">
                  <c:v>147.69999999999999</c:v>
                </c:pt>
              </c:numCache>
            </c:numRef>
          </c:val>
        </c:ser>
        <c:ser>
          <c:idx val="2"/>
          <c:order val="2"/>
          <c:tx>
            <c:strRef>
              <c:f>Лист1!$E$72</c:f>
              <c:strCache>
                <c:ptCount val="1"/>
                <c:pt idx="0">
                  <c:v>Потребление (млн. т.н.э.)</c:v>
                </c:pt>
              </c:strCache>
            </c:strRef>
          </c:tx>
          <c:invertIfNegative val="1"/>
          <c:dLbls>
            <c:showLegendKey val="1"/>
            <c:showVal val="1"/>
            <c:showCatName val="1"/>
            <c:showSerName val="1"/>
            <c:showPercent val="1"/>
            <c:showBubbleSize val="1"/>
            <c:showLeaderLines val="0"/>
          </c:dLbls>
          <c:cat>
            <c:strRef>
              <c:f>Лист1!$F$69:$J$69</c:f>
              <c:strCache>
                <c:ptCount val="5"/>
                <c:pt idx="0">
                  <c:v>Бразилия</c:v>
                </c:pt>
                <c:pt idx="1">
                  <c:v>Россия</c:v>
                </c:pt>
                <c:pt idx="2">
                  <c:v>Индия</c:v>
                </c:pt>
                <c:pt idx="3">
                  <c:v>Китай</c:v>
                </c:pt>
                <c:pt idx="4">
                  <c:v>ЮАР</c:v>
                </c:pt>
              </c:strCache>
            </c:strRef>
          </c:cat>
          <c:val>
            <c:numRef>
              <c:f>Лист1!$F$72:$J$72</c:f>
              <c:numCache>
                <c:formatCode>General</c:formatCode>
                <c:ptCount val="5"/>
                <c:pt idx="0">
                  <c:v>15.3</c:v>
                </c:pt>
                <c:pt idx="1">
                  <c:v>85.2</c:v>
                </c:pt>
                <c:pt idx="2">
                  <c:v>360.2</c:v>
                </c:pt>
                <c:pt idx="3">
                  <c:v>1970.5</c:v>
                </c:pt>
                <c:pt idx="4">
                  <c:v>89.4</c:v>
                </c:pt>
              </c:numCache>
            </c:numRef>
          </c:val>
        </c:ser>
        <c:dLbls>
          <c:showLegendKey val="0"/>
          <c:showVal val="0"/>
          <c:showCatName val="0"/>
          <c:showSerName val="0"/>
          <c:showPercent val="0"/>
          <c:showBubbleSize val="0"/>
        </c:dLbls>
        <c:gapWidth val="150"/>
        <c:axId val="291661696"/>
        <c:axId val="291663232"/>
      </c:barChart>
      <c:catAx>
        <c:axId val="291661696"/>
        <c:scaling>
          <c:orientation val="minMax"/>
        </c:scaling>
        <c:delete val="1"/>
        <c:axPos val="b"/>
        <c:majorGridlines/>
        <c:majorTickMark val="cross"/>
        <c:minorTickMark val="cross"/>
        <c:tickLblPos val="nextTo"/>
        <c:crossAx val="291663232"/>
        <c:crosses val="autoZero"/>
        <c:auto val="1"/>
        <c:lblAlgn val="ctr"/>
        <c:lblOffset val="100"/>
        <c:noMultiLvlLbl val="1"/>
      </c:catAx>
      <c:valAx>
        <c:axId val="291663232"/>
        <c:scaling>
          <c:orientation val="minMax"/>
        </c:scaling>
        <c:delete val="1"/>
        <c:axPos val="l"/>
        <c:majorGridlines/>
        <c:numFmt formatCode="General" sourceLinked="1"/>
        <c:majorTickMark val="cross"/>
        <c:minorTickMark val="cross"/>
        <c:tickLblPos val="nextTo"/>
        <c:crossAx val="291661696"/>
        <c:crosses val="autoZero"/>
        <c:crossBetween val="between"/>
      </c:valAx>
    </c:plotArea>
    <c:legend>
      <c:legendPos val="r"/>
      <c:overlay val="1"/>
    </c:legend>
    <c:plotVisOnly val="1"/>
    <c:dispBlanksAs val="zero"/>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Лист1!$D$96:$J$96</c:f>
              <c:strCache>
                <c:ptCount val="7"/>
                <c:pt idx="0">
                  <c:v>2009 г.</c:v>
                </c:pt>
                <c:pt idx="1">
                  <c:v>2010 г.</c:v>
                </c:pt>
                <c:pt idx="2">
                  <c:v>2011 г.</c:v>
                </c:pt>
                <c:pt idx="3">
                  <c:v>2012 г.</c:v>
                </c:pt>
                <c:pt idx="4">
                  <c:v>2013 г.</c:v>
                </c:pt>
                <c:pt idx="5">
                  <c:v>2014 г.</c:v>
                </c:pt>
                <c:pt idx="6">
                  <c:v>2015 г.</c:v>
                </c:pt>
              </c:strCache>
            </c:strRef>
          </c:cat>
          <c:val>
            <c:numRef>
              <c:f>Лист1!$D$97:$J$97</c:f>
              <c:numCache>
                <c:formatCode>General</c:formatCode>
                <c:ptCount val="7"/>
                <c:pt idx="0">
                  <c:v>247.5</c:v>
                </c:pt>
                <c:pt idx="1">
                  <c:v>250.7</c:v>
                </c:pt>
                <c:pt idx="2">
                  <c:v>244.5</c:v>
                </c:pt>
                <c:pt idx="3">
                  <c:v>240</c:v>
                </c:pt>
                <c:pt idx="4">
                  <c:v>236.6</c:v>
                </c:pt>
                <c:pt idx="5">
                  <c:v>223.4</c:v>
                </c:pt>
                <c:pt idx="6">
                  <c:v>244.5</c:v>
                </c:pt>
              </c:numCache>
            </c:numRef>
          </c:val>
        </c:ser>
        <c:dLbls>
          <c:showLegendKey val="0"/>
          <c:showVal val="0"/>
          <c:showCatName val="0"/>
          <c:showSerName val="0"/>
          <c:showPercent val="0"/>
          <c:showBubbleSize val="0"/>
        </c:dLbls>
        <c:gapWidth val="150"/>
        <c:axId val="291691904"/>
        <c:axId val="291697792"/>
      </c:barChart>
      <c:catAx>
        <c:axId val="291691904"/>
        <c:scaling>
          <c:orientation val="minMax"/>
        </c:scaling>
        <c:delete val="1"/>
        <c:axPos val="b"/>
        <c:majorTickMark val="cross"/>
        <c:minorTickMark val="cross"/>
        <c:tickLblPos val="nextTo"/>
        <c:crossAx val="291697792"/>
        <c:crosses val="autoZero"/>
        <c:auto val="1"/>
        <c:lblAlgn val="ctr"/>
        <c:lblOffset val="100"/>
        <c:noMultiLvlLbl val="1"/>
      </c:catAx>
      <c:valAx>
        <c:axId val="291697792"/>
        <c:scaling>
          <c:orientation val="minMax"/>
        </c:scaling>
        <c:delete val="1"/>
        <c:axPos val="l"/>
        <c:majorGridlines/>
        <c:numFmt formatCode="General" sourceLinked="1"/>
        <c:majorTickMark val="cross"/>
        <c:minorTickMark val="cross"/>
        <c:tickLblPos val="nextTo"/>
        <c:crossAx val="291691904"/>
        <c:crosses val="autoZero"/>
        <c:crossBetween val="between"/>
      </c:valAx>
    </c:plotArea>
    <c:plotVisOnly val="1"/>
    <c:dispBlanksAs val="zero"/>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invertIfNegative val="1"/>
          <c:dLbls>
            <c:showLegendKey val="1"/>
            <c:showVal val="1"/>
            <c:showCatName val="1"/>
            <c:showSerName val="1"/>
            <c:showPercent val="1"/>
            <c:showBubbleSize val="1"/>
            <c:showLeaderLines val="0"/>
          </c:dLbls>
          <c:cat>
            <c:strRef>
              <c:f>Лист1!$A$1:$A$10</c:f>
              <c:strCache>
                <c:ptCount val="10"/>
                <c:pt idx="0">
                  <c:v>2005 г.</c:v>
                </c:pt>
                <c:pt idx="1">
                  <c:v>2006 г.</c:v>
                </c:pt>
                <c:pt idx="2">
                  <c:v>2007 г.</c:v>
                </c:pt>
                <c:pt idx="3">
                  <c:v>2008 г.</c:v>
                </c:pt>
                <c:pt idx="4">
                  <c:v>2009 г.</c:v>
                </c:pt>
                <c:pt idx="5">
                  <c:v>2010 г.</c:v>
                </c:pt>
                <c:pt idx="6">
                  <c:v>2011 г.</c:v>
                </c:pt>
                <c:pt idx="7">
                  <c:v>2012 г.</c:v>
                </c:pt>
                <c:pt idx="8">
                  <c:v>2013 г.</c:v>
                </c:pt>
                <c:pt idx="9">
                  <c:v>2014 г.</c:v>
                </c:pt>
              </c:strCache>
            </c:strRef>
          </c:cat>
          <c:val>
            <c:numRef>
              <c:f>Лист1!$B$1:$B$10</c:f>
              <c:numCache>
                <c:formatCode>0.00%</c:formatCode>
                <c:ptCount val="10"/>
                <c:pt idx="0">
                  <c:v>0.41299999999999998</c:v>
                </c:pt>
                <c:pt idx="1">
                  <c:v>0.53900000000000003</c:v>
                </c:pt>
                <c:pt idx="2">
                  <c:v>0.47499999999999998</c:v>
                </c:pt>
                <c:pt idx="3">
                  <c:v>0.50109999999999999</c:v>
                </c:pt>
                <c:pt idx="4">
                  <c:v>0.44109999999999999</c:v>
                </c:pt>
                <c:pt idx="5">
                  <c:v>0.4945</c:v>
                </c:pt>
                <c:pt idx="6">
                  <c:v>0.56759999999999999</c:v>
                </c:pt>
                <c:pt idx="7">
                  <c:v>0.66859999999999997</c:v>
                </c:pt>
                <c:pt idx="8">
                  <c:v>0.67889999999999995</c:v>
                </c:pt>
                <c:pt idx="9">
                  <c:v>0.71630000000000005</c:v>
                </c:pt>
              </c:numCache>
            </c:numRef>
          </c:val>
        </c:ser>
        <c:dLbls>
          <c:showLegendKey val="0"/>
          <c:showVal val="0"/>
          <c:showCatName val="0"/>
          <c:showSerName val="0"/>
          <c:showPercent val="0"/>
          <c:showBubbleSize val="0"/>
        </c:dLbls>
        <c:gapWidth val="150"/>
        <c:axId val="292443264"/>
        <c:axId val="292444800"/>
      </c:barChart>
      <c:catAx>
        <c:axId val="292443264"/>
        <c:scaling>
          <c:orientation val="minMax"/>
        </c:scaling>
        <c:delete val="1"/>
        <c:axPos val="b"/>
        <c:majorTickMark val="cross"/>
        <c:minorTickMark val="cross"/>
        <c:tickLblPos val="nextTo"/>
        <c:crossAx val="292444800"/>
        <c:crosses val="autoZero"/>
        <c:auto val="1"/>
        <c:lblAlgn val="ctr"/>
        <c:lblOffset val="100"/>
        <c:noMultiLvlLbl val="1"/>
      </c:catAx>
      <c:valAx>
        <c:axId val="292444800"/>
        <c:scaling>
          <c:orientation val="minMax"/>
        </c:scaling>
        <c:delete val="1"/>
        <c:axPos val="l"/>
        <c:majorGridlines/>
        <c:numFmt formatCode="0.00%" sourceLinked="1"/>
        <c:majorTickMark val="cross"/>
        <c:minorTickMark val="cross"/>
        <c:tickLblPos val="nextTo"/>
        <c:crossAx val="292443264"/>
        <c:crosses val="autoZero"/>
        <c:crossBetween val="between"/>
      </c:valAx>
    </c:plotArea>
    <c:plotVisOnly val="1"/>
    <c:dispBlanksAs val="zero"/>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lineChart>
        <c:grouping val="standard"/>
        <c:varyColors val="1"/>
        <c:ser>
          <c:idx val="0"/>
          <c:order val="0"/>
          <c:marker>
            <c:symbol val="none"/>
          </c:marker>
          <c:cat>
            <c:strRef>
              <c:f>Лист1!$F$11:$M$11</c:f>
              <c:strCache>
                <c:ptCount val="8"/>
                <c:pt idx="0">
                  <c:v>2007 г.</c:v>
                </c:pt>
                <c:pt idx="1">
                  <c:v>2008 г.</c:v>
                </c:pt>
                <c:pt idx="2">
                  <c:v>2009 г.</c:v>
                </c:pt>
                <c:pt idx="3">
                  <c:v>2010 г.</c:v>
                </c:pt>
                <c:pt idx="4">
                  <c:v>2011 г.</c:v>
                </c:pt>
                <c:pt idx="5">
                  <c:v>2012 г.</c:v>
                </c:pt>
                <c:pt idx="6">
                  <c:v>2013 г.</c:v>
                </c:pt>
                <c:pt idx="7">
                  <c:v>2014 г.</c:v>
                </c:pt>
              </c:strCache>
            </c:strRef>
          </c:cat>
          <c:val>
            <c:numRef>
              <c:f>Лист1!$F$12:$M$12</c:f>
              <c:numCache>
                <c:formatCode>General</c:formatCode>
                <c:ptCount val="8"/>
                <c:pt idx="0">
                  <c:v>0.7</c:v>
                </c:pt>
                <c:pt idx="1">
                  <c:v>0.81</c:v>
                </c:pt>
                <c:pt idx="2">
                  <c:v>0.51</c:v>
                </c:pt>
                <c:pt idx="3">
                  <c:v>0.75</c:v>
                </c:pt>
                <c:pt idx="4">
                  <c:v>0.9</c:v>
                </c:pt>
                <c:pt idx="5">
                  <c:v>0.67</c:v>
                </c:pt>
                <c:pt idx="6">
                  <c:v>0.6</c:v>
                </c:pt>
                <c:pt idx="7">
                  <c:v>0.34</c:v>
                </c:pt>
              </c:numCache>
            </c:numRef>
          </c:val>
          <c:smooth val="1"/>
        </c:ser>
        <c:dLbls>
          <c:showLegendKey val="0"/>
          <c:showVal val="0"/>
          <c:showCatName val="0"/>
          <c:showSerName val="0"/>
          <c:showPercent val="0"/>
          <c:showBubbleSize val="0"/>
        </c:dLbls>
        <c:marker val="1"/>
        <c:smooth val="0"/>
        <c:axId val="292460800"/>
        <c:axId val="292462592"/>
      </c:lineChart>
      <c:catAx>
        <c:axId val="292460800"/>
        <c:scaling>
          <c:orientation val="minMax"/>
        </c:scaling>
        <c:delete val="1"/>
        <c:axPos val="b"/>
        <c:majorTickMark val="cross"/>
        <c:minorTickMark val="cross"/>
        <c:tickLblPos val="nextTo"/>
        <c:crossAx val="292462592"/>
        <c:crosses val="autoZero"/>
        <c:auto val="1"/>
        <c:lblAlgn val="ctr"/>
        <c:lblOffset val="100"/>
        <c:noMultiLvlLbl val="1"/>
      </c:catAx>
      <c:valAx>
        <c:axId val="292462592"/>
        <c:scaling>
          <c:orientation val="minMax"/>
        </c:scaling>
        <c:delete val="1"/>
        <c:axPos val="l"/>
        <c:majorGridlines/>
        <c:numFmt formatCode="General" sourceLinked="1"/>
        <c:majorTickMark val="cross"/>
        <c:minorTickMark val="cross"/>
        <c:tickLblPos val="nextTo"/>
        <c:crossAx val="292460800"/>
        <c:crosses val="autoZero"/>
        <c:crossBetween val="between"/>
      </c:valAx>
    </c:plotArea>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2729</TotalTime>
  <Pages>1</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Дианочка</dc:creator>
  <cp:keywords/>
  <dc:description/>
  <cp:lastModifiedBy>Дианочка</cp:lastModifiedBy>
  <cp:revision>6</cp:revision>
  <dcterms:created xsi:type="dcterms:W3CDTF">2017-03-29T19:00:00Z</dcterms:created>
  <dcterms:modified xsi:type="dcterms:W3CDTF">2017-05-22T10:18:00Z</dcterms:modified>
</cp:coreProperties>
</file>